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75AF" w14:textId="77777777" w:rsidR="00F62AD3" w:rsidRPr="00F62AD3" w:rsidRDefault="00F62AD3" w:rsidP="00F62AD3">
      <w:pPr>
        <w:keepNext/>
        <w:pageBreakBefore/>
        <w:spacing w:after="120"/>
        <w:outlineLvl w:val="0"/>
        <w:rPr>
          <w:b/>
          <w:kern w:val="28"/>
          <w:sz w:val="30"/>
          <w:lang w:val="en-US"/>
        </w:rPr>
      </w:pPr>
      <w:r w:rsidRPr="00F62AD3">
        <w:rPr>
          <w:b/>
          <w:kern w:val="28"/>
          <w:sz w:val="30"/>
          <w:lang w:val="en-US"/>
        </w:rPr>
        <w:t>Supplementary material</w:t>
      </w:r>
    </w:p>
    <w:p w14:paraId="0F3A8D99" w14:textId="77777777" w:rsidR="00F62AD3" w:rsidRPr="00F62AD3" w:rsidRDefault="00F62AD3" w:rsidP="00F62AD3">
      <w:pPr>
        <w:keepNext/>
        <w:spacing w:before="240" w:after="60"/>
        <w:outlineLvl w:val="1"/>
        <w:rPr>
          <w:b/>
          <w:sz w:val="20"/>
          <w:lang w:val="en-US"/>
        </w:rPr>
      </w:pPr>
      <w:r w:rsidRPr="00F62AD3">
        <w:rPr>
          <w:b/>
          <w:sz w:val="20"/>
          <w:lang w:val="en-US"/>
        </w:rPr>
        <w:t>Supplementary methods</w:t>
      </w:r>
    </w:p>
    <w:p w14:paraId="5456E3F3" w14:textId="77777777" w:rsidR="00F62AD3" w:rsidRPr="00F62AD3" w:rsidRDefault="00F62AD3" w:rsidP="00F62AD3">
      <w:pPr>
        <w:keepNext/>
        <w:spacing w:before="240" w:after="60"/>
        <w:outlineLvl w:val="1"/>
        <w:rPr>
          <w:b/>
          <w:sz w:val="20"/>
          <w:lang w:val="en-US"/>
        </w:rPr>
      </w:pPr>
      <w:r w:rsidRPr="00F62AD3">
        <w:rPr>
          <w:b/>
          <w:sz w:val="20"/>
          <w:lang w:val="en-US"/>
        </w:rPr>
        <w:t>Data source</w:t>
      </w:r>
    </w:p>
    <w:p w14:paraId="2473B20D" w14:textId="6FD083C7" w:rsidR="00F62AD3" w:rsidRPr="00F62AD3" w:rsidRDefault="00F62AD3" w:rsidP="00F62AD3">
      <w:pPr>
        <w:rPr>
          <w:sz w:val="20"/>
          <w:lang w:val="en-US"/>
        </w:rPr>
      </w:pPr>
      <w:r w:rsidRPr="00F62AD3">
        <w:rPr>
          <w:sz w:val="20"/>
          <w:lang w:val="en-US"/>
        </w:rPr>
        <w:t xml:space="preserve">In 2021, the AOK PLUS fund covered approximately 3.3 million people, representing 54% of the local population in Saxony and Thuringia and 4.5% of the statutorily insured population in Germany </w:t>
      </w:r>
      <w:r w:rsidRPr="00F62AD3">
        <w:rPr>
          <w:sz w:val="20"/>
          <w:lang w:val="en-US"/>
        </w:rPr>
        <w:fldChar w:fldCharType="begin">
          <w:fldData xml:space="preserve">PEVuZE5vdGU+PENpdGU+PEF1dGhvcj5BT0sgUGx1czwvQXV0aG9yPjxSZWNOdW0+NDY8L1JlY051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</w:fldData>
        </w:fldChar>
      </w:r>
      <w:r w:rsidR="00107DCF">
        <w:rPr>
          <w:sz w:val="20"/>
          <w:lang w:val="en-US"/>
        </w:rPr>
        <w:instrText xml:space="preserve"> ADDIN EN.CITE </w:instrText>
      </w:r>
      <w:r w:rsidR="00107DCF">
        <w:rPr>
          <w:sz w:val="20"/>
          <w:lang w:val="en-US"/>
        </w:rPr>
        <w:fldChar w:fldCharType="begin">
          <w:fldData xml:space="preserve">PEVuZE5vdGU+PENpdGU+PEF1dGhvcj5BT0sgUGx1czwvQXV0aG9yPjxSZWNOdW0+NDY8L1JlY051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</w:fldData>
        </w:fldChar>
      </w:r>
      <w:r w:rsidR="00107DCF">
        <w:rPr>
          <w:sz w:val="20"/>
          <w:lang w:val="en-US"/>
        </w:rPr>
        <w:instrText xml:space="preserve"> ADDIN EN.CITE.DATA </w:instrText>
      </w:r>
      <w:r w:rsidR="00107DCF">
        <w:rPr>
          <w:sz w:val="20"/>
          <w:lang w:val="en-US"/>
        </w:rPr>
      </w:r>
      <w:r w:rsidR="00107DCF">
        <w:rPr>
          <w:sz w:val="20"/>
          <w:lang w:val="en-US"/>
        </w:rPr>
        <w:fldChar w:fldCharType="end"/>
      </w:r>
      <w:r w:rsidRPr="00F62AD3">
        <w:rPr>
          <w:sz w:val="20"/>
          <w:lang w:val="en-US"/>
        </w:rPr>
      </w:r>
      <w:r w:rsidRPr="00F62AD3">
        <w:rPr>
          <w:sz w:val="20"/>
          <w:lang w:val="en-US"/>
        </w:rPr>
        <w:fldChar w:fldCharType="separate"/>
      </w:r>
      <w:r>
        <w:rPr>
          <w:noProof/>
          <w:sz w:val="20"/>
          <w:lang w:val="en-US"/>
        </w:rPr>
        <w:t>[1,2]</w:t>
      </w:r>
      <w:r w:rsidRPr="00F62AD3">
        <w:rPr>
          <w:sz w:val="20"/>
          <w:lang w:val="en-US"/>
        </w:rPr>
        <w:fldChar w:fldCharType="end"/>
      </w:r>
      <w:r w:rsidRPr="00F62AD3">
        <w:rPr>
          <w:sz w:val="20"/>
          <w:lang w:val="en-US"/>
        </w:rPr>
        <w:t xml:space="preserve">. Collected data included demographic information and detailed reimbursement claims for inpatient and outpatient care covered by statutory health insurance. </w:t>
      </w:r>
    </w:p>
    <w:p w14:paraId="05826F39" w14:textId="77777777" w:rsidR="00F62AD3" w:rsidRPr="00F62AD3" w:rsidRDefault="00F62AD3" w:rsidP="00F62AD3">
      <w:pPr>
        <w:keepNext/>
        <w:spacing w:before="240" w:after="60"/>
        <w:outlineLvl w:val="1"/>
        <w:rPr>
          <w:b/>
          <w:sz w:val="20"/>
          <w:lang w:val="en-US"/>
        </w:rPr>
      </w:pPr>
      <w:r w:rsidRPr="00F62AD3">
        <w:rPr>
          <w:b/>
          <w:sz w:val="20"/>
          <w:lang w:val="en-US"/>
        </w:rPr>
        <w:t>Ethical approval</w:t>
      </w:r>
    </w:p>
    <w:p w14:paraId="77F190A8" w14:textId="6E33EA20" w:rsidR="00F62AD3" w:rsidRPr="00F62AD3" w:rsidRDefault="00F62AD3" w:rsidP="00F62AD3">
      <w:pPr>
        <w:rPr>
          <w:rFonts w:cs="Arial"/>
          <w:sz w:val="20"/>
          <w:lang w:val="en-US"/>
        </w:rPr>
      </w:pPr>
      <w:r w:rsidRPr="00F62AD3">
        <w:rPr>
          <w:rFonts w:cs="Arial"/>
          <w:color w:val="000000"/>
          <w:sz w:val="20"/>
          <w:lang w:val="en-US" w:eastAsia="en-GB"/>
        </w:rPr>
        <w:t xml:space="preserve">Because the analysis was based on anonymized, retrospective, and non-interventional data, neither ethical approval nor patient informed consent were required under German national legislation </w:t>
      </w:r>
      <w:r w:rsidRPr="00F62AD3">
        <w:rPr>
          <w:rFonts w:cs="Arial"/>
          <w:color w:val="000000"/>
          <w:sz w:val="20"/>
          <w:lang w:val="en-US" w:eastAsia="en-GB"/>
        </w:rPr>
        <w:fldChar w:fldCharType="begin"/>
      </w:r>
      <w:r w:rsidR="00107DCF">
        <w:rPr>
          <w:rFonts w:cs="Arial"/>
          <w:color w:val="000000"/>
          <w:sz w:val="20"/>
          <w:lang w:val="en-US" w:eastAsia="en-GB"/>
        </w:rPr>
        <w:instrText xml:space="preserve"> ADDIN EN.CITE &lt;EndNote&gt;&lt;Cite&gt;&lt;Author&gt;Federal Ministry of Justice and Consumer Protection&lt;/Author&gt;&lt;RecNum&gt;45&lt;/RecNum&gt;&lt;DisplayText&gt;[3]&lt;/DisplayText&gt;&lt;record&gt;&lt;rec-number&gt;45&lt;/rec-number&gt;&lt;foreign-keys&gt;&lt;key app="EN" db-id="ppwawsert9rfw7e0v945txs80waed0x9wtr9" timestamp="1762180525" guid="ef238745-7a7a-49a3-9137-69818849928f"&gt;45&lt;/key&gt;&lt;/foreign-keys&gt;&lt;ref-type name="Web Page"&gt;12&lt;/ref-type&gt;&lt;contributors&gt;&lt;authors&gt;&lt;author&gt;Federal Ministry of Justice and Consumer Protection,&lt;/author&gt;&lt;/authors&gt;&lt;/contributors&gt;&lt;titles&gt;&lt;title&gt;Book Ten of the Social Code - Social Administrative Procedures and Social Data Protection - (SGB X). Section 75 Transmission of Social Data for Research and Planning&lt;/title&gt;&lt;/titles&gt;&lt;volume&gt;2025&lt;/volume&gt;&lt;number&gt;13 May&lt;/number&gt;&lt;dates&gt;&lt;/dates&gt;&lt;urls&gt;&lt;related-urls&gt;&lt;url&gt;https://www.gesetze-im-internet.de/sgb_10/__75.html&lt;/url&gt;&lt;/related-urls&gt;&lt;/urls&gt;&lt;/record&gt;&lt;/Cite&gt;&lt;/EndNote&gt;</w:instrText>
      </w:r>
      <w:r w:rsidRPr="00F62AD3">
        <w:rPr>
          <w:rFonts w:cs="Arial"/>
          <w:color w:val="000000"/>
          <w:sz w:val="20"/>
          <w:lang w:val="en-US" w:eastAsia="en-GB"/>
        </w:rPr>
        <w:fldChar w:fldCharType="separate"/>
      </w:r>
      <w:r>
        <w:rPr>
          <w:rFonts w:cs="Arial"/>
          <w:noProof/>
          <w:color w:val="000000"/>
          <w:sz w:val="20"/>
          <w:lang w:val="en-US" w:eastAsia="en-GB"/>
        </w:rPr>
        <w:t>[3]</w:t>
      </w:r>
      <w:r w:rsidRPr="00F62AD3">
        <w:rPr>
          <w:rFonts w:cs="Arial"/>
          <w:color w:val="000000"/>
          <w:sz w:val="20"/>
          <w:lang w:val="en-US" w:eastAsia="en-GB"/>
        </w:rPr>
        <w:fldChar w:fldCharType="end"/>
      </w:r>
      <w:r w:rsidRPr="00F62AD3">
        <w:rPr>
          <w:rFonts w:cs="Arial"/>
          <w:color w:val="000000"/>
          <w:sz w:val="20"/>
          <w:lang w:val="en-US" w:eastAsia="en-GB"/>
        </w:rPr>
        <w:t>. The use of the data for this study was authorized by the responsible authority, the involved health insurance fund, AOK PLUS.</w:t>
      </w:r>
      <w:r w:rsidRPr="00F62AD3">
        <w:rPr>
          <w:rFonts w:cs="Arial"/>
          <w:sz w:val="20"/>
          <w:lang w:val="en-US"/>
        </w:rPr>
        <w:t xml:space="preserve"> The study protocol was scientifically reviewed and approved by AOK PLUS.</w:t>
      </w:r>
    </w:p>
    <w:p w14:paraId="09476AA8" w14:textId="77777777" w:rsidR="00F62AD3" w:rsidRPr="00F62AD3" w:rsidRDefault="00F62AD3" w:rsidP="00F62AD3">
      <w:pPr>
        <w:keepNext/>
        <w:spacing w:before="240" w:after="60"/>
        <w:outlineLvl w:val="1"/>
        <w:rPr>
          <w:b/>
          <w:sz w:val="20"/>
          <w:lang w:val="en-US"/>
        </w:rPr>
      </w:pPr>
      <w:r w:rsidRPr="00F62AD3">
        <w:rPr>
          <w:b/>
          <w:sz w:val="20"/>
          <w:lang w:val="en-US"/>
        </w:rPr>
        <w:t>Study population</w:t>
      </w:r>
    </w:p>
    <w:p w14:paraId="13D3589F" w14:textId="77777777" w:rsidR="00F62AD3" w:rsidRPr="00F62AD3" w:rsidRDefault="00F62AD3" w:rsidP="00F62AD3">
      <w:pPr>
        <w:rPr>
          <w:sz w:val="20"/>
          <w:lang w:val="en-US"/>
        </w:rPr>
      </w:pPr>
      <w:r w:rsidRPr="00F62AD3">
        <w:rPr>
          <w:sz w:val="20"/>
          <w:lang w:val="en-US"/>
        </w:rPr>
        <w:t>Adult patients (≥18 years of age at index diagnosis) were included if they had at least one inpatient diagnosis of MF (based on International Statistical Classification of Diseases and Related Health Problems, 10th revision, German modification [ICD-10-GM] codes D47.4, D47.1, or C94.6) or two outpatient MF diagnoses in different quarters within 1 year from January 1, 2012, to December 31, 2021. Following the first observed myelofibrosis (MF) diagnosis including the MF index date, eligible patients were required to have at least one inpatient or confirmed outpatient diagnosis of osteomyelofibrosis or at least one prescription or inpatient administration of a Janus kinase inhibitor (</w:t>
      </w:r>
      <w:proofErr w:type="spellStart"/>
      <w:r w:rsidRPr="00F62AD3">
        <w:rPr>
          <w:sz w:val="20"/>
          <w:lang w:val="en-US"/>
        </w:rPr>
        <w:t>JAKi</w:t>
      </w:r>
      <w:proofErr w:type="spellEnd"/>
      <w:r w:rsidRPr="00F62AD3">
        <w:rPr>
          <w:sz w:val="20"/>
          <w:lang w:val="en-US"/>
        </w:rPr>
        <w:t>) (ruxolitinib/</w:t>
      </w:r>
      <w:proofErr w:type="spellStart"/>
      <w:r w:rsidRPr="00F62AD3">
        <w:rPr>
          <w:sz w:val="20"/>
          <w:lang w:val="en-US"/>
        </w:rPr>
        <w:t>fedratinib</w:t>
      </w:r>
      <w:proofErr w:type="spellEnd"/>
      <w:r w:rsidRPr="00F62AD3">
        <w:rPr>
          <w:sz w:val="20"/>
          <w:lang w:val="en-US"/>
        </w:rPr>
        <w:t xml:space="preserve">), based on Anatomical Therapeutic Chemical (ATC) classification system and </w:t>
      </w:r>
      <w:proofErr w:type="spellStart"/>
      <w:r w:rsidRPr="00F62AD3">
        <w:rPr>
          <w:sz w:val="20"/>
          <w:lang w:val="en-US"/>
        </w:rPr>
        <w:t>Operationen</w:t>
      </w:r>
      <w:proofErr w:type="spellEnd"/>
      <w:r w:rsidRPr="00F62AD3">
        <w:rPr>
          <w:sz w:val="20"/>
          <w:lang w:val="en-US"/>
        </w:rPr>
        <w:t xml:space="preserve">-und </w:t>
      </w:r>
      <w:proofErr w:type="spellStart"/>
      <w:r w:rsidRPr="00F62AD3">
        <w:rPr>
          <w:sz w:val="20"/>
          <w:lang w:val="en-US"/>
        </w:rPr>
        <w:t>Prozedurenschlüssel</w:t>
      </w:r>
      <w:proofErr w:type="spellEnd"/>
      <w:r w:rsidRPr="00F62AD3">
        <w:rPr>
          <w:sz w:val="20"/>
          <w:lang w:val="en-US"/>
        </w:rPr>
        <w:t>/Operation and Procedure Classification System (OPS) codes. In addition, patients were required to have been continuously enrolled with the health insurance fund for at least 365 days prior to index diagnosis. Patients were excluded if they had a prior MF diagnosis before the MF index date or had a diagnosis of essential thrombocythemia (ET) or polycythemia vera (PV) after the index diagnosis. See also Table S1.</w:t>
      </w:r>
    </w:p>
    <w:p w14:paraId="2DFB77F9" w14:textId="77777777" w:rsidR="00F62AD3" w:rsidRPr="00F62AD3" w:rsidRDefault="00F62AD3" w:rsidP="00F62AD3">
      <w:pPr>
        <w:keepNext/>
        <w:spacing w:before="240" w:after="60"/>
        <w:outlineLvl w:val="1"/>
        <w:rPr>
          <w:b/>
          <w:sz w:val="20"/>
          <w:lang w:val="en-US"/>
        </w:rPr>
      </w:pPr>
      <w:r w:rsidRPr="00F62AD3">
        <w:rPr>
          <w:b/>
          <w:sz w:val="20"/>
          <w:lang w:val="en-US"/>
        </w:rPr>
        <w:lastRenderedPageBreak/>
        <w:t>Analysis cohorts</w:t>
      </w:r>
    </w:p>
    <w:p w14:paraId="23364561" w14:textId="77777777" w:rsidR="00F62AD3" w:rsidRPr="00F62AD3" w:rsidRDefault="00F62AD3" w:rsidP="00F62AD3">
      <w:pPr>
        <w:rPr>
          <w:sz w:val="20"/>
          <w:lang w:val="en-US"/>
        </w:rPr>
      </w:pPr>
      <w:r w:rsidRPr="00F62AD3">
        <w:rPr>
          <w:sz w:val="20"/>
          <w:lang w:val="en-US"/>
        </w:rPr>
        <w:t>The treatment sequencing cohort comprised all patients meeting the main eligibility criteria detailed above. The overall survival (OS)/ healthcare resource utilization (HCRU) descriptive cohort and transfusion status cohort excluded patients if they had an allogeneic hematopoietic stem cell transplantation (</w:t>
      </w:r>
      <w:proofErr w:type="spellStart"/>
      <w:r w:rsidRPr="00F62AD3">
        <w:rPr>
          <w:sz w:val="20"/>
          <w:lang w:val="en-US"/>
        </w:rPr>
        <w:t>allo</w:t>
      </w:r>
      <w:proofErr w:type="spellEnd"/>
      <w:r w:rsidRPr="00F62AD3">
        <w:rPr>
          <w:sz w:val="20"/>
          <w:lang w:val="en-US"/>
        </w:rPr>
        <w:t>-HSCT) or splenectomy procedure after the index date. To be included in the transfusion status cohort, patients had to have at least one prescription or inpatient administration of a treatment for anemia (as listed in</w:t>
      </w:r>
      <w:r w:rsidRPr="00F62AD3">
        <w:rPr>
          <w:i/>
          <w:iCs/>
          <w:sz w:val="20"/>
          <w:lang w:val="en-US"/>
        </w:rPr>
        <w:t xml:space="preserve"> </w:t>
      </w:r>
      <w:r w:rsidRPr="00F62AD3">
        <w:rPr>
          <w:sz w:val="20"/>
          <w:lang w:val="en-US"/>
        </w:rPr>
        <w:t xml:space="preserve">Table S2) from 100 days before the MF index date to end of follow-up. They also needed to have at least 180 days of continuous enrollment within the health insurance fund following the first observed anemia treatment date. Patients with a diagnosis of acute myeloid leukemia (AML) between the MF index date and 180 days after the first anemia diagnosis were excluded from this cohort. In this cohort, the anemia index date was the date of the first anemia </w:t>
      </w:r>
      <w:proofErr w:type="gramStart"/>
      <w:r w:rsidRPr="00F62AD3">
        <w:rPr>
          <w:sz w:val="20"/>
          <w:lang w:val="en-US"/>
        </w:rPr>
        <w:t>treatment</w:t>
      </w:r>
      <w:proofErr w:type="gramEnd"/>
      <w:r w:rsidRPr="00F62AD3">
        <w:rPr>
          <w:sz w:val="20"/>
          <w:lang w:val="en-US"/>
        </w:rPr>
        <w:t xml:space="preserve"> and the landmark date was the last day of the landmark period.</w:t>
      </w:r>
    </w:p>
    <w:p w14:paraId="20CF032D" w14:textId="77777777" w:rsidR="0016650A" w:rsidRPr="000D0D04" w:rsidRDefault="0016650A" w:rsidP="00646B0E">
      <w:pPr>
        <w:keepNext/>
        <w:spacing w:before="240" w:after="0"/>
        <w:outlineLvl w:val="1"/>
        <w:rPr>
          <w:rFonts w:eastAsiaTheme="minorHAnsi" w:cs="Arial"/>
          <w:b/>
          <w:bCs/>
          <w:sz w:val="20"/>
          <w14:ligatures w14:val="standardContextual"/>
        </w:rPr>
      </w:pPr>
      <w:r w:rsidRPr="000D0D04">
        <w:rPr>
          <w:rFonts w:eastAsiaTheme="minorHAnsi" w:cs="Arial"/>
          <w:b/>
          <w:bCs/>
          <w:sz w:val="20"/>
          <w14:ligatures w14:val="standardContextual"/>
        </w:rPr>
        <w:t>Landmark period</w:t>
      </w:r>
    </w:p>
    <w:p w14:paraId="1D86739E" w14:textId="5E69EDA7" w:rsidR="0016650A" w:rsidRPr="0016650A" w:rsidRDefault="0016650A" w:rsidP="00646B0E">
      <w:pPr>
        <w:keepNext/>
        <w:spacing w:after="60"/>
        <w:outlineLvl w:val="1"/>
        <w:rPr>
          <w:rFonts w:cs="Arial"/>
          <w:b/>
          <w:sz w:val="20"/>
          <w:lang w:val="en-US"/>
        </w:rPr>
      </w:pPr>
      <w:r w:rsidRPr="000D0D04">
        <w:rPr>
          <w:rFonts w:eastAsiaTheme="minorHAnsi" w:cs="Arial"/>
          <w:sz w:val="20"/>
          <w:lang w:val="en-US"/>
          <w14:ligatures w14:val="standardContextual"/>
        </w:rPr>
        <w:t>The 180-day landmark period was selected to provide sufficient time after initiation of anemia treatment to observe transfusion patterns and reliably classify patients. In real-world practice, transfusions may occur intermittently and not immediately after treatment initiation. A 6-month window allows adequate</w:t>
      </w:r>
      <w:r w:rsidRPr="000D0D04">
        <w:rPr>
          <w:rFonts w:eastAsiaTheme="minorHAnsi" w:cs="Arial"/>
          <w:sz w:val="20"/>
          <w14:ligatures w14:val="standardContextual"/>
        </w:rPr>
        <w:t xml:space="preserve"> time for patients to meet the transfusion dependency criterion (≥3 transfusions within 12 weeks).</w:t>
      </w:r>
    </w:p>
    <w:p w14:paraId="74105D5F" w14:textId="26BF8CBA" w:rsidR="00F62AD3" w:rsidRPr="00F62AD3" w:rsidRDefault="00F62AD3" w:rsidP="00F62AD3">
      <w:pPr>
        <w:keepNext/>
        <w:spacing w:before="240" w:after="60"/>
        <w:outlineLvl w:val="1"/>
        <w:rPr>
          <w:b/>
          <w:sz w:val="20"/>
          <w:lang w:val="en-US"/>
        </w:rPr>
      </w:pPr>
      <w:r w:rsidRPr="00F62AD3">
        <w:rPr>
          <w:b/>
          <w:sz w:val="20"/>
          <w:lang w:val="en-US"/>
        </w:rPr>
        <w:t>Assessments</w:t>
      </w:r>
    </w:p>
    <w:p w14:paraId="32DAFC20" w14:textId="77777777" w:rsidR="00F62AD3" w:rsidRPr="00F62AD3" w:rsidRDefault="00F62AD3" w:rsidP="00F62AD3">
      <w:pPr>
        <w:rPr>
          <w:sz w:val="20"/>
          <w:lang w:val="en-US"/>
        </w:rPr>
      </w:pPr>
      <w:r w:rsidRPr="00F62AD3">
        <w:rPr>
          <w:sz w:val="20"/>
          <w:lang w:val="en-US"/>
        </w:rPr>
        <w:t>Treatments evaluated included MF-specific treatments (</w:t>
      </w:r>
      <w:proofErr w:type="spellStart"/>
      <w:r w:rsidRPr="00F62AD3">
        <w:rPr>
          <w:sz w:val="20"/>
          <w:lang w:val="en-US"/>
        </w:rPr>
        <w:t>JAKis</w:t>
      </w:r>
      <w:proofErr w:type="spellEnd"/>
      <w:r w:rsidRPr="00F62AD3">
        <w:rPr>
          <w:sz w:val="20"/>
          <w:lang w:val="en-US"/>
        </w:rPr>
        <w:t xml:space="preserve">, peginterferon alpha-2a, immunomodulators, hydroxycarbamide, and </w:t>
      </w:r>
      <w:proofErr w:type="spellStart"/>
      <w:r w:rsidRPr="00F62AD3">
        <w:rPr>
          <w:sz w:val="20"/>
          <w:lang w:val="en-US"/>
        </w:rPr>
        <w:t>allo</w:t>
      </w:r>
      <w:proofErr w:type="spellEnd"/>
      <w:r w:rsidRPr="00F62AD3">
        <w:rPr>
          <w:sz w:val="20"/>
          <w:lang w:val="en-US"/>
        </w:rPr>
        <w:t>-HSCT) as well as concomitant treatments (anemia treatments, including transfusion and splenectomy). Table S2</w:t>
      </w:r>
      <w:r w:rsidRPr="00F62AD3">
        <w:rPr>
          <w:b/>
          <w:bCs/>
          <w:sz w:val="20"/>
          <w:lang w:val="en-US"/>
        </w:rPr>
        <w:t xml:space="preserve"> </w:t>
      </w:r>
      <w:r w:rsidRPr="00F62AD3">
        <w:rPr>
          <w:sz w:val="20"/>
          <w:lang w:val="en-US"/>
        </w:rPr>
        <w:t>lists the treatment identification codes relevant for each category of MF and concomitant treatment. Definitions used within the study are summarized in Table S3.</w:t>
      </w:r>
    </w:p>
    <w:p w14:paraId="16071FC9" w14:textId="77777777" w:rsidR="00F62AD3" w:rsidRPr="00F62AD3" w:rsidRDefault="00F62AD3" w:rsidP="00F62AD3">
      <w:pPr>
        <w:rPr>
          <w:sz w:val="20"/>
          <w:lang w:val="en-US"/>
        </w:rPr>
      </w:pPr>
      <w:r w:rsidRPr="00F62AD3">
        <w:rPr>
          <w:sz w:val="20"/>
          <w:lang w:val="en-US"/>
        </w:rPr>
        <w:t>HCRU included all-cause and MF-specific hospitalizations, specialist/general practitioner visits, provision of any nursing care, and outpatient/inpatient visits associated with transfusions.</w:t>
      </w:r>
    </w:p>
    <w:p w14:paraId="2A5B126D" w14:textId="77777777" w:rsidR="00F62AD3" w:rsidRPr="00F62AD3" w:rsidRDefault="00F62AD3" w:rsidP="00F62AD3">
      <w:pPr>
        <w:keepNext/>
        <w:spacing w:before="240" w:after="60"/>
        <w:outlineLvl w:val="1"/>
        <w:rPr>
          <w:b/>
          <w:sz w:val="20"/>
          <w:lang w:val="en-US"/>
        </w:rPr>
      </w:pPr>
      <w:r w:rsidRPr="00F62AD3">
        <w:rPr>
          <w:b/>
          <w:sz w:val="20"/>
          <w:lang w:val="en-US"/>
        </w:rPr>
        <w:lastRenderedPageBreak/>
        <w:t>Statistical analysis</w:t>
      </w:r>
    </w:p>
    <w:p w14:paraId="02DEA01D" w14:textId="77777777" w:rsidR="00F62AD3" w:rsidRPr="00F62AD3" w:rsidRDefault="00F62AD3" w:rsidP="00F62AD3">
      <w:pPr>
        <w:rPr>
          <w:sz w:val="20"/>
          <w:lang w:val="en-US"/>
        </w:rPr>
      </w:pPr>
      <w:r w:rsidRPr="00F62AD3">
        <w:rPr>
          <w:sz w:val="20"/>
          <w:lang w:val="en-US"/>
        </w:rPr>
        <w:t xml:space="preserve">Patient demographics, comorbidities, treatment sequencing, and HCRU events were summarized using descriptive statistics. Treatment sequencing was assessed from the MF index date until the end of follow-up, and treatment lines were illustrated in a Sankey diagram. Time to treatment initiation and time to switch/discontinuation were described using the Kaplan–Meier method. Survival and HCRU outcomes were assessed from the MF index date or landmark date until the end of follow-up (study end, end of insurance, AML transformation, or death). Kaplan–Meier estimates for OS were depicted with survival curves, and OS hazard ratios were calculated using multivariate Cox proportional hazards regression. </w:t>
      </w:r>
    </w:p>
    <w:p w14:paraId="31B13B13" w14:textId="77777777" w:rsidR="00F62AD3" w:rsidRPr="00F62AD3" w:rsidRDefault="00F62AD3" w:rsidP="00F62AD3">
      <w:pPr>
        <w:rPr>
          <w:sz w:val="20"/>
          <w:lang w:val="en-US"/>
        </w:rPr>
        <w:sectPr w:rsidR="00F62AD3" w:rsidRPr="00F62AD3" w:rsidSect="00932502">
          <w:footerReference w:type="default" r:id="rId10"/>
          <w:pgSz w:w="11906" w:h="16838" w:code="9"/>
          <w:pgMar w:top="1440" w:right="1440" w:bottom="1440" w:left="1440" w:header="706" w:footer="706" w:gutter="0"/>
          <w:cols w:space="720"/>
          <w:docGrid w:linePitch="326"/>
        </w:sectPr>
      </w:pPr>
      <w:r w:rsidRPr="00F62AD3">
        <w:rPr>
          <w:sz w:val="20"/>
          <w:lang w:val="en-US"/>
        </w:rPr>
        <w:t xml:space="preserve">Propensity-score matching was used to match non-TI and TI patients for OS comparison using a 1:2 nearest-neighbor matching algorithm with replacement. Covariates included in this matching included age, sex, time since MF diagnosis, landmark date year, diagnosis of thrombotic disease or thrombocytopenia, and treatment with a </w:t>
      </w:r>
      <w:proofErr w:type="spellStart"/>
      <w:r w:rsidRPr="00F62AD3">
        <w:rPr>
          <w:sz w:val="20"/>
          <w:lang w:val="en-US"/>
        </w:rPr>
        <w:t>JAKi</w:t>
      </w:r>
      <w:proofErr w:type="spellEnd"/>
      <w:r w:rsidRPr="00F62AD3">
        <w:rPr>
          <w:sz w:val="20"/>
          <w:lang w:val="en-US"/>
        </w:rPr>
        <w:t>.</w:t>
      </w:r>
    </w:p>
    <w:p w14:paraId="773406C4" w14:textId="77777777" w:rsidR="00F62AD3" w:rsidRPr="00F62AD3" w:rsidRDefault="00F62AD3" w:rsidP="00F62AD3">
      <w:pPr>
        <w:pageBreakBefore/>
        <w:outlineLvl w:val="0"/>
        <w:rPr>
          <w:b/>
          <w:bCs/>
          <w:sz w:val="20"/>
          <w:lang w:val="en-US"/>
        </w:rPr>
      </w:pPr>
      <w:r w:rsidRPr="00F62AD3">
        <w:rPr>
          <w:b/>
          <w:sz w:val="20"/>
          <w:lang w:val="en-US"/>
        </w:rPr>
        <w:lastRenderedPageBreak/>
        <w:t xml:space="preserve">Table S1 </w:t>
      </w:r>
      <w:r w:rsidRPr="00F62AD3">
        <w:rPr>
          <w:sz w:val="20"/>
          <w:lang w:val="en-US"/>
        </w:rPr>
        <w:t>Eligibility criteria</w:t>
      </w:r>
    </w:p>
    <w:tbl>
      <w:tblPr>
        <w:tblW w:w="14317" w:type="dxa"/>
        <w:tblLayout w:type="fixed"/>
        <w:tblLook w:val="04A0" w:firstRow="1" w:lastRow="0" w:firstColumn="1" w:lastColumn="0" w:noHBand="0" w:noVBand="1"/>
      </w:tblPr>
      <w:tblGrid>
        <w:gridCol w:w="1560"/>
        <w:gridCol w:w="6095"/>
        <w:gridCol w:w="6662"/>
      </w:tblGrid>
      <w:tr w:rsidR="00F62AD3" w:rsidRPr="00F62AD3" w14:paraId="62D3081D" w14:textId="77777777">
        <w:trPr>
          <w:trHeight w:val="446"/>
        </w:trPr>
        <w:tc>
          <w:tcPr>
            <w:tcW w:w="1560" w:type="dxa"/>
            <w:tcBorders>
              <w:top w:val="single" w:sz="4" w:space="0" w:color="auto"/>
              <w:bottom w:val="single" w:sz="4" w:space="0" w:color="auto"/>
            </w:tcBorders>
            <w:vAlign w:val="bottom"/>
            <w:hideMark/>
          </w:tcPr>
          <w:p w14:paraId="21F48D42" w14:textId="77777777" w:rsidR="00F62AD3" w:rsidRPr="00F62AD3" w:rsidRDefault="00F62AD3" w:rsidP="00F62AD3">
            <w:pPr>
              <w:spacing w:before="120" w:after="120" w:line="240" w:lineRule="auto"/>
              <w:rPr>
                <w:rFonts w:cs="Arial"/>
                <w:b/>
                <w:bCs/>
                <w:sz w:val="20"/>
                <w:lang w:val="en-US"/>
              </w:rPr>
            </w:pPr>
            <w:r w:rsidRPr="00F62AD3">
              <w:rPr>
                <w:rFonts w:cs="Arial"/>
                <w:b/>
                <w:bCs/>
                <w:sz w:val="20"/>
                <w:lang w:val="en-US"/>
              </w:rPr>
              <w:t>Analysis</w:t>
            </w:r>
          </w:p>
        </w:tc>
        <w:tc>
          <w:tcPr>
            <w:tcW w:w="6095" w:type="dxa"/>
            <w:tcBorders>
              <w:top w:val="single" w:sz="4" w:space="0" w:color="auto"/>
              <w:bottom w:val="single" w:sz="4" w:space="0" w:color="auto"/>
            </w:tcBorders>
            <w:shd w:val="clear" w:color="000000" w:fill="auto"/>
            <w:vAlign w:val="bottom"/>
            <w:hideMark/>
          </w:tcPr>
          <w:p w14:paraId="3DDBE0CA" w14:textId="77777777" w:rsidR="00F62AD3" w:rsidRPr="00F62AD3" w:rsidRDefault="00F62AD3" w:rsidP="00F62AD3">
            <w:pPr>
              <w:spacing w:before="120" w:after="120" w:line="240" w:lineRule="auto"/>
              <w:jc w:val="center"/>
              <w:rPr>
                <w:rFonts w:cs="Arial"/>
                <w:b/>
                <w:bCs/>
                <w:sz w:val="20"/>
                <w:lang w:val="en-US"/>
              </w:rPr>
            </w:pPr>
            <w:r w:rsidRPr="00F62AD3">
              <w:rPr>
                <w:rFonts w:cs="Arial"/>
                <w:b/>
                <w:bCs/>
                <w:sz w:val="20"/>
                <w:lang w:val="en-US"/>
              </w:rPr>
              <w:t>Eligibility criteria</w:t>
            </w:r>
          </w:p>
        </w:tc>
        <w:tc>
          <w:tcPr>
            <w:tcW w:w="6662" w:type="dxa"/>
            <w:tcBorders>
              <w:top w:val="single" w:sz="4" w:space="0" w:color="auto"/>
              <w:bottom w:val="single" w:sz="4" w:space="0" w:color="auto"/>
            </w:tcBorders>
            <w:shd w:val="clear" w:color="000000" w:fill="auto"/>
            <w:vAlign w:val="bottom"/>
          </w:tcPr>
          <w:p w14:paraId="374B679F" w14:textId="77777777" w:rsidR="00F62AD3" w:rsidRPr="00F62AD3" w:rsidRDefault="00F62AD3" w:rsidP="00F62AD3">
            <w:pPr>
              <w:spacing w:before="120" w:after="120" w:line="240" w:lineRule="auto"/>
              <w:jc w:val="center"/>
              <w:rPr>
                <w:rFonts w:cs="Arial"/>
                <w:b/>
                <w:bCs/>
                <w:sz w:val="20"/>
                <w:lang w:val="en-US"/>
              </w:rPr>
            </w:pPr>
            <w:r w:rsidRPr="00F62AD3">
              <w:rPr>
                <w:rFonts w:cs="Arial"/>
                <w:b/>
                <w:bCs/>
                <w:sz w:val="20"/>
                <w:lang w:val="en-US"/>
              </w:rPr>
              <w:t>Identification codes</w:t>
            </w:r>
          </w:p>
        </w:tc>
      </w:tr>
      <w:tr w:rsidR="00F62AD3" w:rsidRPr="00F62AD3" w14:paraId="45240B74" w14:textId="77777777">
        <w:trPr>
          <w:trHeight w:val="222"/>
        </w:trPr>
        <w:tc>
          <w:tcPr>
            <w:tcW w:w="1560" w:type="dxa"/>
            <w:tcBorders>
              <w:top w:val="single" w:sz="4" w:space="0" w:color="auto"/>
              <w:bottom w:val="single" w:sz="4" w:space="0" w:color="auto"/>
            </w:tcBorders>
            <w:noWrap/>
          </w:tcPr>
          <w:p w14:paraId="54EB3A11" w14:textId="77777777" w:rsidR="00F62AD3" w:rsidRPr="00F62AD3" w:rsidRDefault="00F62AD3" w:rsidP="00F62AD3">
            <w:pPr>
              <w:spacing w:before="120" w:after="120" w:line="240" w:lineRule="auto"/>
              <w:rPr>
                <w:rFonts w:cs="Arial"/>
                <w:b/>
                <w:bCs/>
                <w:sz w:val="20"/>
                <w:lang w:val="en-US"/>
              </w:rPr>
            </w:pPr>
            <w:r w:rsidRPr="00F62AD3">
              <w:rPr>
                <w:rFonts w:cs="Arial"/>
                <w:sz w:val="20"/>
                <w:lang w:val="en-US"/>
              </w:rPr>
              <w:t xml:space="preserve">All </w:t>
            </w:r>
            <w:r w:rsidRPr="00F62AD3">
              <w:rPr>
                <w:rFonts w:cs="Arial"/>
                <w:b/>
                <w:bCs/>
                <w:sz w:val="20"/>
                <w:lang w:val="en-US"/>
              </w:rPr>
              <w:t>(treatment sequencing cohort)</w:t>
            </w:r>
          </w:p>
        </w:tc>
        <w:tc>
          <w:tcPr>
            <w:tcW w:w="6095" w:type="dxa"/>
            <w:tcBorders>
              <w:top w:val="single" w:sz="4" w:space="0" w:color="auto"/>
              <w:bottom w:val="single" w:sz="4" w:space="0" w:color="auto"/>
            </w:tcBorders>
            <w:noWrap/>
            <w:vAlign w:val="bottom"/>
          </w:tcPr>
          <w:p w14:paraId="5F1F8FD7" w14:textId="77777777" w:rsidR="00F62AD3" w:rsidRPr="00F62AD3" w:rsidRDefault="00F62AD3" w:rsidP="00F62AD3">
            <w:pPr>
              <w:spacing w:before="120" w:after="120" w:line="240" w:lineRule="auto"/>
              <w:rPr>
                <w:rFonts w:cs="Arial"/>
                <w:b/>
                <w:bCs/>
                <w:sz w:val="20"/>
                <w:u w:val="single"/>
                <w:lang w:val="en-US"/>
              </w:rPr>
            </w:pPr>
            <w:r w:rsidRPr="00F62AD3">
              <w:rPr>
                <w:rFonts w:cs="Arial"/>
                <w:b/>
                <w:bCs/>
                <w:sz w:val="20"/>
                <w:u w:val="single"/>
                <w:lang w:val="en-US"/>
              </w:rPr>
              <w:t>Inclusion</w:t>
            </w:r>
          </w:p>
          <w:p w14:paraId="58DE1A00" w14:textId="77777777" w:rsidR="00F62AD3" w:rsidRPr="00F62AD3" w:rsidRDefault="00F62AD3" w:rsidP="00F62AD3">
            <w:pPr>
              <w:numPr>
                <w:ilvl w:val="0"/>
                <w:numId w:val="1"/>
              </w:numPr>
              <w:spacing w:before="120" w:after="120" w:line="240" w:lineRule="auto"/>
              <w:ind w:right="32"/>
              <w:rPr>
                <w:rFonts w:cs="Arial"/>
                <w:sz w:val="20"/>
                <w:lang w:val="en-US"/>
              </w:rPr>
            </w:pPr>
            <w:r w:rsidRPr="00F62AD3">
              <w:rPr>
                <w:rFonts w:cs="Arial"/>
                <w:sz w:val="20"/>
                <w:lang w:val="en-US"/>
              </w:rPr>
              <w:t>At least one inpatient or two confirmed outpatient diagnoses in two different quarters within 12 months for MF from January 1, 2012, to December 31, 2021 (first diagnosis date = MF index date)</w:t>
            </w:r>
          </w:p>
          <w:p w14:paraId="5B98453E" w14:textId="77777777" w:rsidR="00F62AD3" w:rsidRPr="00F62AD3" w:rsidRDefault="00F62AD3" w:rsidP="00F62AD3">
            <w:pPr>
              <w:numPr>
                <w:ilvl w:val="0"/>
                <w:numId w:val="1"/>
              </w:numPr>
              <w:spacing w:before="120" w:after="120" w:line="240" w:lineRule="auto"/>
              <w:rPr>
                <w:rFonts w:cs="Arial"/>
                <w:sz w:val="20"/>
                <w:lang w:val="en-US"/>
              </w:rPr>
            </w:pPr>
            <w:r w:rsidRPr="00F62AD3">
              <w:rPr>
                <w:rFonts w:cs="Arial"/>
                <w:sz w:val="20"/>
                <w:lang w:val="en-US"/>
              </w:rPr>
              <w:t>Following the first observed MF diagnosis (including the MF index date):</w:t>
            </w:r>
          </w:p>
          <w:p w14:paraId="7BA55428" w14:textId="77777777" w:rsidR="00F62AD3" w:rsidRPr="00F62AD3" w:rsidRDefault="00F62AD3" w:rsidP="00F62AD3">
            <w:pPr>
              <w:numPr>
                <w:ilvl w:val="1"/>
                <w:numId w:val="1"/>
              </w:numPr>
              <w:spacing w:before="120" w:after="120" w:line="240" w:lineRule="auto"/>
              <w:ind w:left="882"/>
              <w:rPr>
                <w:rFonts w:cs="Arial"/>
                <w:sz w:val="20"/>
                <w:lang w:val="en-US"/>
              </w:rPr>
            </w:pPr>
            <w:r w:rsidRPr="00F62AD3">
              <w:rPr>
                <w:rFonts w:cs="Arial"/>
                <w:sz w:val="20"/>
                <w:lang w:val="en-US"/>
              </w:rPr>
              <w:t xml:space="preserve">At least one inpatient or confirmed outpatient diagnosis of osteomyelofibrosis, </w:t>
            </w:r>
            <w:r w:rsidRPr="00F62AD3">
              <w:rPr>
                <w:rFonts w:cs="Arial"/>
                <w:b/>
                <w:bCs/>
                <w:sz w:val="20"/>
                <w:lang w:val="en-US"/>
              </w:rPr>
              <w:t>or</w:t>
            </w:r>
          </w:p>
          <w:p w14:paraId="109A6D4F" w14:textId="77777777" w:rsidR="00F62AD3" w:rsidRPr="00F62AD3" w:rsidRDefault="00F62AD3" w:rsidP="00F62AD3">
            <w:pPr>
              <w:numPr>
                <w:ilvl w:val="1"/>
                <w:numId w:val="1"/>
              </w:numPr>
              <w:spacing w:before="120" w:after="120" w:line="240" w:lineRule="auto"/>
              <w:ind w:left="882"/>
              <w:rPr>
                <w:rFonts w:cs="Arial"/>
                <w:sz w:val="20"/>
                <w:lang w:val="en-US"/>
              </w:rPr>
            </w:pPr>
            <w:r w:rsidRPr="00F62AD3">
              <w:rPr>
                <w:rFonts w:cs="Arial"/>
                <w:sz w:val="20"/>
                <w:lang w:val="en-US"/>
              </w:rPr>
              <w:t xml:space="preserve">At least one prescription or inpatient administration of a </w:t>
            </w:r>
            <w:proofErr w:type="spellStart"/>
            <w:r w:rsidRPr="00F62AD3">
              <w:rPr>
                <w:rFonts w:cs="Arial"/>
                <w:sz w:val="20"/>
                <w:lang w:val="en-US"/>
              </w:rPr>
              <w:t>JAKi</w:t>
            </w:r>
            <w:proofErr w:type="spellEnd"/>
            <w:r w:rsidRPr="00F62AD3">
              <w:rPr>
                <w:rFonts w:cs="Arial"/>
                <w:sz w:val="20"/>
                <w:lang w:val="en-US"/>
              </w:rPr>
              <w:t xml:space="preserve"> medication</w:t>
            </w:r>
          </w:p>
          <w:p w14:paraId="0F601D09" w14:textId="77777777" w:rsidR="00F62AD3" w:rsidRPr="00F62AD3" w:rsidRDefault="00F62AD3" w:rsidP="00F62AD3">
            <w:pPr>
              <w:numPr>
                <w:ilvl w:val="0"/>
                <w:numId w:val="1"/>
              </w:numPr>
              <w:spacing w:before="120" w:after="120" w:line="240" w:lineRule="auto"/>
              <w:rPr>
                <w:rFonts w:cs="Arial"/>
                <w:sz w:val="20"/>
                <w:lang w:val="en-US"/>
              </w:rPr>
            </w:pPr>
            <w:r w:rsidRPr="00F62AD3">
              <w:rPr>
                <w:rFonts w:cs="Arial"/>
                <w:sz w:val="20"/>
                <w:lang w:val="en-US"/>
              </w:rPr>
              <w:t>≥18 years of age at MF index date</w:t>
            </w:r>
          </w:p>
          <w:p w14:paraId="7546919F" w14:textId="77777777" w:rsidR="00F62AD3" w:rsidRPr="00F62AD3" w:rsidRDefault="00F62AD3" w:rsidP="00F62AD3">
            <w:pPr>
              <w:numPr>
                <w:ilvl w:val="0"/>
                <w:numId w:val="1"/>
              </w:numPr>
              <w:spacing w:before="120" w:after="120" w:line="240" w:lineRule="auto"/>
              <w:rPr>
                <w:rFonts w:cs="Arial"/>
                <w:sz w:val="20"/>
                <w:lang w:val="en-US"/>
              </w:rPr>
            </w:pPr>
            <w:r w:rsidRPr="00F62AD3">
              <w:rPr>
                <w:rFonts w:cs="Arial"/>
                <w:sz w:val="20"/>
                <w:lang w:val="en-US"/>
              </w:rPr>
              <w:t>≥365 days of continuous enrollment prior to MF index date</w:t>
            </w:r>
          </w:p>
          <w:p w14:paraId="2F4D792C" w14:textId="77777777" w:rsidR="00F62AD3" w:rsidRPr="00F62AD3" w:rsidRDefault="00F62AD3" w:rsidP="00F62AD3">
            <w:pPr>
              <w:spacing w:before="120" w:after="120" w:line="240" w:lineRule="auto"/>
              <w:rPr>
                <w:rFonts w:cs="Arial"/>
                <w:sz w:val="20"/>
                <w:lang w:val="en-US"/>
              </w:rPr>
            </w:pPr>
          </w:p>
          <w:p w14:paraId="4A2E62ED" w14:textId="77777777" w:rsidR="00F62AD3" w:rsidRPr="00F62AD3" w:rsidRDefault="00F62AD3" w:rsidP="00F62AD3">
            <w:pPr>
              <w:spacing w:before="120" w:after="120" w:line="240" w:lineRule="auto"/>
              <w:rPr>
                <w:rFonts w:cs="Arial"/>
                <w:b/>
                <w:bCs/>
                <w:sz w:val="20"/>
                <w:u w:val="single"/>
                <w:lang w:val="en-US"/>
              </w:rPr>
            </w:pPr>
            <w:r w:rsidRPr="00F62AD3">
              <w:rPr>
                <w:rFonts w:cs="Arial"/>
                <w:b/>
                <w:bCs/>
                <w:sz w:val="20"/>
                <w:u w:val="single"/>
                <w:lang w:val="en-US"/>
              </w:rPr>
              <w:t>Exclusion</w:t>
            </w:r>
          </w:p>
          <w:p w14:paraId="7096050C" w14:textId="77777777" w:rsidR="00F62AD3" w:rsidRPr="00F62AD3" w:rsidRDefault="00F62AD3" w:rsidP="00F62AD3">
            <w:pPr>
              <w:spacing w:before="120" w:after="120" w:line="240" w:lineRule="auto"/>
              <w:rPr>
                <w:rFonts w:cs="Arial"/>
                <w:sz w:val="20"/>
                <w:lang w:val="en-US"/>
              </w:rPr>
            </w:pPr>
            <w:r w:rsidRPr="00F62AD3">
              <w:rPr>
                <w:rFonts w:cs="Arial"/>
                <w:sz w:val="20"/>
                <w:lang w:val="en-US"/>
              </w:rPr>
              <w:t>≥1 MF diagnosis any time prior to the MF index date</w:t>
            </w:r>
          </w:p>
          <w:p w14:paraId="464C8D3A" w14:textId="77777777" w:rsidR="00F62AD3" w:rsidRPr="00F62AD3" w:rsidRDefault="00F62AD3" w:rsidP="00F62AD3">
            <w:pPr>
              <w:spacing w:before="120" w:after="120" w:line="240" w:lineRule="auto"/>
              <w:rPr>
                <w:rFonts w:cs="Arial"/>
                <w:sz w:val="20"/>
                <w:lang w:val="en-US"/>
              </w:rPr>
            </w:pPr>
            <w:r w:rsidRPr="00F62AD3">
              <w:rPr>
                <w:rFonts w:cs="Arial"/>
                <w:sz w:val="20"/>
                <w:lang w:val="en-US"/>
              </w:rPr>
              <w:t>≥1 ET/PV diagnosis at any time following the MF index date</w:t>
            </w:r>
          </w:p>
        </w:tc>
        <w:tc>
          <w:tcPr>
            <w:tcW w:w="6662" w:type="dxa"/>
            <w:tcBorders>
              <w:top w:val="single" w:sz="4" w:space="0" w:color="auto"/>
              <w:bottom w:val="single" w:sz="4" w:space="0" w:color="auto"/>
            </w:tcBorders>
          </w:tcPr>
          <w:p w14:paraId="01D2CB42" w14:textId="77777777" w:rsidR="00F62AD3" w:rsidRPr="00F62AD3" w:rsidRDefault="00F62AD3" w:rsidP="00F62AD3">
            <w:pPr>
              <w:numPr>
                <w:ilvl w:val="0"/>
                <w:numId w:val="2"/>
              </w:numPr>
              <w:spacing w:before="120" w:after="120" w:line="240" w:lineRule="auto"/>
              <w:rPr>
                <w:rFonts w:cs="Arial"/>
                <w:sz w:val="20"/>
                <w:lang w:val="en-US"/>
              </w:rPr>
            </w:pPr>
            <w:r w:rsidRPr="00F62AD3">
              <w:rPr>
                <w:rFonts w:cs="Arial"/>
                <w:sz w:val="20"/>
                <w:lang w:val="en-US"/>
              </w:rPr>
              <w:t>MF:</w:t>
            </w:r>
          </w:p>
          <w:p w14:paraId="0ECC46A5" w14:textId="77777777" w:rsidR="00F62AD3" w:rsidRPr="00F62AD3" w:rsidRDefault="00F62AD3" w:rsidP="00F62AD3">
            <w:pPr>
              <w:numPr>
                <w:ilvl w:val="1"/>
                <w:numId w:val="2"/>
              </w:numPr>
              <w:spacing w:before="120" w:after="120" w:line="240" w:lineRule="auto"/>
              <w:rPr>
                <w:rFonts w:cs="Arial"/>
                <w:sz w:val="20"/>
                <w:lang w:val="en-US"/>
              </w:rPr>
            </w:pPr>
            <w:r w:rsidRPr="00F62AD3">
              <w:rPr>
                <w:rFonts w:cs="Arial"/>
                <w:sz w:val="20"/>
                <w:lang w:val="en-US"/>
              </w:rPr>
              <w:t>Osteomyelofibrosis: ICD-10-GM D47.4</w:t>
            </w:r>
          </w:p>
          <w:p w14:paraId="4DBEED1A" w14:textId="77777777" w:rsidR="00F62AD3" w:rsidRPr="00F62AD3" w:rsidRDefault="00F62AD3" w:rsidP="00F62AD3">
            <w:pPr>
              <w:numPr>
                <w:ilvl w:val="1"/>
                <w:numId w:val="2"/>
              </w:numPr>
              <w:spacing w:before="120" w:after="120" w:line="240" w:lineRule="auto"/>
              <w:rPr>
                <w:rFonts w:cs="Arial"/>
                <w:sz w:val="20"/>
                <w:lang w:val="en-US"/>
              </w:rPr>
            </w:pPr>
            <w:r w:rsidRPr="00F62AD3">
              <w:rPr>
                <w:rFonts w:cs="Arial"/>
                <w:sz w:val="20"/>
                <w:lang w:val="en-US"/>
              </w:rPr>
              <w:t>Chronic myeloproliferative disease: ICD-10-GM D47.1</w:t>
            </w:r>
          </w:p>
          <w:p w14:paraId="309AE207" w14:textId="77777777" w:rsidR="00F62AD3" w:rsidRPr="00F62AD3" w:rsidRDefault="00F62AD3" w:rsidP="00F62AD3">
            <w:pPr>
              <w:numPr>
                <w:ilvl w:val="1"/>
                <w:numId w:val="2"/>
              </w:numPr>
              <w:spacing w:before="120" w:after="120" w:line="240" w:lineRule="auto"/>
              <w:rPr>
                <w:rFonts w:cs="Arial"/>
                <w:sz w:val="20"/>
                <w:lang w:val="en-US"/>
              </w:rPr>
            </w:pPr>
            <w:r w:rsidRPr="00F62AD3">
              <w:rPr>
                <w:rFonts w:cs="Arial"/>
                <w:sz w:val="20"/>
                <w:lang w:val="en-US"/>
              </w:rPr>
              <w:t>Myelodysplastic and myeloproliferative disease, not elsewhere classified: ICD-10-GM C94.6</w:t>
            </w:r>
          </w:p>
          <w:p w14:paraId="40DDE961" w14:textId="77777777" w:rsidR="00F62AD3" w:rsidRPr="00F62AD3" w:rsidRDefault="00F62AD3" w:rsidP="00F62AD3">
            <w:pPr>
              <w:numPr>
                <w:ilvl w:val="0"/>
                <w:numId w:val="2"/>
              </w:numPr>
              <w:spacing w:before="120" w:after="120" w:line="240" w:lineRule="auto"/>
              <w:rPr>
                <w:rFonts w:cs="Arial"/>
                <w:sz w:val="20"/>
                <w:lang w:val="en-US"/>
              </w:rPr>
            </w:pPr>
            <w:r w:rsidRPr="00F62AD3">
              <w:rPr>
                <w:rFonts w:cs="Arial"/>
                <w:sz w:val="20"/>
                <w:lang w:val="en-US"/>
              </w:rPr>
              <w:t xml:space="preserve"> </w:t>
            </w:r>
            <w:proofErr w:type="spellStart"/>
            <w:r w:rsidRPr="00F62AD3">
              <w:rPr>
                <w:rFonts w:cs="Arial"/>
                <w:sz w:val="20"/>
                <w:lang w:val="en-US"/>
              </w:rPr>
              <w:t>JAKi</w:t>
            </w:r>
            <w:proofErr w:type="spellEnd"/>
            <w:r w:rsidRPr="00F62AD3">
              <w:rPr>
                <w:rFonts w:cs="Arial"/>
                <w:sz w:val="20"/>
                <w:lang w:val="en-US"/>
              </w:rPr>
              <w:t>:</w:t>
            </w:r>
          </w:p>
          <w:p w14:paraId="1C4F08FB" w14:textId="77777777" w:rsidR="00F62AD3" w:rsidRPr="00F62AD3" w:rsidRDefault="00F62AD3" w:rsidP="00F62AD3">
            <w:pPr>
              <w:numPr>
                <w:ilvl w:val="1"/>
                <w:numId w:val="2"/>
              </w:numPr>
              <w:spacing w:before="120" w:after="120" w:line="240" w:lineRule="auto"/>
              <w:rPr>
                <w:rFonts w:cs="Arial"/>
                <w:sz w:val="20"/>
                <w:lang w:val="en-US"/>
              </w:rPr>
            </w:pPr>
            <w:r w:rsidRPr="00F62AD3">
              <w:rPr>
                <w:rFonts w:cs="Arial"/>
                <w:sz w:val="20"/>
                <w:lang w:val="en-US"/>
              </w:rPr>
              <w:t>Ruxolitinib: ATC L01XE18 (prior to 2021), L01EJ01 (since 2021), OPS 6-009.4</w:t>
            </w:r>
          </w:p>
          <w:p w14:paraId="1F183763" w14:textId="77777777" w:rsidR="00F62AD3" w:rsidRPr="00F62AD3" w:rsidRDefault="00F62AD3" w:rsidP="00F62AD3">
            <w:pPr>
              <w:numPr>
                <w:ilvl w:val="1"/>
                <w:numId w:val="2"/>
              </w:numPr>
              <w:spacing w:before="120" w:after="120" w:line="240" w:lineRule="auto"/>
              <w:rPr>
                <w:rFonts w:cs="Arial"/>
                <w:sz w:val="20"/>
                <w:lang w:val="en-US"/>
              </w:rPr>
            </w:pPr>
            <w:r w:rsidRPr="00F62AD3">
              <w:rPr>
                <w:rFonts w:cs="Arial"/>
                <w:sz w:val="20"/>
                <w:lang w:val="en-US"/>
              </w:rPr>
              <w:t>Fedratinib: ATC L01EJ02</w:t>
            </w:r>
          </w:p>
          <w:p w14:paraId="7F119F43" w14:textId="77777777" w:rsidR="00F62AD3" w:rsidRPr="00F62AD3" w:rsidRDefault="00F62AD3" w:rsidP="00F62AD3">
            <w:pPr>
              <w:numPr>
                <w:ilvl w:val="0"/>
                <w:numId w:val="2"/>
              </w:numPr>
              <w:spacing w:before="120" w:after="120" w:line="240" w:lineRule="auto"/>
              <w:rPr>
                <w:rFonts w:cs="Arial"/>
                <w:sz w:val="20"/>
                <w:lang w:val="en-US"/>
              </w:rPr>
            </w:pPr>
            <w:r w:rsidRPr="00F62AD3">
              <w:rPr>
                <w:rFonts w:cs="Arial"/>
                <w:sz w:val="20"/>
                <w:lang w:val="en-US"/>
              </w:rPr>
              <w:t>ET: ICD-10-GM D47.3</w:t>
            </w:r>
          </w:p>
          <w:p w14:paraId="6217C66C" w14:textId="77777777" w:rsidR="00F62AD3" w:rsidRPr="00F62AD3" w:rsidRDefault="00F62AD3" w:rsidP="00F62AD3">
            <w:pPr>
              <w:numPr>
                <w:ilvl w:val="0"/>
                <w:numId w:val="2"/>
              </w:numPr>
              <w:spacing w:before="120" w:after="120" w:line="240" w:lineRule="auto"/>
              <w:rPr>
                <w:rFonts w:cs="Arial"/>
                <w:sz w:val="20"/>
                <w:lang w:val="en-US"/>
              </w:rPr>
            </w:pPr>
            <w:r w:rsidRPr="00F62AD3">
              <w:rPr>
                <w:rFonts w:cs="Arial"/>
                <w:sz w:val="20"/>
                <w:lang w:val="en-US"/>
              </w:rPr>
              <w:t>PV: ICD-10-GM D45</w:t>
            </w:r>
          </w:p>
        </w:tc>
      </w:tr>
      <w:tr w:rsidR="00F62AD3" w:rsidRPr="00F62AD3" w14:paraId="0D78140E" w14:textId="77777777">
        <w:trPr>
          <w:trHeight w:val="222"/>
        </w:trPr>
        <w:tc>
          <w:tcPr>
            <w:tcW w:w="14317" w:type="dxa"/>
            <w:gridSpan w:val="3"/>
            <w:tcBorders>
              <w:top w:val="single" w:sz="4" w:space="0" w:color="auto"/>
              <w:bottom w:val="single" w:sz="4" w:space="0" w:color="auto"/>
            </w:tcBorders>
            <w:noWrap/>
            <w:vAlign w:val="center"/>
            <w:hideMark/>
          </w:tcPr>
          <w:p w14:paraId="12D84267" w14:textId="77777777" w:rsidR="00F62AD3" w:rsidRPr="00F62AD3" w:rsidRDefault="00F62AD3" w:rsidP="00F62AD3">
            <w:pPr>
              <w:spacing w:before="120" w:after="120" w:line="240" w:lineRule="auto"/>
              <w:rPr>
                <w:rFonts w:cs="Arial"/>
                <w:sz w:val="20"/>
                <w:lang w:val="en-US"/>
              </w:rPr>
            </w:pPr>
            <w:r w:rsidRPr="00F62AD3">
              <w:rPr>
                <w:rFonts w:cs="Arial"/>
                <w:b/>
                <w:bCs/>
                <w:sz w:val="20"/>
                <w:lang w:val="en-US"/>
              </w:rPr>
              <w:t xml:space="preserve">Additional eligibility criteria </w:t>
            </w:r>
          </w:p>
        </w:tc>
      </w:tr>
      <w:tr w:rsidR="00F62AD3" w:rsidRPr="00F62AD3" w14:paraId="57733854" w14:textId="77777777">
        <w:trPr>
          <w:trHeight w:val="222"/>
        </w:trPr>
        <w:tc>
          <w:tcPr>
            <w:tcW w:w="1560" w:type="dxa"/>
            <w:tcBorders>
              <w:top w:val="single" w:sz="4" w:space="0" w:color="auto"/>
              <w:bottom w:val="single" w:sz="4" w:space="0" w:color="auto"/>
            </w:tcBorders>
            <w:noWrap/>
            <w:vAlign w:val="center"/>
          </w:tcPr>
          <w:p w14:paraId="52A61E1F" w14:textId="77777777" w:rsidR="00F62AD3" w:rsidRPr="00F62AD3" w:rsidRDefault="00F62AD3" w:rsidP="00F62AD3">
            <w:pPr>
              <w:spacing w:before="120" w:after="120" w:line="240" w:lineRule="auto"/>
              <w:rPr>
                <w:rFonts w:cs="Arial"/>
                <w:sz w:val="20"/>
                <w:lang w:val="en-US"/>
              </w:rPr>
            </w:pPr>
            <w:r w:rsidRPr="00F62AD3">
              <w:rPr>
                <w:rFonts w:cs="Arial"/>
                <w:sz w:val="20"/>
                <w:lang w:val="en-US"/>
              </w:rPr>
              <w:t xml:space="preserve">OS and HCRU analysis from MF index date </w:t>
            </w:r>
            <w:r w:rsidRPr="00F62AD3">
              <w:rPr>
                <w:rFonts w:cs="Arial"/>
                <w:b/>
                <w:bCs/>
                <w:sz w:val="20"/>
                <w:lang w:val="en-US"/>
              </w:rPr>
              <w:t>(OS/HCRU descriptive cohort)</w:t>
            </w:r>
          </w:p>
        </w:tc>
        <w:tc>
          <w:tcPr>
            <w:tcW w:w="6095" w:type="dxa"/>
            <w:tcBorders>
              <w:top w:val="single" w:sz="4" w:space="0" w:color="auto"/>
              <w:bottom w:val="single" w:sz="4" w:space="0" w:color="auto"/>
            </w:tcBorders>
            <w:noWrap/>
          </w:tcPr>
          <w:p w14:paraId="49DE7E93" w14:textId="77777777" w:rsidR="00F62AD3" w:rsidRPr="00F62AD3" w:rsidRDefault="00F62AD3" w:rsidP="00F62AD3">
            <w:pPr>
              <w:spacing w:before="120" w:after="120" w:line="240" w:lineRule="auto"/>
              <w:rPr>
                <w:rFonts w:cs="Arial"/>
                <w:b/>
                <w:bCs/>
                <w:sz w:val="20"/>
                <w:u w:val="single"/>
                <w:lang w:val="en-US"/>
              </w:rPr>
            </w:pPr>
            <w:r w:rsidRPr="00F62AD3">
              <w:rPr>
                <w:rFonts w:cs="Arial"/>
                <w:b/>
                <w:bCs/>
                <w:sz w:val="20"/>
                <w:u w:val="single"/>
                <w:lang w:val="en-US"/>
              </w:rPr>
              <w:t>Exclusion</w:t>
            </w:r>
          </w:p>
          <w:p w14:paraId="77AABC25" w14:textId="77777777" w:rsidR="00F62AD3" w:rsidRPr="00F62AD3" w:rsidRDefault="00F62AD3" w:rsidP="00F62AD3">
            <w:pPr>
              <w:spacing w:before="120" w:after="120" w:line="240" w:lineRule="auto"/>
              <w:rPr>
                <w:rFonts w:cs="Arial"/>
                <w:sz w:val="20"/>
                <w:lang w:val="en-US"/>
              </w:rPr>
            </w:pPr>
            <w:r w:rsidRPr="00F62AD3">
              <w:rPr>
                <w:rFonts w:cs="Arial"/>
                <w:sz w:val="20"/>
                <w:lang w:val="en-US"/>
              </w:rPr>
              <w:t>≥1 </w:t>
            </w:r>
            <w:proofErr w:type="spellStart"/>
            <w:r w:rsidRPr="00F62AD3">
              <w:rPr>
                <w:rFonts w:cs="Arial"/>
                <w:sz w:val="20"/>
                <w:lang w:val="en-US"/>
              </w:rPr>
              <w:t>allo</w:t>
            </w:r>
            <w:proofErr w:type="spellEnd"/>
            <w:r w:rsidRPr="00F62AD3">
              <w:rPr>
                <w:rFonts w:cs="Arial"/>
                <w:sz w:val="20"/>
                <w:lang w:val="en-US"/>
              </w:rPr>
              <w:t>-HSCT or splenectomy (total or partial) procedure at any time after first observed MF diagnosis (inclusive)</w:t>
            </w:r>
          </w:p>
        </w:tc>
        <w:tc>
          <w:tcPr>
            <w:tcW w:w="6662" w:type="dxa"/>
            <w:tcBorders>
              <w:top w:val="single" w:sz="4" w:space="0" w:color="auto"/>
              <w:bottom w:val="single" w:sz="4" w:space="0" w:color="auto"/>
            </w:tcBorders>
          </w:tcPr>
          <w:p w14:paraId="6C00C31C" w14:textId="77777777" w:rsidR="00F62AD3" w:rsidRPr="00F62AD3" w:rsidRDefault="00F62AD3" w:rsidP="00F62AD3">
            <w:pPr>
              <w:numPr>
                <w:ilvl w:val="0"/>
                <w:numId w:val="2"/>
              </w:numPr>
              <w:spacing w:before="120" w:after="120" w:line="240" w:lineRule="auto"/>
              <w:rPr>
                <w:rFonts w:cs="Arial"/>
                <w:sz w:val="20"/>
                <w:lang w:val="en-US"/>
              </w:rPr>
            </w:pPr>
            <w:proofErr w:type="spellStart"/>
            <w:r w:rsidRPr="00F62AD3">
              <w:rPr>
                <w:rFonts w:cs="Arial"/>
                <w:sz w:val="20"/>
                <w:lang w:val="en-US"/>
              </w:rPr>
              <w:t>Allo</w:t>
            </w:r>
            <w:proofErr w:type="spellEnd"/>
            <w:r w:rsidRPr="00F62AD3">
              <w:rPr>
                <w:rFonts w:cs="Arial"/>
                <w:sz w:val="20"/>
                <w:lang w:val="en-US"/>
              </w:rPr>
              <w:t>-HSCT: OPS 5-411.2-5-411.5, 8-805.2-8-805.5, 8-863</w:t>
            </w:r>
          </w:p>
          <w:p w14:paraId="744A0A1F" w14:textId="77777777" w:rsidR="00F62AD3" w:rsidRPr="00F62AD3" w:rsidRDefault="00F62AD3" w:rsidP="00F62AD3">
            <w:pPr>
              <w:numPr>
                <w:ilvl w:val="0"/>
                <w:numId w:val="2"/>
              </w:numPr>
              <w:spacing w:before="120" w:after="120" w:line="240" w:lineRule="auto"/>
              <w:rPr>
                <w:rFonts w:cs="Arial"/>
                <w:sz w:val="20"/>
                <w:lang w:val="en-US"/>
              </w:rPr>
            </w:pPr>
            <w:r w:rsidRPr="00F62AD3">
              <w:rPr>
                <w:rFonts w:cs="Arial"/>
                <w:sz w:val="20"/>
                <w:lang w:val="en-US"/>
              </w:rPr>
              <w:t>Splenectomy: OPS 5-413</w:t>
            </w:r>
          </w:p>
        </w:tc>
      </w:tr>
      <w:tr w:rsidR="00F62AD3" w:rsidRPr="00F62AD3" w14:paraId="02BB4DB8" w14:textId="77777777">
        <w:trPr>
          <w:trHeight w:val="222"/>
        </w:trPr>
        <w:tc>
          <w:tcPr>
            <w:tcW w:w="1560" w:type="dxa"/>
            <w:tcBorders>
              <w:top w:val="single" w:sz="4" w:space="0" w:color="auto"/>
              <w:bottom w:val="single" w:sz="4" w:space="0" w:color="auto"/>
            </w:tcBorders>
            <w:noWrap/>
            <w:vAlign w:val="center"/>
          </w:tcPr>
          <w:p w14:paraId="7A44CC19" w14:textId="77777777" w:rsidR="00F62AD3" w:rsidRPr="00F62AD3" w:rsidRDefault="00F62AD3" w:rsidP="00F62AD3">
            <w:pPr>
              <w:spacing w:before="120" w:after="120" w:line="240" w:lineRule="auto"/>
              <w:rPr>
                <w:rFonts w:cs="Arial"/>
                <w:sz w:val="20"/>
                <w:lang w:val="en-US"/>
              </w:rPr>
            </w:pPr>
            <w:r w:rsidRPr="00F62AD3">
              <w:rPr>
                <w:rFonts w:cs="Arial"/>
                <w:sz w:val="20"/>
                <w:lang w:val="en-US"/>
              </w:rPr>
              <w:lastRenderedPageBreak/>
              <w:t xml:space="preserve">OS and HCRU analysis from landmark date of TI, TR, and TD patients with MF </w:t>
            </w:r>
            <w:r w:rsidRPr="00F62AD3">
              <w:rPr>
                <w:rFonts w:cs="Arial"/>
                <w:b/>
                <w:bCs/>
                <w:sz w:val="20"/>
                <w:lang w:val="en-US"/>
              </w:rPr>
              <w:t>(transfusion status cohort)</w:t>
            </w:r>
          </w:p>
        </w:tc>
        <w:tc>
          <w:tcPr>
            <w:tcW w:w="6095" w:type="dxa"/>
            <w:tcBorders>
              <w:top w:val="single" w:sz="4" w:space="0" w:color="auto"/>
              <w:bottom w:val="single" w:sz="4" w:space="0" w:color="auto"/>
            </w:tcBorders>
            <w:noWrap/>
          </w:tcPr>
          <w:p w14:paraId="3C56D644" w14:textId="77777777" w:rsidR="00F62AD3" w:rsidRPr="00F62AD3" w:rsidRDefault="00F62AD3" w:rsidP="00F62AD3">
            <w:pPr>
              <w:spacing w:before="120" w:after="120" w:line="240" w:lineRule="auto"/>
              <w:rPr>
                <w:rFonts w:cs="Arial"/>
                <w:b/>
                <w:bCs/>
                <w:sz w:val="20"/>
                <w:u w:val="single"/>
                <w:lang w:val="en-US"/>
              </w:rPr>
            </w:pPr>
            <w:r w:rsidRPr="00F62AD3">
              <w:rPr>
                <w:rFonts w:cs="Arial"/>
                <w:b/>
                <w:bCs/>
                <w:sz w:val="20"/>
                <w:u w:val="single"/>
                <w:lang w:val="en-US"/>
              </w:rPr>
              <w:t>Inclusion</w:t>
            </w:r>
          </w:p>
          <w:p w14:paraId="6A66B9DB" w14:textId="77777777" w:rsidR="00F62AD3" w:rsidRPr="00F62AD3" w:rsidRDefault="00F62AD3" w:rsidP="00F62AD3">
            <w:pPr>
              <w:numPr>
                <w:ilvl w:val="0"/>
                <w:numId w:val="1"/>
              </w:numPr>
              <w:spacing w:before="120" w:after="120" w:line="240" w:lineRule="auto"/>
              <w:ind w:right="32"/>
              <w:rPr>
                <w:rFonts w:cs="Arial"/>
                <w:sz w:val="20"/>
                <w:lang w:val="en-US"/>
              </w:rPr>
            </w:pPr>
            <w:r w:rsidRPr="00F62AD3">
              <w:rPr>
                <w:rFonts w:cs="Arial"/>
                <w:sz w:val="20"/>
                <w:lang w:val="en-US"/>
              </w:rPr>
              <w:t xml:space="preserve">≥1 prescription or inpatient administration of an anemia treatment from 100 days before MF index date to end of follow-up (anemia index date = date of first anemia </w:t>
            </w:r>
            <w:proofErr w:type="gramStart"/>
            <w:r w:rsidRPr="00F62AD3">
              <w:rPr>
                <w:rFonts w:cs="Arial"/>
                <w:sz w:val="20"/>
                <w:lang w:val="en-US"/>
              </w:rPr>
              <w:t>treatment)</w:t>
            </w:r>
            <w:r w:rsidRPr="00F62AD3">
              <w:rPr>
                <w:rFonts w:cs="Arial"/>
                <w:sz w:val="20"/>
                <w:vertAlign w:val="superscript"/>
                <w:lang w:val="en-US"/>
              </w:rPr>
              <w:t>a</w:t>
            </w:r>
            <w:proofErr w:type="gramEnd"/>
          </w:p>
          <w:p w14:paraId="01F4E785" w14:textId="77777777" w:rsidR="00F62AD3" w:rsidRPr="00F62AD3" w:rsidRDefault="00F62AD3" w:rsidP="00F62AD3">
            <w:pPr>
              <w:numPr>
                <w:ilvl w:val="0"/>
                <w:numId w:val="1"/>
              </w:numPr>
              <w:spacing w:before="120" w:after="120" w:line="240" w:lineRule="auto"/>
              <w:ind w:right="32"/>
              <w:rPr>
                <w:rFonts w:cs="Arial"/>
                <w:sz w:val="20"/>
                <w:lang w:val="en-US"/>
              </w:rPr>
            </w:pPr>
            <w:r w:rsidRPr="00F62AD3">
              <w:rPr>
                <w:rFonts w:cs="Arial"/>
                <w:sz w:val="20"/>
                <w:lang w:val="en-US"/>
              </w:rPr>
              <w:t>≥180 days of continuous enrollment following the anemia index date (date of first anemia treatment)</w:t>
            </w:r>
          </w:p>
          <w:p w14:paraId="2B628E71" w14:textId="77777777" w:rsidR="00F62AD3" w:rsidRPr="00F62AD3" w:rsidRDefault="00F62AD3" w:rsidP="00F62AD3">
            <w:pPr>
              <w:spacing w:before="120" w:after="120" w:line="240" w:lineRule="auto"/>
              <w:ind w:right="32"/>
              <w:rPr>
                <w:rFonts w:cs="Arial"/>
                <w:sz w:val="20"/>
                <w:lang w:val="en-US"/>
              </w:rPr>
            </w:pPr>
          </w:p>
          <w:p w14:paraId="7EFF5692" w14:textId="77777777" w:rsidR="00F62AD3" w:rsidRPr="00F62AD3" w:rsidRDefault="00F62AD3" w:rsidP="00F62AD3">
            <w:pPr>
              <w:spacing w:before="120" w:after="120" w:line="240" w:lineRule="auto"/>
              <w:rPr>
                <w:rFonts w:cs="Arial"/>
                <w:b/>
                <w:bCs/>
                <w:sz w:val="20"/>
                <w:u w:val="single"/>
                <w:lang w:val="en-US"/>
              </w:rPr>
            </w:pPr>
            <w:r w:rsidRPr="00F62AD3">
              <w:rPr>
                <w:rFonts w:cs="Arial"/>
                <w:b/>
                <w:bCs/>
                <w:sz w:val="20"/>
                <w:u w:val="single"/>
                <w:lang w:val="en-US"/>
              </w:rPr>
              <w:t>Exclusion</w:t>
            </w:r>
          </w:p>
          <w:p w14:paraId="24A927DC" w14:textId="77777777" w:rsidR="00F62AD3" w:rsidRPr="00F62AD3" w:rsidRDefault="00F62AD3" w:rsidP="00F62AD3">
            <w:pPr>
              <w:numPr>
                <w:ilvl w:val="0"/>
                <w:numId w:val="1"/>
              </w:numPr>
              <w:spacing w:before="120" w:after="120" w:line="240" w:lineRule="auto"/>
              <w:ind w:right="32"/>
              <w:rPr>
                <w:rFonts w:cs="Arial"/>
                <w:sz w:val="20"/>
                <w:lang w:val="en-US"/>
              </w:rPr>
            </w:pPr>
            <w:r w:rsidRPr="00F62AD3">
              <w:rPr>
                <w:rFonts w:cs="Arial"/>
                <w:sz w:val="20"/>
                <w:lang w:val="en-US"/>
              </w:rPr>
              <w:t xml:space="preserve">≥1 </w:t>
            </w:r>
            <w:proofErr w:type="spellStart"/>
            <w:r w:rsidRPr="00F62AD3">
              <w:rPr>
                <w:rFonts w:cs="Arial"/>
                <w:sz w:val="20"/>
                <w:lang w:val="en-US"/>
              </w:rPr>
              <w:t>allo</w:t>
            </w:r>
            <w:proofErr w:type="spellEnd"/>
            <w:r w:rsidRPr="00F62AD3">
              <w:rPr>
                <w:rFonts w:cs="Arial"/>
                <w:sz w:val="20"/>
                <w:lang w:val="en-US"/>
              </w:rPr>
              <w:t>-HSCT or splenectomy (total or partial) procedure at any time after first observed MF diagnosis (inclusive)</w:t>
            </w:r>
          </w:p>
          <w:p w14:paraId="086AF07A" w14:textId="77777777" w:rsidR="00F62AD3" w:rsidRPr="00F62AD3" w:rsidRDefault="00F62AD3" w:rsidP="00F62AD3">
            <w:pPr>
              <w:numPr>
                <w:ilvl w:val="0"/>
                <w:numId w:val="1"/>
              </w:numPr>
              <w:spacing w:before="120" w:after="120" w:line="240" w:lineRule="auto"/>
              <w:ind w:right="32"/>
              <w:rPr>
                <w:rFonts w:cs="Arial"/>
                <w:sz w:val="20"/>
                <w:lang w:val="en-US"/>
              </w:rPr>
            </w:pPr>
            <w:r w:rsidRPr="00F62AD3">
              <w:rPr>
                <w:rFonts w:cs="Arial"/>
                <w:sz w:val="20"/>
                <w:lang w:val="en-US"/>
              </w:rPr>
              <w:t>≥1 AML diagnosis following the MF index date and before the landmark date (inclusive)</w:t>
            </w:r>
            <w:r w:rsidRPr="00F62AD3">
              <w:rPr>
                <w:rFonts w:cs="Arial"/>
                <w:sz w:val="20"/>
                <w:vertAlign w:val="superscript"/>
                <w:lang w:val="en-US"/>
              </w:rPr>
              <w:t>b</w:t>
            </w:r>
          </w:p>
        </w:tc>
        <w:tc>
          <w:tcPr>
            <w:tcW w:w="6662" w:type="dxa"/>
            <w:tcBorders>
              <w:top w:val="single" w:sz="4" w:space="0" w:color="auto"/>
              <w:bottom w:val="single" w:sz="4" w:space="0" w:color="auto"/>
            </w:tcBorders>
          </w:tcPr>
          <w:p w14:paraId="09982BBA" w14:textId="77777777" w:rsidR="00F62AD3" w:rsidRPr="00F62AD3" w:rsidRDefault="00F62AD3" w:rsidP="00F62AD3">
            <w:pPr>
              <w:numPr>
                <w:ilvl w:val="0"/>
                <w:numId w:val="2"/>
              </w:numPr>
              <w:spacing w:before="120" w:after="120" w:line="240" w:lineRule="auto"/>
              <w:rPr>
                <w:rFonts w:cs="Arial"/>
                <w:sz w:val="20"/>
                <w:lang w:val="en-US"/>
              </w:rPr>
            </w:pPr>
            <w:r w:rsidRPr="00F62AD3">
              <w:rPr>
                <w:rFonts w:cs="Arial"/>
                <w:sz w:val="20"/>
                <w:lang w:val="en-US"/>
              </w:rPr>
              <w:t>Anemia treatment:</w:t>
            </w:r>
          </w:p>
          <w:p w14:paraId="2DD222E9" w14:textId="77777777" w:rsidR="00F62AD3" w:rsidRPr="00F62AD3" w:rsidRDefault="00F62AD3" w:rsidP="00F62AD3">
            <w:pPr>
              <w:numPr>
                <w:ilvl w:val="1"/>
                <w:numId w:val="2"/>
              </w:numPr>
              <w:spacing w:before="120" w:after="120" w:line="240" w:lineRule="auto"/>
              <w:rPr>
                <w:rFonts w:cs="Arial"/>
                <w:sz w:val="20"/>
                <w:lang w:val="en-US"/>
              </w:rPr>
            </w:pPr>
            <w:r w:rsidRPr="00F62AD3">
              <w:rPr>
                <w:rFonts w:cs="Arial"/>
                <w:sz w:val="20"/>
                <w:lang w:val="en-US"/>
              </w:rPr>
              <w:t>Erythropoietin: ATC B03XA01</w:t>
            </w:r>
          </w:p>
          <w:p w14:paraId="71922227" w14:textId="77777777" w:rsidR="00F62AD3" w:rsidRPr="00F62AD3" w:rsidRDefault="00F62AD3" w:rsidP="00F62AD3">
            <w:pPr>
              <w:numPr>
                <w:ilvl w:val="1"/>
                <w:numId w:val="2"/>
              </w:numPr>
              <w:spacing w:before="120" w:after="120" w:line="240" w:lineRule="auto"/>
              <w:rPr>
                <w:rFonts w:cs="Arial"/>
                <w:sz w:val="20"/>
                <w:lang w:val="en-US"/>
              </w:rPr>
            </w:pPr>
            <w:r w:rsidRPr="00F62AD3">
              <w:rPr>
                <w:rFonts w:cs="Arial"/>
                <w:sz w:val="20"/>
                <w:lang w:val="en-US"/>
              </w:rPr>
              <w:t>Androgens: ATC G03B</w:t>
            </w:r>
          </w:p>
          <w:p w14:paraId="0E352663" w14:textId="77777777" w:rsidR="00F62AD3" w:rsidRPr="00F62AD3" w:rsidRDefault="00F62AD3" w:rsidP="00F62AD3">
            <w:pPr>
              <w:numPr>
                <w:ilvl w:val="1"/>
                <w:numId w:val="2"/>
              </w:numPr>
              <w:spacing w:before="120" w:after="120" w:line="240" w:lineRule="auto"/>
              <w:rPr>
                <w:rFonts w:cs="Arial"/>
                <w:sz w:val="20"/>
                <w:lang w:val="en-US"/>
              </w:rPr>
            </w:pPr>
            <w:r w:rsidRPr="00F62AD3">
              <w:rPr>
                <w:rFonts w:cs="Arial"/>
                <w:sz w:val="20"/>
                <w:lang w:val="en-US"/>
              </w:rPr>
              <w:t>Blood transfusion: EBM 02110, 02111, 02112, OPS 8-800.0, 8-800.1, OPS 8-800.c</w:t>
            </w:r>
          </w:p>
          <w:p w14:paraId="280E4CF4" w14:textId="77777777" w:rsidR="00F62AD3" w:rsidRPr="00F62AD3" w:rsidRDefault="00F62AD3" w:rsidP="00F62AD3">
            <w:pPr>
              <w:numPr>
                <w:ilvl w:val="1"/>
                <w:numId w:val="2"/>
              </w:numPr>
              <w:spacing w:before="120" w:after="120" w:line="240" w:lineRule="auto"/>
              <w:rPr>
                <w:rFonts w:cs="Arial"/>
                <w:sz w:val="20"/>
                <w:lang w:val="en-US"/>
              </w:rPr>
            </w:pPr>
            <w:r w:rsidRPr="00F62AD3">
              <w:rPr>
                <w:rFonts w:cs="Arial"/>
                <w:sz w:val="20"/>
                <w:lang w:val="en-US"/>
              </w:rPr>
              <w:t>Corticosteroids: ATC H02 &amp; anemia diagnosis</w:t>
            </w:r>
          </w:p>
          <w:p w14:paraId="47AAEDD4" w14:textId="77777777" w:rsidR="00F62AD3" w:rsidRPr="00F62AD3" w:rsidRDefault="00F62AD3" w:rsidP="00F62AD3">
            <w:pPr>
              <w:numPr>
                <w:ilvl w:val="0"/>
                <w:numId w:val="2"/>
              </w:numPr>
              <w:spacing w:before="120" w:after="120" w:line="240" w:lineRule="auto"/>
              <w:rPr>
                <w:sz w:val="20"/>
                <w:lang w:val="fr-FR"/>
              </w:rPr>
            </w:pPr>
            <w:r w:rsidRPr="00F62AD3">
              <w:rPr>
                <w:rFonts w:cs="Arial"/>
                <w:sz w:val="20"/>
                <w:lang w:val="it-IT"/>
              </w:rPr>
              <w:t xml:space="preserve">Anemia: ICD-10-GM D46.0, D46.1, D46.2, D46.4, D46.5, D50.- </w:t>
            </w:r>
            <w:r w:rsidRPr="00F62AD3">
              <w:rPr>
                <w:sz w:val="20"/>
                <w:lang w:val="fr-FR"/>
              </w:rPr>
              <w:t>(</w:t>
            </w:r>
            <w:proofErr w:type="spellStart"/>
            <w:proofErr w:type="gramStart"/>
            <w:r w:rsidRPr="00F62AD3">
              <w:rPr>
                <w:sz w:val="20"/>
                <w:lang w:val="fr-FR"/>
              </w:rPr>
              <w:t>excl</w:t>
            </w:r>
            <w:proofErr w:type="spellEnd"/>
            <w:proofErr w:type="gramEnd"/>
            <w:r w:rsidRPr="00F62AD3">
              <w:rPr>
                <w:sz w:val="20"/>
                <w:lang w:val="fr-FR"/>
              </w:rPr>
              <w:t>. D50.1), D51.- (</w:t>
            </w:r>
            <w:proofErr w:type="spellStart"/>
            <w:r w:rsidRPr="00F62AD3">
              <w:rPr>
                <w:sz w:val="20"/>
                <w:lang w:val="fr-FR"/>
              </w:rPr>
              <w:t>excl</w:t>
            </w:r>
            <w:proofErr w:type="spellEnd"/>
            <w:r w:rsidRPr="00F62AD3">
              <w:rPr>
                <w:sz w:val="20"/>
                <w:lang w:val="fr-FR"/>
              </w:rPr>
              <w:t>. D51.2), D52.-, D53.-, D55.-, D58.8, D58.9, D59.0, D59.1, D59.2, D59.4, D59.8, D59.9, D61.-, D62.-, D63.0, D63.8, D64.-</w:t>
            </w:r>
          </w:p>
          <w:p w14:paraId="0372B8E8" w14:textId="77777777" w:rsidR="00F62AD3" w:rsidRPr="00F62AD3" w:rsidRDefault="00F62AD3" w:rsidP="00F62AD3">
            <w:pPr>
              <w:numPr>
                <w:ilvl w:val="0"/>
                <w:numId w:val="1"/>
              </w:numPr>
              <w:spacing w:before="120" w:after="120" w:line="240" w:lineRule="auto"/>
              <w:ind w:right="32"/>
              <w:rPr>
                <w:rFonts w:cs="Arial"/>
                <w:sz w:val="20"/>
                <w:lang w:val="en-US"/>
              </w:rPr>
            </w:pPr>
            <w:proofErr w:type="spellStart"/>
            <w:r w:rsidRPr="00F62AD3">
              <w:rPr>
                <w:rFonts w:cs="Arial"/>
                <w:sz w:val="20"/>
                <w:lang w:val="en-US"/>
              </w:rPr>
              <w:t>Allo</w:t>
            </w:r>
            <w:proofErr w:type="spellEnd"/>
            <w:r w:rsidRPr="00F62AD3">
              <w:rPr>
                <w:rFonts w:cs="Arial"/>
                <w:sz w:val="20"/>
                <w:lang w:val="en-US"/>
              </w:rPr>
              <w:t>-HSCT: OPS 5-411.2-5-411.5, 8-805.2-8-805.5, 8-863</w:t>
            </w:r>
          </w:p>
          <w:p w14:paraId="632C5C6B" w14:textId="77777777" w:rsidR="00F62AD3" w:rsidRPr="00F62AD3" w:rsidRDefault="00F62AD3" w:rsidP="00F62AD3">
            <w:pPr>
              <w:numPr>
                <w:ilvl w:val="0"/>
                <w:numId w:val="1"/>
              </w:numPr>
              <w:spacing w:before="120" w:after="120" w:line="240" w:lineRule="auto"/>
              <w:ind w:right="32"/>
              <w:rPr>
                <w:rFonts w:cs="Arial"/>
                <w:sz w:val="20"/>
                <w:lang w:val="en-US"/>
              </w:rPr>
            </w:pPr>
            <w:r w:rsidRPr="00F62AD3">
              <w:rPr>
                <w:rFonts w:cs="Arial"/>
                <w:sz w:val="20"/>
                <w:lang w:val="en-US"/>
              </w:rPr>
              <w:t>Splenectomy: OPS 5-413</w:t>
            </w:r>
          </w:p>
          <w:p w14:paraId="37E2614B" w14:textId="77777777" w:rsidR="00F62AD3" w:rsidRPr="00F62AD3" w:rsidRDefault="00F62AD3" w:rsidP="00F62AD3">
            <w:pPr>
              <w:numPr>
                <w:ilvl w:val="0"/>
                <w:numId w:val="1"/>
              </w:numPr>
              <w:spacing w:before="120" w:after="120" w:line="240" w:lineRule="auto"/>
              <w:ind w:right="32"/>
              <w:rPr>
                <w:sz w:val="20"/>
                <w:lang w:val="de-DE"/>
              </w:rPr>
            </w:pPr>
            <w:r w:rsidRPr="00F62AD3">
              <w:rPr>
                <w:sz w:val="20"/>
                <w:lang w:val="de-DE"/>
              </w:rPr>
              <w:t>AML: ICD-10-GM C92.0, C92.4, C92.5, C92.6, C92.8</w:t>
            </w:r>
          </w:p>
        </w:tc>
      </w:tr>
    </w:tbl>
    <w:p w14:paraId="66A14CA8" w14:textId="77777777" w:rsidR="00F62AD3" w:rsidRPr="00F62AD3" w:rsidRDefault="00F62AD3" w:rsidP="00F62AD3">
      <w:pPr>
        <w:tabs>
          <w:tab w:val="center" w:pos="4507"/>
          <w:tab w:val="right" w:pos="9029"/>
        </w:tabs>
        <w:spacing w:after="120" w:line="240" w:lineRule="auto"/>
        <w:rPr>
          <w:rFonts w:cs="Arial"/>
          <w:sz w:val="18"/>
          <w:vertAlign w:val="superscript"/>
          <w:lang w:val="en-US"/>
        </w:rPr>
      </w:pPr>
      <w:proofErr w:type="spellStart"/>
      <w:r w:rsidRPr="00F62AD3">
        <w:rPr>
          <w:sz w:val="18"/>
          <w:vertAlign w:val="superscript"/>
          <w:lang w:val="en-US"/>
        </w:rPr>
        <w:t>a</w:t>
      </w:r>
      <w:r w:rsidRPr="00F62AD3">
        <w:rPr>
          <w:sz w:val="18"/>
          <w:lang w:val="en-US"/>
        </w:rPr>
        <w:t>Only</w:t>
      </w:r>
      <w:proofErr w:type="spellEnd"/>
      <w:r w:rsidRPr="00F62AD3">
        <w:rPr>
          <w:sz w:val="18"/>
          <w:lang w:val="en-US"/>
        </w:rPr>
        <w:t xml:space="preserve"> for cases in which patients only receive corticosteroids and no other pre-specified anemia treatment, patients must have had at least one inpatient or confirmed diagnosis code for anemia (date of first corticosteroid prescription in anemia finding window = anemia index date). If the first anemia treatment was received prior to the MF index date, the anemia index date was set equal to the MF index date</w:t>
      </w:r>
    </w:p>
    <w:p w14:paraId="5506A771" w14:textId="77777777" w:rsidR="00F62AD3" w:rsidRPr="00F62AD3" w:rsidRDefault="00F62AD3" w:rsidP="00F62AD3">
      <w:pPr>
        <w:tabs>
          <w:tab w:val="center" w:pos="4507"/>
          <w:tab w:val="right" w:pos="9029"/>
        </w:tabs>
        <w:spacing w:after="120" w:line="240" w:lineRule="auto"/>
        <w:rPr>
          <w:sz w:val="18"/>
          <w:lang w:val="en-US"/>
        </w:rPr>
      </w:pPr>
      <w:proofErr w:type="spellStart"/>
      <w:r w:rsidRPr="00F62AD3">
        <w:rPr>
          <w:rFonts w:cs="Arial"/>
          <w:sz w:val="18"/>
          <w:vertAlign w:val="superscript"/>
          <w:lang w:val="en-US"/>
        </w:rPr>
        <w:t>b</w:t>
      </w:r>
      <w:r w:rsidRPr="00F62AD3">
        <w:rPr>
          <w:sz w:val="18"/>
          <w:lang w:val="en-US"/>
        </w:rPr>
        <w:t>A</w:t>
      </w:r>
      <w:proofErr w:type="spellEnd"/>
      <w:r w:rsidRPr="00F62AD3">
        <w:rPr>
          <w:sz w:val="18"/>
          <w:lang w:val="en-US"/>
        </w:rPr>
        <w:t xml:space="preserve"> landmark period was used to assess the transfusion status of patients (180-day period starting from the anemia index date). The landmark date was the last day of the landmark period</w:t>
      </w:r>
    </w:p>
    <w:p w14:paraId="7B5285CB" w14:textId="77777777" w:rsidR="00F62AD3" w:rsidRPr="00F62AD3" w:rsidRDefault="00F62AD3" w:rsidP="00F62AD3">
      <w:pPr>
        <w:tabs>
          <w:tab w:val="center" w:pos="4507"/>
          <w:tab w:val="right" w:pos="9029"/>
        </w:tabs>
        <w:spacing w:after="120" w:line="240" w:lineRule="auto"/>
        <w:rPr>
          <w:sz w:val="18"/>
          <w:lang w:val="en-US"/>
        </w:rPr>
      </w:pPr>
      <w:proofErr w:type="spellStart"/>
      <w:r w:rsidRPr="00F62AD3">
        <w:rPr>
          <w:sz w:val="18"/>
          <w:lang w:val="en-US"/>
        </w:rPr>
        <w:t>allo</w:t>
      </w:r>
      <w:proofErr w:type="spellEnd"/>
      <w:r w:rsidRPr="00F62AD3">
        <w:rPr>
          <w:sz w:val="18"/>
          <w:lang w:val="en-US"/>
        </w:rPr>
        <w:t xml:space="preserve">-HSCT: allogeneic hematopoietic stem cell transplantation; AML: acute myeloid leukemia; ATC: Anatomical Therapeutic Chemical; EBM: </w:t>
      </w:r>
      <w:proofErr w:type="spellStart"/>
      <w:r w:rsidRPr="00F62AD3">
        <w:rPr>
          <w:color w:val="262626"/>
          <w:sz w:val="18"/>
          <w:lang w:val="en-US"/>
        </w:rPr>
        <w:t>Einheitlicher</w:t>
      </w:r>
      <w:proofErr w:type="spellEnd"/>
      <w:r w:rsidRPr="00F62AD3">
        <w:rPr>
          <w:color w:val="262626"/>
          <w:sz w:val="18"/>
          <w:lang w:val="en-US"/>
        </w:rPr>
        <w:t xml:space="preserve"> </w:t>
      </w:r>
      <w:proofErr w:type="spellStart"/>
      <w:r w:rsidRPr="00F62AD3">
        <w:rPr>
          <w:color w:val="262626"/>
          <w:sz w:val="18"/>
          <w:lang w:val="en-US"/>
        </w:rPr>
        <w:t>Bewertungsmaßstab</w:t>
      </w:r>
      <w:proofErr w:type="spellEnd"/>
      <w:r w:rsidRPr="00F62AD3">
        <w:rPr>
          <w:color w:val="262626"/>
          <w:sz w:val="18"/>
          <w:lang w:val="en-US"/>
        </w:rPr>
        <w:t xml:space="preserve"> </w:t>
      </w:r>
      <w:r w:rsidRPr="00F62AD3">
        <w:rPr>
          <w:sz w:val="18"/>
          <w:lang w:val="en-US"/>
        </w:rPr>
        <w:t xml:space="preserve">[German uniform evaluation standard]; ET: essential thrombocythemia; HCRU: healthcare resource utilization; ICD-10-GM: International Statistical Classification of Diseases and Related Health Problems, 10th revision, German modification; </w:t>
      </w:r>
      <w:proofErr w:type="spellStart"/>
      <w:r w:rsidRPr="00F62AD3">
        <w:rPr>
          <w:sz w:val="18"/>
          <w:lang w:val="en-US"/>
        </w:rPr>
        <w:t>JAKi</w:t>
      </w:r>
      <w:proofErr w:type="spellEnd"/>
      <w:r w:rsidRPr="00F62AD3">
        <w:rPr>
          <w:sz w:val="18"/>
          <w:lang w:val="en-US"/>
        </w:rPr>
        <w:t xml:space="preserve">: Janus kinase inhibitor; MF: myelofibrosis; N/A: not applicable; OPS: </w:t>
      </w:r>
      <w:proofErr w:type="spellStart"/>
      <w:r w:rsidRPr="00F62AD3">
        <w:rPr>
          <w:color w:val="262626"/>
          <w:sz w:val="18"/>
          <w:lang w:val="en-US"/>
        </w:rPr>
        <w:t>Operationen</w:t>
      </w:r>
      <w:proofErr w:type="spellEnd"/>
      <w:r w:rsidRPr="00F62AD3">
        <w:rPr>
          <w:color w:val="262626"/>
          <w:sz w:val="18"/>
          <w:lang w:val="en-US"/>
        </w:rPr>
        <w:t xml:space="preserve">-und </w:t>
      </w:r>
      <w:proofErr w:type="spellStart"/>
      <w:r w:rsidRPr="00F62AD3">
        <w:rPr>
          <w:color w:val="262626"/>
          <w:sz w:val="18"/>
          <w:lang w:val="en-US"/>
        </w:rPr>
        <w:t>Prozedurenschlüssel</w:t>
      </w:r>
      <w:proofErr w:type="spellEnd"/>
      <w:r w:rsidRPr="00F62AD3">
        <w:rPr>
          <w:color w:val="262626"/>
          <w:sz w:val="18"/>
          <w:lang w:val="en-US"/>
        </w:rPr>
        <w:t xml:space="preserve"> </w:t>
      </w:r>
      <w:r w:rsidRPr="00F62AD3">
        <w:rPr>
          <w:sz w:val="18"/>
          <w:lang w:val="en-US"/>
        </w:rPr>
        <w:t>[operation and procedure codes]; OS: overall survival; PV: polycythemia vera; TD: transfusion-dependent; TI: transfusion-independent, TR: transfusion-requiring</w:t>
      </w:r>
    </w:p>
    <w:p w14:paraId="27E3C498" w14:textId="77777777" w:rsidR="00F62AD3" w:rsidRPr="00F62AD3" w:rsidRDefault="00F62AD3" w:rsidP="00F62AD3">
      <w:pPr>
        <w:spacing w:after="0" w:line="240" w:lineRule="auto"/>
        <w:rPr>
          <w:b/>
          <w:bCs/>
          <w:sz w:val="20"/>
          <w:lang w:val="en-US"/>
        </w:rPr>
      </w:pPr>
      <w:r w:rsidRPr="00F62AD3">
        <w:rPr>
          <w:bCs/>
          <w:sz w:val="20"/>
          <w:lang w:val="en-US"/>
        </w:rPr>
        <w:br w:type="page"/>
      </w:r>
    </w:p>
    <w:p w14:paraId="67F9BAD5" w14:textId="77777777" w:rsidR="00F62AD3" w:rsidRPr="00F62AD3" w:rsidRDefault="00F62AD3" w:rsidP="00F62AD3">
      <w:pPr>
        <w:pageBreakBefore/>
        <w:outlineLvl w:val="0"/>
        <w:rPr>
          <w:b/>
          <w:sz w:val="20"/>
          <w:lang w:val="en-US"/>
        </w:rPr>
      </w:pPr>
      <w:r w:rsidRPr="00F62AD3">
        <w:rPr>
          <w:b/>
          <w:sz w:val="20"/>
          <w:lang w:val="en-US"/>
        </w:rPr>
        <w:lastRenderedPageBreak/>
        <w:t xml:space="preserve">Table S2 </w:t>
      </w:r>
      <w:r w:rsidRPr="00F62AD3">
        <w:rPr>
          <w:bCs/>
          <w:sz w:val="20"/>
          <w:lang w:val="en-US"/>
        </w:rPr>
        <w:t>Identification codes for MF treatments and concomitant treatments</w:t>
      </w:r>
    </w:p>
    <w:tbl>
      <w:tblPr>
        <w:tblW w:w="13183" w:type="dxa"/>
        <w:tblLayout w:type="fixed"/>
        <w:tblLook w:val="04A0" w:firstRow="1" w:lastRow="0" w:firstColumn="1" w:lastColumn="0" w:noHBand="0" w:noVBand="1"/>
      </w:tblPr>
      <w:tblGrid>
        <w:gridCol w:w="1843"/>
        <w:gridCol w:w="1985"/>
        <w:gridCol w:w="4110"/>
        <w:gridCol w:w="5245"/>
      </w:tblGrid>
      <w:tr w:rsidR="00F62AD3" w:rsidRPr="00F62AD3" w14:paraId="29C62888" w14:textId="77777777">
        <w:trPr>
          <w:trHeight w:val="446"/>
        </w:trPr>
        <w:tc>
          <w:tcPr>
            <w:tcW w:w="1843" w:type="dxa"/>
            <w:tcBorders>
              <w:top w:val="single" w:sz="4" w:space="0" w:color="auto"/>
              <w:bottom w:val="single" w:sz="4" w:space="0" w:color="auto"/>
            </w:tcBorders>
            <w:vAlign w:val="bottom"/>
            <w:hideMark/>
          </w:tcPr>
          <w:p w14:paraId="72815F62" w14:textId="77777777" w:rsidR="00F62AD3" w:rsidRPr="00F62AD3" w:rsidRDefault="00F62AD3" w:rsidP="00F62AD3">
            <w:pPr>
              <w:spacing w:before="120" w:after="120" w:line="240" w:lineRule="auto"/>
              <w:rPr>
                <w:rFonts w:cs="Arial"/>
                <w:b/>
                <w:bCs/>
                <w:sz w:val="19"/>
                <w:szCs w:val="19"/>
                <w:lang w:val="en-US"/>
              </w:rPr>
            </w:pPr>
            <w:r w:rsidRPr="00F62AD3">
              <w:rPr>
                <w:rFonts w:cs="Arial"/>
                <w:b/>
                <w:bCs/>
                <w:sz w:val="19"/>
                <w:szCs w:val="19"/>
                <w:lang w:val="en-US"/>
              </w:rPr>
              <w:t>MF or concomitant therapy</w:t>
            </w:r>
          </w:p>
        </w:tc>
        <w:tc>
          <w:tcPr>
            <w:tcW w:w="1985" w:type="dxa"/>
            <w:tcBorders>
              <w:top w:val="single" w:sz="4" w:space="0" w:color="auto"/>
              <w:bottom w:val="single" w:sz="4" w:space="0" w:color="auto"/>
            </w:tcBorders>
            <w:vAlign w:val="bottom"/>
          </w:tcPr>
          <w:p w14:paraId="683522EB" w14:textId="77777777" w:rsidR="00F62AD3" w:rsidRPr="00F62AD3" w:rsidRDefault="00F62AD3" w:rsidP="00F62AD3">
            <w:pPr>
              <w:spacing w:before="120" w:after="120" w:line="240" w:lineRule="auto"/>
              <w:jc w:val="center"/>
              <w:rPr>
                <w:rFonts w:cs="Arial"/>
                <w:b/>
                <w:bCs/>
                <w:sz w:val="19"/>
                <w:szCs w:val="19"/>
                <w:lang w:val="en-US"/>
              </w:rPr>
            </w:pPr>
            <w:r w:rsidRPr="00F62AD3">
              <w:rPr>
                <w:rFonts w:cs="Arial"/>
                <w:b/>
                <w:bCs/>
                <w:sz w:val="19"/>
                <w:szCs w:val="19"/>
                <w:lang w:val="en-US"/>
              </w:rPr>
              <w:t>Category</w:t>
            </w:r>
          </w:p>
        </w:tc>
        <w:tc>
          <w:tcPr>
            <w:tcW w:w="4110" w:type="dxa"/>
            <w:tcBorders>
              <w:top w:val="single" w:sz="4" w:space="0" w:color="auto"/>
              <w:bottom w:val="single" w:sz="4" w:space="0" w:color="auto"/>
            </w:tcBorders>
            <w:shd w:val="clear" w:color="000000" w:fill="auto"/>
            <w:vAlign w:val="bottom"/>
            <w:hideMark/>
          </w:tcPr>
          <w:p w14:paraId="59897600" w14:textId="77777777" w:rsidR="00F62AD3" w:rsidRPr="00F62AD3" w:rsidRDefault="00F62AD3" w:rsidP="00F62AD3">
            <w:pPr>
              <w:spacing w:before="120" w:after="120" w:line="240" w:lineRule="auto"/>
              <w:jc w:val="center"/>
              <w:rPr>
                <w:rFonts w:cs="Arial"/>
                <w:b/>
                <w:bCs/>
                <w:sz w:val="19"/>
                <w:szCs w:val="19"/>
                <w:lang w:val="en-US"/>
              </w:rPr>
            </w:pPr>
            <w:r w:rsidRPr="00F62AD3">
              <w:rPr>
                <w:rFonts w:cs="Arial"/>
                <w:b/>
                <w:bCs/>
                <w:sz w:val="19"/>
                <w:szCs w:val="19"/>
                <w:lang w:val="en-US"/>
              </w:rPr>
              <w:t>Treatment</w:t>
            </w:r>
          </w:p>
        </w:tc>
        <w:tc>
          <w:tcPr>
            <w:tcW w:w="5245" w:type="dxa"/>
            <w:tcBorders>
              <w:top w:val="single" w:sz="4" w:space="0" w:color="auto"/>
              <w:bottom w:val="single" w:sz="4" w:space="0" w:color="auto"/>
            </w:tcBorders>
            <w:shd w:val="clear" w:color="000000" w:fill="auto"/>
            <w:vAlign w:val="bottom"/>
          </w:tcPr>
          <w:p w14:paraId="0980B5AB" w14:textId="77777777" w:rsidR="00F62AD3" w:rsidRPr="00F62AD3" w:rsidRDefault="00F62AD3" w:rsidP="00F62AD3">
            <w:pPr>
              <w:spacing w:before="120" w:after="120" w:line="240" w:lineRule="auto"/>
              <w:jc w:val="center"/>
              <w:rPr>
                <w:rFonts w:cs="Arial"/>
                <w:b/>
                <w:bCs/>
                <w:sz w:val="19"/>
                <w:szCs w:val="19"/>
                <w:lang w:val="en-US"/>
              </w:rPr>
            </w:pPr>
            <w:r w:rsidRPr="00F62AD3">
              <w:rPr>
                <w:rFonts w:cs="Arial"/>
                <w:b/>
                <w:bCs/>
                <w:sz w:val="19"/>
                <w:szCs w:val="19"/>
                <w:lang w:val="en-US"/>
              </w:rPr>
              <w:t>Identification</w:t>
            </w:r>
          </w:p>
        </w:tc>
      </w:tr>
      <w:tr w:rsidR="00F62AD3" w:rsidRPr="00F62AD3" w14:paraId="141CE7D7" w14:textId="77777777">
        <w:trPr>
          <w:trHeight w:val="222"/>
        </w:trPr>
        <w:tc>
          <w:tcPr>
            <w:tcW w:w="1843" w:type="dxa"/>
            <w:vMerge w:val="restart"/>
            <w:tcBorders>
              <w:top w:val="single" w:sz="4" w:space="0" w:color="auto"/>
            </w:tcBorders>
            <w:noWrap/>
            <w:vAlign w:val="center"/>
          </w:tcPr>
          <w:p w14:paraId="320DA0DB"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MF therapy</w:t>
            </w:r>
          </w:p>
        </w:tc>
        <w:tc>
          <w:tcPr>
            <w:tcW w:w="1985" w:type="dxa"/>
            <w:tcBorders>
              <w:top w:val="single" w:sz="4" w:space="0" w:color="auto"/>
              <w:bottom w:val="single" w:sz="4" w:space="0" w:color="auto"/>
            </w:tcBorders>
            <w:vAlign w:val="center"/>
          </w:tcPr>
          <w:p w14:paraId="4FE0B4EB"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Interferons </w:t>
            </w:r>
          </w:p>
        </w:tc>
        <w:tc>
          <w:tcPr>
            <w:tcW w:w="4110" w:type="dxa"/>
            <w:tcBorders>
              <w:top w:val="single" w:sz="4" w:space="0" w:color="auto"/>
              <w:bottom w:val="single" w:sz="4" w:space="0" w:color="auto"/>
            </w:tcBorders>
            <w:noWrap/>
            <w:vAlign w:val="center"/>
          </w:tcPr>
          <w:p w14:paraId="7A898085"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Peginterferon alpha-2a </w:t>
            </w:r>
          </w:p>
        </w:tc>
        <w:tc>
          <w:tcPr>
            <w:tcW w:w="5245" w:type="dxa"/>
            <w:tcBorders>
              <w:top w:val="single" w:sz="4" w:space="0" w:color="auto"/>
              <w:bottom w:val="single" w:sz="4" w:space="0" w:color="auto"/>
            </w:tcBorders>
            <w:vAlign w:val="center"/>
          </w:tcPr>
          <w:p w14:paraId="081476C4"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ATC L03AB11, L03AB60 (combinations) </w:t>
            </w:r>
          </w:p>
        </w:tc>
      </w:tr>
      <w:tr w:rsidR="00F62AD3" w:rsidRPr="00F62AD3" w14:paraId="2207B722" w14:textId="77777777">
        <w:trPr>
          <w:trHeight w:val="222"/>
        </w:trPr>
        <w:tc>
          <w:tcPr>
            <w:tcW w:w="1843" w:type="dxa"/>
            <w:vMerge/>
            <w:noWrap/>
            <w:vAlign w:val="center"/>
            <w:hideMark/>
          </w:tcPr>
          <w:p w14:paraId="33F6E425" w14:textId="77777777" w:rsidR="00F62AD3" w:rsidRPr="00F62AD3" w:rsidRDefault="00F62AD3" w:rsidP="00F62AD3">
            <w:pPr>
              <w:spacing w:before="120" w:after="120" w:line="240" w:lineRule="auto"/>
              <w:rPr>
                <w:rFonts w:cs="Arial"/>
                <w:sz w:val="19"/>
                <w:szCs w:val="19"/>
                <w:lang w:val="en-US"/>
              </w:rPr>
            </w:pPr>
          </w:p>
        </w:tc>
        <w:tc>
          <w:tcPr>
            <w:tcW w:w="1985" w:type="dxa"/>
            <w:vMerge w:val="restart"/>
            <w:tcBorders>
              <w:top w:val="single" w:sz="4" w:space="0" w:color="auto"/>
            </w:tcBorders>
            <w:vAlign w:val="center"/>
          </w:tcPr>
          <w:p w14:paraId="219B2C65"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JAK-inhibitors </w:t>
            </w:r>
          </w:p>
        </w:tc>
        <w:tc>
          <w:tcPr>
            <w:tcW w:w="4110" w:type="dxa"/>
            <w:tcBorders>
              <w:top w:val="single" w:sz="4" w:space="0" w:color="auto"/>
            </w:tcBorders>
            <w:noWrap/>
            <w:vAlign w:val="center"/>
            <w:hideMark/>
          </w:tcPr>
          <w:p w14:paraId="5902E712"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Fedratinib </w:t>
            </w:r>
          </w:p>
        </w:tc>
        <w:tc>
          <w:tcPr>
            <w:tcW w:w="5245" w:type="dxa"/>
            <w:tcBorders>
              <w:top w:val="single" w:sz="4" w:space="0" w:color="auto"/>
            </w:tcBorders>
            <w:vAlign w:val="center"/>
          </w:tcPr>
          <w:p w14:paraId="5F678936"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L01EJ02 </w:t>
            </w:r>
          </w:p>
        </w:tc>
      </w:tr>
      <w:tr w:rsidR="00F62AD3" w:rsidRPr="00F62AD3" w14:paraId="4C9C257B" w14:textId="77777777">
        <w:trPr>
          <w:trHeight w:val="222"/>
        </w:trPr>
        <w:tc>
          <w:tcPr>
            <w:tcW w:w="1843" w:type="dxa"/>
            <w:vMerge/>
            <w:noWrap/>
            <w:vAlign w:val="center"/>
          </w:tcPr>
          <w:p w14:paraId="1D095704" w14:textId="77777777" w:rsidR="00F62AD3" w:rsidRPr="00F62AD3" w:rsidRDefault="00F62AD3" w:rsidP="00F62AD3">
            <w:pPr>
              <w:spacing w:before="120" w:after="120" w:line="240" w:lineRule="auto"/>
              <w:rPr>
                <w:rFonts w:cs="Arial"/>
                <w:sz w:val="19"/>
                <w:szCs w:val="19"/>
                <w:lang w:val="en-US"/>
              </w:rPr>
            </w:pPr>
          </w:p>
        </w:tc>
        <w:tc>
          <w:tcPr>
            <w:tcW w:w="1985" w:type="dxa"/>
            <w:vMerge/>
            <w:tcBorders>
              <w:bottom w:val="single" w:sz="4" w:space="0" w:color="auto"/>
            </w:tcBorders>
            <w:vAlign w:val="center"/>
          </w:tcPr>
          <w:p w14:paraId="0A5BE8C2" w14:textId="77777777" w:rsidR="00F62AD3" w:rsidRPr="00F62AD3" w:rsidRDefault="00F62AD3" w:rsidP="00F62AD3">
            <w:pPr>
              <w:spacing w:before="120" w:after="120" w:line="240" w:lineRule="auto"/>
              <w:rPr>
                <w:rFonts w:cs="Arial"/>
                <w:sz w:val="19"/>
                <w:szCs w:val="19"/>
                <w:lang w:val="en-US"/>
              </w:rPr>
            </w:pPr>
          </w:p>
        </w:tc>
        <w:tc>
          <w:tcPr>
            <w:tcW w:w="4110" w:type="dxa"/>
            <w:tcBorders>
              <w:bottom w:val="single" w:sz="4" w:space="0" w:color="auto"/>
            </w:tcBorders>
            <w:noWrap/>
            <w:vAlign w:val="center"/>
          </w:tcPr>
          <w:p w14:paraId="02FD05B7"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Ruxolitinib </w:t>
            </w:r>
          </w:p>
        </w:tc>
        <w:tc>
          <w:tcPr>
            <w:tcW w:w="5245" w:type="dxa"/>
            <w:tcBorders>
              <w:bottom w:val="single" w:sz="4" w:space="0" w:color="auto"/>
            </w:tcBorders>
            <w:vAlign w:val="center"/>
          </w:tcPr>
          <w:p w14:paraId="3FD0E98A"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ATC L01XE18 (prior to 2021), L01EJ01 (since 2021), OPS 6-009.4</w:t>
            </w:r>
          </w:p>
        </w:tc>
      </w:tr>
      <w:tr w:rsidR="00F62AD3" w:rsidRPr="00F62AD3" w14:paraId="70269729" w14:textId="77777777">
        <w:trPr>
          <w:trHeight w:val="222"/>
        </w:trPr>
        <w:tc>
          <w:tcPr>
            <w:tcW w:w="1843" w:type="dxa"/>
            <w:vMerge/>
            <w:noWrap/>
            <w:vAlign w:val="center"/>
          </w:tcPr>
          <w:p w14:paraId="1D56C211" w14:textId="77777777" w:rsidR="00F62AD3" w:rsidRPr="00F62AD3" w:rsidRDefault="00F62AD3" w:rsidP="00F62AD3">
            <w:pPr>
              <w:spacing w:before="120" w:after="120" w:line="240" w:lineRule="auto"/>
              <w:rPr>
                <w:rFonts w:cs="Arial"/>
                <w:sz w:val="19"/>
                <w:szCs w:val="19"/>
                <w:lang w:val="en-US"/>
              </w:rPr>
            </w:pPr>
          </w:p>
        </w:tc>
        <w:tc>
          <w:tcPr>
            <w:tcW w:w="1985" w:type="dxa"/>
            <w:vMerge w:val="restart"/>
            <w:vAlign w:val="center"/>
          </w:tcPr>
          <w:p w14:paraId="245FCC9C" w14:textId="77777777" w:rsidR="00F62AD3" w:rsidRPr="00F62AD3" w:rsidRDefault="00F62AD3" w:rsidP="00F62AD3">
            <w:pPr>
              <w:spacing w:before="120" w:after="120" w:line="240" w:lineRule="auto"/>
              <w:rPr>
                <w:rFonts w:cs="Arial"/>
                <w:sz w:val="19"/>
                <w:szCs w:val="19"/>
                <w:lang w:val="en-US"/>
              </w:rPr>
            </w:pPr>
            <w:proofErr w:type="spellStart"/>
            <w:r w:rsidRPr="00F62AD3">
              <w:rPr>
                <w:rFonts w:cs="Arial"/>
                <w:sz w:val="19"/>
                <w:szCs w:val="19"/>
                <w:lang w:val="en-US"/>
              </w:rPr>
              <w:t>Allo</w:t>
            </w:r>
            <w:proofErr w:type="spellEnd"/>
            <w:r w:rsidRPr="00F62AD3">
              <w:rPr>
                <w:rFonts w:cs="Arial"/>
                <w:sz w:val="19"/>
                <w:szCs w:val="19"/>
                <w:lang w:val="en-US"/>
              </w:rPr>
              <w:t>-HSCT</w:t>
            </w:r>
          </w:p>
        </w:tc>
        <w:tc>
          <w:tcPr>
            <w:tcW w:w="4110" w:type="dxa"/>
            <w:tcBorders>
              <w:top w:val="single" w:sz="4" w:space="0" w:color="auto"/>
            </w:tcBorders>
            <w:noWrap/>
            <w:vAlign w:val="center"/>
          </w:tcPr>
          <w:p w14:paraId="0A394CA0"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Allogeneic transplantation of hematopoietic stem cells from the bone marrow</w:t>
            </w:r>
            <w:r w:rsidRPr="00F62AD3" w:rsidDel="00166EB4">
              <w:rPr>
                <w:rFonts w:cs="Arial"/>
                <w:sz w:val="19"/>
                <w:szCs w:val="19"/>
                <w:lang w:val="en-US"/>
              </w:rPr>
              <w:t xml:space="preserve"> </w:t>
            </w:r>
          </w:p>
        </w:tc>
        <w:tc>
          <w:tcPr>
            <w:tcW w:w="5245" w:type="dxa"/>
            <w:tcBorders>
              <w:top w:val="single" w:sz="4" w:space="0" w:color="auto"/>
            </w:tcBorders>
            <w:vAlign w:val="center"/>
          </w:tcPr>
          <w:p w14:paraId="533D4255"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OPS 5-411.2–5-411.5</w:t>
            </w:r>
          </w:p>
        </w:tc>
      </w:tr>
      <w:tr w:rsidR="00F62AD3" w:rsidRPr="00F62AD3" w14:paraId="6AC7490B" w14:textId="77777777">
        <w:trPr>
          <w:trHeight w:val="222"/>
        </w:trPr>
        <w:tc>
          <w:tcPr>
            <w:tcW w:w="1843" w:type="dxa"/>
            <w:vMerge/>
            <w:noWrap/>
            <w:vAlign w:val="center"/>
          </w:tcPr>
          <w:p w14:paraId="1381E966" w14:textId="77777777" w:rsidR="00F62AD3" w:rsidRPr="00F62AD3" w:rsidRDefault="00F62AD3" w:rsidP="00F62AD3">
            <w:pPr>
              <w:spacing w:before="120" w:after="120" w:line="240" w:lineRule="auto"/>
              <w:rPr>
                <w:rFonts w:cs="Arial"/>
                <w:sz w:val="19"/>
                <w:szCs w:val="19"/>
                <w:lang w:val="en-US"/>
              </w:rPr>
            </w:pPr>
          </w:p>
        </w:tc>
        <w:tc>
          <w:tcPr>
            <w:tcW w:w="1985" w:type="dxa"/>
            <w:vMerge/>
            <w:vAlign w:val="center"/>
          </w:tcPr>
          <w:p w14:paraId="79E397F0" w14:textId="77777777" w:rsidR="00F62AD3" w:rsidRPr="00F62AD3" w:rsidRDefault="00F62AD3" w:rsidP="00F62AD3">
            <w:pPr>
              <w:spacing w:before="120" w:after="120" w:line="240" w:lineRule="auto"/>
              <w:rPr>
                <w:rFonts w:cs="Arial"/>
                <w:sz w:val="19"/>
                <w:szCs w:val="19"/>
                <w:lang w:val="en-US"/>
              </w:rPr>
            </w:pPr>
          </w:p>
        </w:tc>
        <w:tc>
          <w:tcPr>
            <w:tcW w:w="4110" w:type="dxa"/>
            <w:noWrap/>
            <w:vAlign w:val="center"/>
          </w:tcPr>
          <w:p w14:paraId="2B48C0A2"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Transfusion of peripherally obtained hematopoietic stem cells, allogeneic</w:t>
            </w:r>
          </w:p>
        </w:tc>
        <w:tc>
          <w:tcPr>
            <w:tcW w:w="5245" w:type="dxa"/>
            <w:vAlign w:val="center"/>
          </w:tcPr>
          <w:p w14:paraId="2112D6CD"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OPS 8-805.2–8-805.5</w:t>
            </w:r>
          </w:p>
        </w:tc>
      </w:tr>
      <w:tr w:rsidR="00F62AD3" w:rsidRPr="00F62AD3" w14:paraId="000F6F3D" w14:textId="77777777">
        <w:trPr>
          <w:trHeight w:val="222"/>
        </w:trPr>
        <w:tc>
          <w:tcPr>
            <w:tcW w:w="1843" w:type="dxa"/>
            <w:vMerge/>
            <w:noWrap/>
            <w:vAlign w:val="center"/>
          </w:tcPr>
          <w:p w14:paraId="7A4A0B47" w14:textId="77777777" w:rsidR="00F62AD3" w:rsidRPr="00F62AD3" w:rsidRDefault="00F62AD3" w:rsidP="00F62AD3">
            <w:pPr>
              <w:spacing w:before="120" w:after="120" w:line="240" w:lineRule="auto"/>
              <w:rPr>
                <w:rFonts w:cs="Arial"/>
                <w:sz w:val="19"/>
                <w:szCs w:val="19"/>
                <w:lang w:val="en-US"/>
              </w:rPr>
            </w:pPr>
          </w:p>
        </w:tc>
        <w:tc>
          <w:tcPr>
            <w:tcW w:w="1985" w:type="dxa"/>
            <w:vMerge/>
            <w:tcBorders>
              <w:bottom w:val="single" w:sz="4" w:space="0" w:color="auto"/>
            </w:tcBorders>
            <w:vAlign w:val="center"/>
          </w:tcPr>
          <w:p w14:paraId="059F8C5F" w14:textId="77777777" w:rsidR="00F62AD3" w:rsidRPr="00F62AD3" w:rsidRDefault="00F62AD3" w:rsidP="00F62AD3">
            <w:pPr>
              <w:spacing w:before="120" w:after="120" w:line="240" w:lineRule="auto"/>
              <w:rPr>
                <w:rFonts w:cs="Arial"/>
                <w:sz w:val="19"/>
                <w:szCs w:val="19"/>
                <w:lang w:val="en-US"/>
              </w:rPr>
            </w:pPr>
          </w:p>
        </w:tc>
        <w:tc>
          <w:tcPr>
            <w:tcW w:w="4110" w:type="dxa"/>
            <w:tcBorders>
              <w:bottom w:val="single" w:sz="4" w:space="0" w:color="auto"/>
            </w:tcBorders>
            <w:noWrap/>
            <w:vAlign w:val="center"/>
          </w:tcPr>
          <w:p w14:paraId="54D8C970"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Allogeneic hematopoietic stem cell therapy</w:t>
            </w:r>
          </w:p>
        </w:tc>
        <w:tc>
          <w:tcPr>
            <w:tcW w:w="5245" w:type="dxa"/>
            <w:tcBorders>
              <w:bottom w:val="single" w:sz="4" w:space="0" w:color="auto"/>
            </w:tcBorders>
            <w:vAlign w:val="center"/>
          </w:tcPr>
          <w:p w14:paraId="1BB4BEFB"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OPS 8-863</w:t>
            </w:r>
          </w:p>
        </w:tc>
      </w:tr>
      <w:tr w:rsidR="00F62AD3" w:rsidRPr="00F62AD3" w14:paraId="166F96A4" w14:textId="77777777">
        <w:trPr>
          <w:trHeight w:val="222"/>
        </w:trPr>
        <w:tc>
          <w:tcPr>
            <w:tcW w:w="1843" w:type="dxa"/>
            <w:vMerge/>
            <w:noWrap/>
            <w:vAlign w:val="center"/>
          </w:tcPr>
          <w:p w14:paraId="6B2B38A5" w14:textId="77777777" w:rsidR="00F62AD3" w:rsidRPr="00F62AD3" w:rsidRDefault="00F62AD3" w:rsidP="00F62AD3">
            <w:pPr>
              <w:spacing w:before="120" w:after="120" w:line="240" w:lineRule="auto"/>
              <w:rPr>
                <w:rFonts w:cs="Arial"/>
                <w:sz w:val="19"/>
                <w:szCs w:val="19"/>
                <w:lang w:val="en-US"/>
              </w:rPr>
            </w:pPr>
          </w:p>
        </w:tc>
        <w:tc>
          <w:tcPr>
            <w:tcW w:w="1985" w:type="dxa"/>
            <w:vMerge w:val="restart"/>
            <w:vAlign w:val="center"/>
          </w:tcPr>
          <w:p w14:paraId="742908B4"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Immunomodulators</w:t>
            </w:r>
          </w:p>
        </w:tc>
        <w:tc>
          <w:tcPr>
            <w:tcW w:w="4110" w:type="dxa"/>
            <w:tcBorders>
              <w:top w:val="single" w:sz="4" w:space="0" w:color="auto"/>
            </w:tcBorders>
            <w:noWrap/>
            <w:vAlign w:val="center"/>
          </w:tcPr>
          <w:p w14:paraId="653FC51E"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Thalidomide </w:t>
            </w:r>
          </w:p>
        </w:tc>
        <w:tc>
          <w:tcPr>
            <w:tcW w:w="5245" w:type="dxa"/>
            <w:tcBorders>
              <w:top w:val="single" w:sz="4" w:space="0" w:color="auto"/>
            </w:tcBorders>
            <w:vAlign w:val="center"/>
          </w:tcPr>
          <w:p w14:paraId="5A7A071C"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ATC L04AX02 </w:t>
            </w:r>
          </w:p>
        </w:tc>
      </w:tr>
      <w:tr w:rsidR="00F62AD3" w:rsidRPr="00F62AD3" w14:paraId="129BA867" w14:textId="77777777">
        <w:trPr>
          <w:trHeight w:val="222"/>
        </w:trPr>
        <w:tc>
          <w:tcPr>
            <w:tcW w:w="1843" w:type="dxa"/>
            <w:vMerge/>
            <w:noWrap/>
            <w:vAlign w:val="center"/>
          </w:tcPr>
          <w:p w14:paraId="51F2C068" w14:textId="77777777" w:rsidR="00F62AD3" w:rsidRPr="00F62AD3" w:rsidRDefault="00F62AD3" w:rsidP="00F62AD3">
            <w:pPr>
              <w:spacing w:before="120" w:after="120" w:line="240" w:lineRule="auto"/>
              <w:rPr>
                <w:rFonts w:cs="Arial"/>
                <w:sz w:val="19"/>
                <w:szCs w:val="19"/>
                <w:lang w:val="en-US"/>
              </w:rPr>
            </w:pPr>
          </w:p>
        </w:tc>
        <w:tc>
          <w:tcPr>
            <w:tcW w:w="1985" w:type="dxa"/>
            <w:vMerge/>
            <w:vAlign w:val="center"/>
          </w:tcPr>
          <w:p w14:paraId="68CC43C6" w14:textId="77777777" w:rsidR="00F62AD3" w:rsidRPr="00F62AD3" w:rsidRDefault="00F62AD3" w:rsidP="00F62AD3">
            <w:pPr>
              <w:spacing w:before="120" w:after="120" w:line="240" w:lineRule="auto"/>
              <w:rPr>
                <w:rFonts w:cs="Arial"/>
                <w:sz w:val="19"/>
                <w:szCs w:val="19"/>
                <w:lang w:val="en-US"/>
              </w:rPr>
            </w:pPr>
          </w:p>
        </w:tc>
        <w:tc>
          <w:tcPr>
            <w:tcW w:w="4110" w:type="dxa"/>
            <w:noWrap/>
            <w:vAlign w:val="center"/>
          </w:tcPr>
          <w:p w14:paraId="7F50F5A4"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Lenalidomide </w:t>
            </w:r>
          </w:p>
        </w:tc>
        <w:tc>
          <w:tcPr>
            <w:tcW w:w="5245" w:type="dxa"/>
            <w:vAlign w:val="center"/>
          </w:tcPr>
          <w:p w14:paraId="5FEC984D"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ATC L04AX04, OPS 6-003.g </w:t>
            </w:r>
          </w:p>
        </w:tc>
      </w:tr>
      <w:tr w:rsidR="00F62AD3" w:rsidRPr="00F62AD3" w14:paraId="069A5DBF" w14:textId="77777777">
        <w:trPr>
          <w:trHeight w:val="222"/>
        </w:trPr>
        <w:tc>
          <w:tcPr>
            <w:tcW w:w="1843" w:type="dxa"/>
            <w:vMerge/>
            <w:noWrap/>
            <w:vAlign w:val="center"/>
          </w:tcPr>
          <w:p w14:paraId="78983681" w14:textId="77777777" w:rsidR="00F62AD3" w:rsidRPr="00F62AD3" w:rsidRDefault="00F62AD3" w:rsidP="00F62AD3">
            <w:pPr>
              <w:spacing w:before="120" w:after="120" w:line="240" w:lineRule="auto"/>
              <w:rPr>
                <w:rFonts w:cs="Arial"/>
                <w:sz w:val="19"/>
                <w:szCs w:val="19"/>
                <w:lang w:val="en-US"/>
              </w:rPr>
            </w:pPr>
          </w:p>
        </w:tc>
        <w:tc>
          <w:tcPr>
            <w:tcW w:w="1985" w:type="dxa"/>
            <w:vMerge/>
            <w:tcBorders>
              <w:bottom w:val="single" w:sz="4" w:space="0" w:color="auto"/>
            </w:tcBorders>
            <w:vAlign w:val="center"/>
          </w:tcPr>
          <w:p w14:paraId="026FF0D2" w14:textId="77777777" w:rsidR="00F62AD3" w:rsidRPr="00F62AD3" w:rsidRDefault="00F62AD3" w:rsidP="00F62AD3">
            <w:pPr>
              <w:spacing w:before="120" w:after="120" w:line="240" w:lineRule="auto"/>
              <w:rPr>
                <w:rFonts w:cs="Arial"/>
                <w:sz w:val="19"/>
                <w:szCs w:val="19"/>
                <w:lang w:val="en-US"/>
              </w:rPr>
            </w:pPr>
          </w:p>
        </w:tc>
        <w:tc>
          <w:tcPr>
            <w:tcW w:w="4110" w:type="dxa"/>
            <w:tcBorders>
              <w:bottom w:val="single" w:sz="4" w:space="0" w:color="auto"/>
            </w:tcBorders>
            <w:noWrap/>
            <w:vAlign w:val="center"/>
          </w:tcPr>
          <w:p w14:paraId="1B7668CE"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Pomalidomide </w:t>
            </w:r>
          </w:p>
        </w:tc>
        <w:tc>
          <w:tcPr>
            <w:tcW w:w="5245" w:type="dxa"/>
            <w:tcBorders>
              <w:bottom w:val="single" w:sz="4" w:space="0" w:color="auto"/>
            </w:tcBorders>
            <w:vAlign w:val="center"/>
          </w:tcPr>
          <w:p w14:paraId="289F6960"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ATC L04AX06, OPS 6-007.a </w:t>
            </w:r>
          </w:p>
        </w:tc>
      </w:tr>
      <w:tr w:rsidR="00F62AD3" w:rsidRPr="00F62AD3" w14:paraId="3E40F562" w14:textId="77777777">
        <w:trPr>
          <w:trHeight w:val="222"/>
        </w:trPr>
        <w:tc>
          <w:tcPr>
            <w:tcW w:w="1843" w:type="dxa"/>
            <w:vMerge/>
            <w:tcBorders>
              <w:bottom w:val="single" w:sz="4" w:space="0" w:color="auto"/>
            </w:tcBorders>
            <w:noWrap/>
            <w:vAlign w:val="center"/>
          </w:tcPr>
          <w:p w14:paraId="6B0B2201" w14:textId="77777777" w:rsidR="00F62AD3" w:rsidRPr="00F62AD3" w:rsidRDefault="00F62AD3" w:rsidP="00F62AD3">
            <w:pPr>
              <w:spacing w:before="120" w:after="120" w:line="240" w:lineRule="auto"/>
              <w:rPr>
                <w:rFonts w:cs="Arial"/>
                <w:sz w:val="19"/>
                <w:szCs w:val="19"/>
                <w:lang w:val="en-US"/>
              </w:rPr>
            </w:pPr>
          </w:p>
        </w:tc>
        <w:tc>
          <w:tcPr>
            <w:tcW w:w="1985" w:type="dxa"/>
            <w:tcBorders>
              <w:top w:val="single" w:sz="4" w:space="0" w:color="auto"/>
              <w:bottom w:val="single" w:sz="4" w:space="0" w:color="auto"/>
            </w:tcBorders>
            <w:vAlign w:val="center"/>
          </w:tcPr>
          <w:p w14:paraId="2524745B"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Antineoplastic agents </w:t>
            </w:r>
          </w:p>
        </w:tc>
        <w:tc>
          <w:tcPr>
            <w:tcW w:w="4110" w:type="dxa"/>
            <w:tcBorders>
              <w:top w:val="single" w:sz="4" w:space="0" w:color="auto"/>
              <w:bottom w:val="single" w:sz="4" w:space="0" w:color="auto"/>
            </w:tcBorders>
            <w:noWrap/>
            <w:vAlign w:val="center"/>
          </w:tcPr>
          <w:p w14:paraId="0290816F"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Hydroxycarbamide (hydroxyurea) </w:t>
            </w:r>
          </w:p>
        </w:tc>
        <w:tc>
          <w:tcPr>
            <w:tcW w:w="5245" w:type="dxa"/>
            <w:tcBorders>
              <w:top w:val="single" w:sz="4" w:space="0" w:color="auto"/>
              <w:bottom w:val="single" w:sz="4" w:space="0" w:color="auto"/>
            </w:tcBorders>
            <w:vAlign w:val="center"/>
          </w:tcPr>
          <w:p w14:paraId="7CC21F8A"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ATC L01XX05 </w:t>
            </w:r>
          </w:p>
        </w:tc>
      </w:tr>
      <w:tr w:rsidR="00F62AD3" w:rsidRPr="00F62AD3" w14:paraId="479EECDA" w14:textId="77777777">
        <w:trPr>
          <w:trHeight w:val="222"/>
        </w:trPr>
        <w:tc>
          <w:tcPr>
            <w:tcW w:w="1843" w:type="dxa"/>
            <w:vMerge w:val="restart"/>
            <w:tcBorders>
              <w:top w:val="single" w:sz="4" w:space="0" w:color="auto"/>
              <w:bottom w:val="single" w:sz="4" w:space="0" w:color="auto"/>
            </w:tcBorders>
            <w:noWrap/>
            <w:vAlign w:val="center"/>
          </w:tcPr>
          <w:p w14:paraId="5D1291EF"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Concomitant therapy</w:t>
            </w:r>
          </w:p>
        </w:tc>
        <w:tc>
          <w:tcPr>
            <w:tcW w:w="1985" w:type="dxa"/>
            <w:vMerge w:val="restart"/>
            <w:tcBorders>
              <w:top w:val="single" w:sz="4" w:space="0" w:color="auto"/>
            </w:tcBorders>
            <w:vAlign w:val="center"/>
          </w:tcPr>
          <w:p w14:paraId="2C7555CB"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Anemia treatment </w:t>
            </w:r>
          </w:p>
        </w:tc>
        <w:tc>
          <w:tcPr>
            <w:tcW w:w="4110" w:type="dxa"/>
            <w:tcBorders>
              <w:top w:val="single" w:sz="4" w:space="0" w:color="auto"/>
            </w:tcBorders>
            <w:noWrap/>
            <w:vAlign w:val="center"/>
          </w:tcPr>
          <w:p w14:paraId="2C6909AA"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Erythropoietin</w:t>
            </w:r>
          </w:p>
        </w:tc>
        <w:tc>
          <w:tcPr>
            <w:tcW w:w="5245" w:type="dxa"/>
            <w:tcBorders>
              <w:top w:val="single" w:sz="4" w:space="0" w:color="auto"/>
            </w:tcBorders>
            <w:vAlign w:val="center"/>
          </w:tcPr>
          <w:p w14:paraId="54A48C15"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ATC B03XA01</w:t>
            </w:r>
          </w:p>
        </w:tc>
      </w:tr>
      <w:tr w:rsidR="00F62AD3" w:rsidRPr="00F62AD3" w14:paraId="14D5E565" w14:textId="77777777">
        <w:trPr>
          <w:trHeight w:val="222"/>
        </w:trPr>
        <w:tc>
          <w:tcPr>
            <w:tcW w:w="1843" w:type="dxa"/>
            <w:vMerge/>
            <w:tcBorders>
              <w:bottom w:val="single" w:sz="4" w:space="0" w:color="auto"/>
            </w:tcBorders>
            <w:noWrap/>
            <w:vAlign w:val="center"/>
          </w:tcPr>
          <w:p w14:paraId="36F13E43" w14:textId="77777777" w:rsidR="00F62AD3" w:rsidRPr="00F62AD3" w:rsidRDefault="00F62AD3" w:rsidP="00F62AD3">
            <w:pPr>
              <w:spacing w:before="120" w:after="120" w:line="240" w:lineRule="auto"/>
              <w:rPr>
                <w:rFonts w:cs="Arial"/>
                <w:sz w:val="19"/>
                <w:szCs w:val="19"/>
                <w:lang w:val="en-US"/>
              </w:rPr>
            </w:pPr>
          </w:p>
        </w:tc>
        <w:tc>
          <w:tcPr>
            <w:tcW w:w="1985" w:type="dxa"/>
            <w:vMerge/>
            <w:vAlign w:val="center"/>
          </w:tcPr>
          <w:p w14:paraId="5FEE6CBA" w14:textId="77777777" w:rsidR="00F62AD3" w:rsidRPr="00F62AD3" w:rsidRDefault="00F62AD3" w:rsidP="00F62AD3">
            <w:pPr>
              <w:spacing w:before="120" w:after="120" w:line="240" w:lineRule="auto"/>
              <w:rPr>
                <w:rFonts w:cs="Arial"/>
                <w:sz w:val="19"/>
                <w:szCs w:val="19"/>
                <w:lang w:val="en-US"/>
              </w:rPr>
            </w:pPr>
          </w:p>
        </w:tc>
        <w:tc>
          <w:tcPr>
            <w:tcW w:w="4110" w:type="dxa"/>
            <w:noWrap/>
            <w:vAlign w:val="center"/>
          </w:tcPr>
          <w:p w14:paraId="58CDF3FC"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Androgens </w:t>
            </w:r>
          </w:p>
        </w:tc>
        <w:tc>
          <w:tcPr>
            <w:tcW w:w="5245" w:type="dxa"/>
            <w:vAlign w:val="center"/>
          </w:tcPr>
          <w:p w14:paraId="7015F145"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ATC G03B </w:t>
            </w:r>
          </w:p>
        </w:tc>
      </w:tr>
      <w:tr w:rsidR="00F62AD3" w:rsidRPr="00F62AD3" w14:paraId="0EB56301" w14:textId="77777777">
        <w:trPr>
          <w:trHeight w:val="222"/>
        </w:trPr>
        <w:tc>
          <w:tcPr>
            <w:tcW w:w="1843" w:type="dxa"/>
            <w:vMerge/>
            <w:tcBorders>
              <w:bottom w:val="single" w:sz="4" w:space="0" w:color="auto"/>
            </w:tcBorders>
            <w:noWrap/>
            <w:vAlign w:val="center"/>
          </w:tcPr>
          <w:p w14:paraId="6CCE1AF2" w14:textId="77777777" w:rsidR="00F62AD3" w:rsidRPr="00F62AD3" w:rsidRDefault="00F62AD3" w:rsidP="00F62AD3">
            <w:pPr>
              <w:spacing w:before="120" w:after="120" w:line="240" w:lineRule="auto"/>
              <w:rPr>
                <w:rFonts w:cs="Arial"/>
                <w:sz w:val="19"/>
                <w:szCs w:val="19"/>
                <w:lang w:val="en-US"/>
              </w:rPr>
            </w:pPr>
          </w:p>
        </w:tc>
        <w:tc>
          <w:tcPr>
            <w:tcW w:w="1985" w:type="dxa"/>
            <w:vMerge/>
            <w:vAlign w:val="center"/>
          </w:tcPr>
          <w:p w14:paraId="39ECAC27" w14:textId="77777777" w:rsidR="00F62AD3" w:rsidRPr="00F62AD3" w:rsidRDefault="00F62AD3" w:rsidP="00F62AD3">
            <w:pPr>
              <w:spacing w:before="120" w:after="120" w:line="240" w:lineRule="auto"/>
              <w:rPr>
                <w:rFonts w:cs="Arial"/>
                <w:sz w:val="19"/>
                <w:szCs w:val="19"/>
                <w:lang w:val="en-US"/>
              </w:rPr>
            </w:pPr>
          </w:p>
        </w:tc>
        <w:tc>
          <w:tcPr>
            <w:tcW w:w="4110" w:type="dxa"/>
            <w:noWrap/>
            <w:vAlign w:val="center"/>
          </w:tcPr>
          <w:p w14:paraId="47951FEC"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Blood transfusion</w:t>
            </w:r>
          </w:p>
        </w:tc>
        <w:tc>
          <w:tcPr>
            <w:tcW w:w="5245" w:type="dxa"/>
            <w:vAlign w:val="center"/>
          </w:tcPr>
          <w:p w14:paraId="3EF66CB6"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General blood transfusion: EBM 02110, 02111, 02112</w:t>
            </w:r>
            <w:r w:rsidRPr="00F62AD3">
              <w:rPr>
                <w:rFonts w:cs="Arial"/>
                <w:sz w:val="19"/>
                <w:szCs w:val="19"/>
                <w:lang w:val="en-US"/>
              </w:rPr>
              <w:br/>
              <w:t>Whole blood transfusion: OPS 8-800.0, 8-800.1</w:t>
            </w:r>
            <w:r w:rsidRPr="00F62AD3">
              <w:rPr>
                <w:rFonts w:cs="Arial"/>
                <w:sz w:val="19"/>
                <w:szCs w:val="19"/>
                <w:lang w:val="en-US"/>
              </w:rPr>
              <w:br/>
              <w:t>RBC transfusions (erythrocyte concentrate): OPS 8-800.c</w:t>
            </w:r>
          </w:p>
        </w:tc>
      </w:tr>
      <w:tr w:rsidR="00F62AD3" w:rsidRPr="00F62AD3" w14:paraId="75DC9406" w14:textId="77777777">
        <w:trPr>
          <w:trHeight w:val="222"/>
        </w:trPr>
        <w:tc>
          <w:tcPr>
            <w:tcW w:w="1843" w:type="dxa"/>
            <w:vMerge/>
            <w:tcBorders>
              <w:bottom w:val="single" w:sz="4" w:space="0" w:color="auto"/>
            </w:tcBorders>
            <w:noWrap/>
            <w:vAlign w:val="center"/>
          </w:tcPr>
          <w:p w14:paraId="5FA3CB84" w14:textId="77777777" w:rsidR="00F62AD3" w:rsidRPr="00F62AD3" w:rsidRDefault="00F62AD3" w:rsidP="00F62AD3">
            <w:pPr>
              <w:spacing w:before="120" w:after="120" w:line="240" w:lineRule="auto"/>
              <w:rPr>
                <w:rFonts w:cs="Arial"/>
                <w:sz w:val="19"/>
                <w:szCs w:val="19"/>
                <w:lang w:val="en-US"/>
              </w:rPr>
            </w:pPr>
          </w:p>
        </w:tc>
        <w:tc>
          <w:tcPr>
            <w:tcW w:w="1985" w:type="dxa"/>
            <w:vMerge/>
            <w:tcBorders>
              <w:bottom w:val="single" w:sz="4" w:space="0" w:color="auto"/>
            </w:tcBorders>
            <w:vAlign w:val="center"/>
          </w:tcPr>
          <w:p w14:paraId="29C382F6" w14:textId="77777777" w:rsidR="00F62AD3" w:rsidRPr="00F62AD3" w:rsidRDefault="00F62AD3" w:rsidP="00F62AD3">
            <w:pPr>
              <w:spacing w:before="120" w:after="120" w:line="240" w:lineRule="auto"/>
              <w:rPr>
                <w:rFonts w:cs="Arial"/>
                <w:sz w:val="19"/>
                <w:szCs w:val="19"/>
                <w:lang w:val="en-US"/>
              </w:rPr>
            </w:pPr>
          </w:p>
        </w:tc>
        <w:tc>
          <w:tcPr>
            <w:tcW w:w="4110" w:type="dxa"/>
            <w:tcBorders>
              <w:bottom w:val="single" w:sz="4" w:space="0" w:color="auto"/>
            </w:tcBorders>
            <w:noWrap/>
            <w:vAlign w:val="center"/>
          </w:tcPr>
          <w:p w14:paraId="4C83E272" w14:textId="77777777" w:rsidR="00F62AD3" w:rsidRPr="00F62AD3" w:rsidRDefault="00F62AD3" w:rsidP="00F62AD3">
            <w:pPr>
              <w:spacing w:before="120" w:after="120" w:line="240" w:lineRule="auto"/>
              <w:rPr>
                <w:rFonts w:cs="Arial"/>
                <w:sz w:val="19"/>
                <w:szCs w:val="19"/>
                <w:lang w:val="en-US"/>
              </w:rPr>
            </w:pPr>
            <w:proofErr w:type="spellStart"/>
            <w:r w:rsidRPr="00F62AD3">
              <w:rPr>
                <w:rFonts w:cs="Arial"/>
                <w:sz w:val="19"/>
                <w:szCs w:val="19"/>
                <w:lang w:val="en-US"/>
              </w:rPr>
              <w:t>Corticosteroids</w:t>
            </w:r>
            <w:r w:rsidRPr="00F62AD3">
              <w:rPr>
                <w:rFonts w:cs="Arial"/>
                <w:sz w:val="19"/>
                <w:szCs w:val="19"/>
                <w:vertAlign w:val="superscript"/>
                <w:lang w:val="en-US"/>
              </w:rPr>
              <w:t>a</w:t>
            </w:r>
            <w:proofErr w:type="spellEnd"/>
          </w:p>
        </w:tc>
        <w:tc>
          <w:tcPr>
            <w:tcW w:w="5245" w:type="dxa"/>
            <w:tcBorders>
              <w:bottom w:val="single" w:sz="4" w:space="0" w:color="auto"/>
            </w:tcBorders>
            <w:vAlign w:val="center"/>
          </w:tcPr>
          <w:p w14:paraId="7A930966"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ATC H02</w:t>
            </w:r>
          </w:p>
        </w:tc>
      </w:tr>
      <w:tr w:rsidR="00F62AD3" w:rsidRPr="00F62AD3" w14:paraId="2FEE901B" w14:textId="77777777">
        <w:trPr>
          <w:trHeight w:val="222"/>
        </w:trPr>
        <w:tc>
          <w:tcPr>
            <w:tcW w:w="1843" w:type="dxa"/>
            <w:vMerge/>
            <w:tcBorders>
              <w:bottom w:val="single" w:sz="4" w:space="0" w:color="auto"/>
            </w:tcBorders>
            <w:noWrap/>
            <w:vAlign w:val="center"/>
          </w:tcPr>
          <w:p w14:paraId="2A27A1B1" w14:textId="77777777" w:rsidR="00F62AD3" w:rsidRPr="00F62AD3" w:rsidRDefault="00F62AD3" w:rsidP="00F62AD3">
            <w:pPr>
              <w:spacing w:before="120" w:after="120" w:line="240" w:lineRule="auto"/>
              <w:rPr>
                <w:rFonts w:cs="Arial"/>
                <w:sz w:val="19"/>
                <w:szCs w:val="19"/>
                <w:lang w:val="en-US"/>
              </w:rPr>
            </w:pPr>
          </w:p>
        </w:tc>
        <w:tc>
          <w:tcPr>
            <w:tcW w:w="1985" w:type="dxa"/>
            <w:tcBorders>
              <w:top w:val="single" w:sz="4" w:space="0" w:color="auto"/>
              <w:bottom w:val="single" w:sz="4" w:space="0" w:color="auto"/>
            </w:tcBorders>
            <w:vAlign w:val="center"/>
          </w:tcPr>
          <w:p w14:paraId="4D72D25A"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Surgery</w:t>
            </w:r>
          </w:p>
        </w:tc>
        <w:tc>
          <w:tcPr>
            <w:tcW w:w="4110" w:type="dxa"/>
            <w:tcBorders>
              <w:top w:val="single" w:sz="4" w:space="0" w:color="auto"/>
              <w:bottom w:val="single" w:sz="4" w:space="0" w:color="auto"/>
            </w:tcBorders>
            <w:noWrap/>
            <w:vAlign w:val="center"/>
          </w:tcPr>
          <w:p w14:paraId="48FC925F"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Splenectomy</w:t>
            </w:r>
          </w:p>
        </w:tc>
        <w:tc>
          <w:tcPr>
            <w:tcW w:w="5245" w:type="dxa"/>
            <w:tcBorders>
              <w:top w:val="single" w:sz="4" w:space="0" w:color="auto"/>
              <w:bottom w:val="single" w:sz="4" w:space="0" w:color="auto"/>
            </w:tcBorders>
            <w:vAlign w:val="center"/>
          </w:tcPr>
          <w:p w14:paraId="1C8831E3" w14:textId="77777777" w:rsidR="00F62AD3" w:rsidRPr="00F62AD3" w:rsidRDefault="00F62AD3" w:rsidP="00F62AD3">
            <w:pPr>
              <w:spacing w:before="120" w:after="120" w:line="240" w:lineRule="auto"/>
              <w:rPr>
                <w:rFonts w:cs="Arial"/>
                <w:sz w:val="19"/>
                <w:szCs w:val="19"/>
                <w:lang w:val="en-US"/>
              </w:rPr>
            </w:pPr>
            <w:r w:rsidRPr="00F62AD3">
              <w:rPr>
                <w:rFonts w:cs="Arial"/>
                <w:sz w:val="19"/>
                <w:szCs w:val="19"/>
                <w:lang w:val="en-US"/>
              </w:rPr>
              <w:t>OPS 5-413</w:t>
            </w:r>
          </w:p>
        </w:tc>
      </w:tr>
    </w:tbl>
    <w:p w14:paraId="6E1B2FF3" w14:textId="77777777" w:rsidR="00F62AD3" w:rsidRPr="00F62AD3" w:rsidRDefault="00F62AD3" w:rsidP="00F62AD3">
      <w:pPr>
        <w:tabs>
          <w:tab w:val="center" w:pos="4507"/>
          <w:tab w:val="right" w:pos="9029"/>
        </w:tabs>
        <w:spacing w:after="120" w:line="240" w:lineRule="auto"/>
        <w:rPr>
          <w:sz w:val="18"/>
          <w:lang w:val="en-US"/>
        </w:rPr>
      </w:pPr>
      <w:proofErr w:type="spellStart"/>
      <w:r w:rsidRPr="00F62AD3">
        <w:rPr>
          <w:sz w:val="18"/>
          <w:vertAlign w:val="superscript"/>
          <w:lang w:val="en-US"/>
        </w:rPr>
        <w:t>a</w:t>
      </w:r>
      <w:r w:rsidRPr="00F62AD3">
        <w:rPr>
          <w:sz w:val="18"/>
          <w:lang w:val="en-US"/>
        </w:rPr>
        <w:t>Corticosteroids</w:t>
      </w:r>
      <w:proofErr w:type="spellEnd"/>
      <w:r w:rsidRPr="00F62AD3">
        <w:rPr>
          <w:sz w:val="18"/>
          <w:lang w:val="en-US"/>
        </w:rPr>
        <w:t xml:space="preserve"> were only included as an anemia treatment in a sensitivity analysis</w:t>
      </w:r>
    </w:p>
    <w:p w14:paraId="240B7CCF" w14:textId="77777777" w:rsidR="00F62AD3" w:rsidRPr="00F62AD3" w:rsidRDefault="00F62AD3" w:rsidP="00F62AD3">
      <w:pPr>
        <w:tabs>
          <w:tab w:val="center" w:pos="4507"/>
          <w:tab w:val="right" w:pos="9029"/>
        </w:tabs>
        <w:spacing w:after="120" w:line="240" w:lineRule="auto"/>
        <w:rPr>
          <w:sz w:val="18"/>
          <w:lang w:val="en-US"/>
        </w:rPr>
      </w:pPr>
      <w:proofErr w:type="spellStart"/>
      <w:r w:rsidRPr="00F62AD3">
        <w:rPr>
          <w:sz w:val="18"/>
          <w:lang w:val="en-US"/>
        </w:rPr>
        <w:t>allo</w:t>
      </w:r>
      <w:proofErr w:type="spellEnd"/>
      <w:r w:rsidRPr="00F62AD3">
        <w:rPr>
          <w:sz w:val="18"/>
          <w:lang w:val="en-US"/>
        </w:rPr>
        <w:t xml:space="preserve">-HSCT: allogeneic hematopoietic stem cell transplantation; ATC: Anatomical Therapeutic Chemical; EBM: </w:t>
      </w:r>
      <w:proofErr w:type="spellStart"/>
      <w:r w:rsidRPr="00F62AD3">
        <w:rPr>
          <w:color w:val="262626"/>
          <w:sz w:val="18"/>
          <w:lang w:val="en-US"/>
        </w:rPr>
        <w:t>Einheitlicher</w:t>
      </w:r>
      <w:proofErr w:type="spellEnd"/>
      <w:r w:rsidRPr="00F62AD3">
        <w:rPr>
          <w:color w:val="262626"/>
          <w:sz w:val="18"/>
          <w:lang w:val="en-US"/>
        </w:rPr>
        <w:t xml:space="preserve"> </w:t>
      </w:r>
      <w:proofErr w:type="spellStart"/>
      <w:r w:rsidRPr="00F62AD3">
        <w:rPr>
          <w:color w:val="262626"/>
          <w:sz w:val="18"/>
          <w:lang w:val="en-US"/>
        </w:rPr>
        <w:t>Bewertungsmaßstab</w:t>
      </w:r>
      <w:proofErr w:type="spellEnd"/>
      <w:r w:rsidRPr="00F62AD3">
        <w:rPr>
          <w:color w:val="262626"/>
          <w:sz w:val="18"/>
          <w:lang w:val="en-US"/>
        </w:rPr>
        <w:t xml:space="preserve"> </w:t>
      </w:r>
      <w:r w:rsidRPr="00F62AD3">
        <w:rPr>
          <w:sz w:val="18"/>
          <w:lang w:val="en-US"/>
        </w:rPr>
        <w:t xml:space="preserve">[German uniform evaluation standard]; JAK: Janus kinase; MF: myelofibrosis; OPS: </w:t>
      </w:r>
      <w:proofErr w:type="spellStart"/>
      <w:r w:rsidRPr="00F62AD3">
        <w:rPr>
          <w:color w:val="262626"/>
          <w:sz w:val="18"/>
          <w:lang w:val="en-US"/>
        </w:rPr>
        <w:t>Operationen</w:t>
      </w:r>
      <w:proofErr w:type="spellEnd"/>
      <w:r w:rsidRPr="00F62AD3">
        <w:rPr>
          <w:color w:val="262626"/>
          <w:sz w:val="18"/>
          <w:lang w:val="en-US"/>
        </w:rPr>
        <w:t xml:space="preserve">-und </w:t>
      </w:r>
      <w:proofErr w:type="spellStart"/>
      <w:r w:rsidRPr="00F62AD3">
        <w:rPr>
          <w:color w:val="262626"/>
          <w:sz w:val="18"/>
          <w:lang w:val="en-US"/>
        </w:rPr>
        <w:t>Prozedurenschlüssel</w:t>
      </w:r>
      <w:proofErr w:type="spellEnd"/>
      <w:r w:rsidRPr="00F62AD3">
        <w:rPr>
          <w:color w:val="262626"/>
          <w:sz w:val="18"/>
          <w:lang w:val="en-US"/>
        </w:rPr>
        <w:t xml:space="preserve"> </w:t>
      </w:r>
      <w:r w:rsidRPr="00F62AD3">
        <w:rPr>
          <w:sz w:val="18"/>
          <w:lang w:val="en-US"/>
        </w:rPr>
        <w:t>[operation and procedure codes]</w:t>
      </w:r>
      <w:r w:rsidRPr="00F62AD3">
        <w:rPr>
          <w:sz w:val="18"/>
          <w:lang w:val="en-US"/>
        </w:rPr>
        <w:br/>
      </w:r>
    </w:p>
    <w:p w14:paraId="67BFCAAB" w14:textId="77777777" w:rsidR="00F62AD3" w:rsidRPr="00F62AD3" w:rsidRDefault="00F62AD3" w:rsidP="00F62AD3">
      <w:pPr>
        <w:spacing w:after="0" w:line="240" w:lineRule="auto"/>
        <w:rPr>
          <w:b/>
          <w:bCs/>
          <w:sz w:val="20"/>
          <w:lang w:val="en-US"/>
        </w:rPr>
      </w:pPr>
      <w:r w:rsidRPr="00F62AD3">
        <w:rPr>
          <w:b/>
          <w:bCs/>
          <w:sz w:val="20"/>
          <w:lang w:val="en-US"/>
        </w:rPr>
        <w:br w:type="page"/>
      </w:r>
    </w:p>
    <w:p w14:paraId="43CEE82C" w14:textId="77777777" w:rsidR="00F62AD3" w:rsidRPr="00F62AD3" w:rsidRDefault="00F62AD3" w:rsidP="00F62AD3">
      <w:pPr>
        <w:pageBreakBefore/>
        <w:outlineLvl w:val="0"/>
        <w:rPr>
          <w:b/>
          <w:sz w:val="20"/>
          <w:lang w:val="en-US"/>
        </w:rPr>
      </w:pPr>
      <w:r w:rsidRPr="00F62AD3">
        <w:rPr>
          <w:b/>
          <w:sz w:val="20"/>
          <w:lang w:val="en-US"/>
        </w:rPr>
        <w:lastRenderedPageBreak/>
        <w:t xml:space="preserve">Table S3 </w:t>
      </w:r>
      <w:r w:rsidRPr="00F62AD3">
        <w:rPr>
          <w:bCs/>
          <w:sz w:val="20"/>
          <w:lang w:val="en-US"/>
        </w:rPr>
        <w:t>Definitions used within the study</w:t>
      </w:r>
    </w:p>
    <w:tbl>
      <w:tblPr>
        <w:tblW w:w="13892" w:type="dxa"/>
        <w:jc w:val="center"/>
        <w:tblLayout w:type="fixed"/>
        <w:tblLook w:val="04A0" w:firstRow="1" w:lastRow="0" w:firstColumn="1" w:lastColumn="0" w:noHBand="0" w:noVBand="1"/>
      </w:tblPr>
      <w:tblGrid>
        <w:gridCol w:w="2410"/>
        <w:gridCol w:w="11482"/>
      </w:tblGrid>
      <w:tr w:rsidR="00F62AD3" w:rsidRPr="00F62AD3" w14:paraId="3268C875" w14:textId="77777777">
        <w:trPr>
          <w:trHeight w:val="446"/>
          <w:jc w:val="center"/>
        </w:trPr>
        <w:tc>
          <w:tcPr>
            <w:tcW w:w="2410" w:type="dxa"/>
            <w:tcBorders>
              <w:top w:val="single" w:sz="4" w:space="0" w:color="auto"/>
              <w:bottom w:val="single" w:sz="4" w:space="0" w:color="auto"/>
            </w:tcBorders>
            <w:shd w:val="clear" w:color="000000" w:fill="auto"/>
            <w:vAlign w:val="center"/>
          </w:tcPr>
          <w:p w14:paraId="73ADC8F5" w14:textId="77777777" w:rsidR="00F62AD3" w:rsidRPr="00F62AD3" w:rsidRDefault="00F62AD3" w:rsidP="00F62AD3">
            <w:pPr>
              <w:spacing w:before="120" w:after="120" w:line="240" w:lineRule="auto"/>
              <w:rPr>
                <w:b/>
                <w:bCs/>
                <w:sz w:val="18"/>
                <w:szCs w:val="18"/>
                <w:lang w:val="en-US"/>
              </w:rPr>
            </w:pPr>
            <w:r w:rsidRPr="00F62AD3">
              <w:rPr>
                <w:b/>
                <w:bCs/>
                <w:sz w:val="18"/>
                <w:szCs w:val="18"/>
                <w:lang w:val="en-US"/>
              </w:rPr>
              <w:t>Parameter</w:t>
            </w:r>
          </w:p>
        </w:tc>
        <w:tc>
          <w:tcPr>
            <w:tcW w:w="11482" w:type="dxa"/>
            <w:tcBorders>
              <w:top w:val="single" w:sz="4" w:space="0" w:color="auto"/>
              <w:bottom w:val="single" w:sz="4" w:space="0" w:color="auto"/>
            </w:tcBorders>
            <w:shd w:val="clear" w:color="000000" w:fill="auto"/>
            <w:vAlign w:val="center"/>
            <w:hideMark/>
          </w:tcPr>
          <w:p w14:paraId="6D034B33" w14:textId="77777777" w:rsidR="00F62AD3" w:rsidRPr="00F62AD3" w:rsidRDefault="00F62AD3" w:rsidP="00F62AD3">
            <w:pPr>
              <w:spacing w:before="120" w:after="120" w:line="240" w:lineRule="auto"/>
              <w:rPr>
                <w:b/>
                <w:bCs/>
                <w:sz w:val="18"/>
                <w:szCs w:val="18"/>
                <w:lang w:val="en-US"/>
              </w:rPr>
            </w:pPr>
            <w:r w:rsidRPr="00F62AD3">
              <w:rPr>
                <w:b/>
                <w:bCs/>
                <w:sz w:val="18"/>
                <w:szCs w:val="18"/>
                <w:lang w:val="en-US"/>
              </w:rPr>
              <w:t>Definition</w:t>
            </w:r>
          </w:p>
        </w:tc>
      </w:tr>
      <w:tr w:rsidR="00F62AD3" w:rsidRPr="00F62AD3" w14:paraId="7909267C" w14:textId="77777777">
        <w:trPr>
          <w:trHeight w:val="222"/>
          <w:jc w:val="center"/>
        </w:trPr>
        <w:tc>
          <w:tcPr>
            <w:tcW w:w="2410" w:type="dxa"/>
            <w:tcBorders>
              <w:top w:val="single" w:sz="4" w:space="0" w:color="auto"/>
              <w:bottom w:val="single" w:sz="4" w:space="0" w:color="auto"/>
            </w:tcBorders>
            <w:vAlign w:val="center"/>
          </w:tcPr>
          <w:p w14:paraId="78DEFDC0" w14:textId="77777777" w:rsidR="00F62AD3" w:rsidRPr="00F62AD3" w:rsidRDefault="00F62AD3" w:rsidP="00F62AD3">
            <w:pPr>
              <w:spacing w:before="120" w:after="120" w:line="240" w:lineRule="auto"/>
              <w:rPr>
                <w:sz w:val="18"/>
                <w:szCs w:val="18"/>
                <w:lang w:val="en-US"/>
              </w:rPr>
            </w:pPr>
            <w:r w:rsidRPr="00F62AD3">
              <w:rPr>
                <w:sz w:val="18"/>
                <w:szCs w:val="18"/>
                <w:lang w:val="en-US"/>
              </w:rPr>
              <w:t>Defined daily dose</w:t>
            </w:r>
          </w:p>
        </w:tc>
        <w:tc>
          <w:tcPr>
            <w:tcW w:w="11482" w:type="dxa"/>
            <w:tcBorders>
              <w:top w:val="single" w:sz="4" w:space="0" w:color="auto"/>
              <w:bottom w:val="single" w:sz="4" w:space="0" w:color="auto"/>
            </w:tcBorders>
            <w:noWrap/>
          </w:tcPr>
          <w:p w14:paraId="1DB9B95F" w14:textId="77777777" w:rsidR="00F62AD3" w:rsidRPr="00F62AD3" w:rsidRDefault="00F62AD3" w:rsidP="00F62AD3">
            <w:pPr>
              <w:spacing w:before="120" w:after="120" w:line="240" w:lineRule="auto"/>
              <w:rPr>
                <w:sz w:val="18"/>
                <w:szCs w:val="18"/>
                <w:lang w:val="en-US"/>
              </w:rPr>
            </w:pPr>
            <w:r w:rsidRPr="00F62AD3">
              <w:rPr>
                <w:sz w:val="18"/>
                <w:szCs w:val="18"/>
                <w:lang w:val="en-US"/>
              </w:rPr>
              <w:t>Technical unit of measurement: The assumed average maintenance dose per day for a drug used for its main indication in adults (defined by the WHO and adjusted for Germany by the scientific institute of AOK PLUS)</w:t>
            </w:r>
          </w:p>
        </w:tc>
      </w:tr>
      <w:tr w:rsidR="00F62AD3" w:rsidRPr="00F62AD3" w14:paraId="72C3A069" w14:textId="77777777">
        <w:trPr>
          <w:trHeight w:val="222"/>
          <w:jc w:val="center"/>
        </w:trPr>
        <w:tc>
          <w:tcPr>
            <w:tcW w:w="2410" w:type="dxa"/>
            <w:tcBorders>
              <w:top w:val="single" w:sz="4" w:space="0" w:color="auto"/>
              <w:bottom w:val="single" w:sz="4" w:space="0" w:color="auto"/>
            </w:tcBorders>
            <w:vAlign w:val="center"/>
          </w:tcPr>
          <w:p w14:paraId="6F164CFE" w14:textId="77777777" w:rsidR="00F62AD3" w:rsidRPr="00F62AD3" w:rsidRDefault="00F62AD3" w:rsidP="00F62AD3">
            <w:pPr>
              <w:spacing w:before="120" w:after="120" w:line="240" w:lineRule="auto"/>
              <w:rPr>
                <w:sz w:val="18"/>
                <w:szCs w:val="18"/>
                <w:lang w:val="en-US"/>
              </w:rPr>
            </w:pPr>
            <w:r w:rsidRPr="00F62AD3">
              <w:rPr>
                <w:sz w:val="18"/>
                <w:szCs w:val="18"/>
                <w:lang w:val="en-US"/>
              </w:rPr>
              <w:t>Medication supply</w:t>
            </w:r>
          </w:p>
        </w:tc>
        <w:tc>
          <w:tcPr>
            <w:tcW w:w="11482" w:type="dxa"/>
            <w:tcBorders>
              <w:top w:val="single" w:sz="4" w:space="0" w:color="auto"/>
              <w:bottom w:val="single" w:sz="4" w:space="0" w:color="auto"/>
            </w:tcBorders>
            <w:noWrap/>
            <w:hideMark/>
          </w:tcPr>
          <w:p w14:paraId="4594A67B" w14:textId="77777777" w:rsidR="00F62AD3" w:rsidRPr="00F62AD3" w:rsidRDefault="00F62AD3" w:rsidP="00F62AD3">
            <w:pPr>
              <w:spacing w:before="120" w:after="120" w:line="240" w:lineRule="auto"/>
              <w:rPr>
                <w:sz w:val="18"/>
                <w:szCs w:val="18"/>
                <w:lang w:val="en-US"/>
              </w:rPr>
            </w:pPr>
            <w:r w:rsidRPr="00F62AD3">
              <w:rPr>
                <w:sz w:val="18"/>
                <w:szCs w:val="18"/>
                <w:lang w:val="en-US"/>
              </w:rPr>
              <w:t>Days covered by a prescription are calculated based on the prescribed pack size (dosage, number of tablets) and the defined daily dose</w:t>
            </w:r>
          </w:p>
        </w:tc>
      </w:tr>
      <w:tr w:rsidR="00F62AD3" w:rsidRPr="00F62AD3" w14:paraId="6D68F6B9" w14:textId="77777777">
        <w:trPr>
          <w:trHeight w:val="222"/>
          <w:jc w:val="center"/>
        </w:trPr>
        <w:tc>
          <w:tcPr>
            <w:tcW w:w="2410" w:type="dxa"/>
            <w:tcBorders>
              <w:top w:val="single" w:sz="4" w:space="0" w:color="auto"/>
              <w:bottom w:val="single" w:sz="4" w:space="0" w:color="auto"/>
            </w:tcBorders>
            <w:vAlign w:val="center"/>
          </w:tcPr>
          <w:p w14:paraId="55EDD348" w14:textId="77777777" w:rsidR="00F62AD3" w:rsidRPr="00F62AD3" w:rsidRDefault="00F62AD3" w:rsidP="00F62AD3">
            <w:pPr>
              <w:spacing w:before="120" w:after="120" w:line="240" w:lineRule="auto"/>
              <w:rPr>
                <w:sz w:val="18"/>
                <w:szCs w:val="18"/>
                <w:lang w:val="en-US"/>
              </w:rPr>
            </w:pPr>
            <w:r w:rsidRPr="00F62AD3">
              <w:rPr>
                <w:sz w:val="18"/>
                <w:szCs w:val="18"/>
                <w:lang w:val="en-US"/>
              </w:rPr>
              <w:t>Stockpiling</w:t>
            </w:r>
          </w:p>
        </w:tc>
        <w:tc>
          <w:tcPr>
            <w:tcW w:w="11482" w:type="dxa"/>
            <w:tcBorders>
              <w:top w:val="single" w:sz="4" w:space="0" w:color="auto"/>
              <w:bottom w:val="single" w:sz="4" w:space="0" w:color="auto"/>
            </w:tcBorders>
            <w:noWrap/>
          </w:tcPr>
          <w:p w14:paraId="1FCF43CE" w14:textId="77777777" w:rsidR="00F62AD3" w:rsidRPr="00F62AD3" w:rsidRDefault="00F62AD3" w:rsidP="00F62AD3">
            <w:pPr>
              <w:spacing w:before="120" w:after="120" w:line="240" w:lineRule="auto"/>
              <w:rPr>
                <w:sz w:val="18"/>
                <w:szCs w:val="18"/>
                <w:lang w:val="en-US"/>
              </w:rPr>
            </w:pPr>
            <w:r w:rsidRPr="00F62AD3">
              <w:rPr>
                <w:sz w:val="18"/>
                <w:szCs w:val="18"/>
                <w:lang w:val="en-US"/>
              </w:rPr>
              <w:t>The medication stock accumulates if an additional medication dispensation was observed before the end of supply of the preceding prescription</w:t>
            </w:r>
          </w:p>
        </w:tc>
      </w:tr>
      <w:tr w:rsidR="00F62AD3" w:rsidRPr="00F62AD3" w14:paraId="4ACF3E67" w14:textId="77777777">
        <w:trPr>
          <w:trHeight w:val="222"/>
          <w:jc w:val="center"/>
        </w:trPr>
        <w:tc>
          <w:tcPr>
            <w:tcW w:w="2410" w:type="dxa"/>
            <w:tcBorders>
              <w:bottom w:val="single" w:sz="4" w:space="0" w:color="auto"/>
            </w:tcBorders>
            <w:vAlign w:val="center"/>
          </w:tcPr>
          <w:p w14:paraId="6ECDFC95" w14:textId="77777777" w:rsidR="00F62AD3" w:rsidRPr="00F62AD3" w:rsidRDefault="00F62AD3" w:rsidP="00F62AD3">
            <w:pPr>
              <w:spacing w:before="120" w:after="120" w:line="240" w:lineRule="auto"/>
              <w:rPr>
                <w:sz w:val="18"/>
                <w:szCs w:val="18"/>
                <w:lang w:val="en-US"/>
              </w:rPr>
            </w:pPr>
            <w:r w:rsidRPr="00F62AD3">
              <w:rPr>
                <w:sz w:val="18"/>
                <w:szCs w:val="18"/>
                <w:lang w:val="en-US"/>
              </w:rPr>
              <w:t>Line of treatment</w:t>
            </w:r>
          </w:p>
        </w:tc>
        <w:tc>
          <w:tcPr>
            <w:tcW w:w="11482" w:type="dxa"/>
            <w:tcBorders>
              <w:bottom w:val="single" w:sz="4" w:space="0" w:color="auto"/>
            </w:tcBorders>
            <w:noWrap/>
          </w:tcPr>
          <w:p w14:paraId="6F5FD730" w14:textId="77777777" w:rsidR="00F62AD3" w:rsidRPr="00F62AD3" w:rsidRDefault="00F62AD3" w:rsidP="00F62AD3">
            <w:pPr>
              <w:spacing w:before="120" w:after="120" w:line="240" w:lineRule="auto"/>
              <w:rPr>
                <w:sz w:val="18"/>
                <w:szCs w:val="18"/>
                <w:lang w:val="en-US"/>
              </w:rPr>
            </w:pPr>
            <w:r w:rsidRPr="00F62AD3">
              <w:rPr>
                <w:sz w:val="18"/>
                <w:szCs w:val="18"/>
                <w:lang w:val="en-US"/>
              </w:rPr>
              <w:t>Sequence of treatments following the index treatment (1L, 2L, 3L)</w:t>
            </w:r>
          </w:p>
        </w:tc>
      </w:tr>
      <w:tr w:rsidR="00F62AD3" w:rsidRPr="00F62AD3" w14:paraId="61C187FA" w14:textId="77777777">
        <w:trPr>
          <w:trHeight w:val="222"/>
          <w:jc w:val="center"/>
        </w:trPr>
        <w:tc>
          <w:tcPr>
            <w:tcW w:w="2410" w:type="dxa"/>
            <w:tcBorders>
              <w:bottom w:val="single" w:sz="4" w:space="0" w:color="auto"/>
            </w:tcBorders>
            <w:vAlign w:val="center"/>
          </w:tcPr>
          <w:p w14:paraId="0B99D9E6" w14:textId="77777777" w:rsidR="00F62AD3" w:rsidRPr="00F62AD3" w:rsidRDefault="00F62AD3" w:rsidP="00F62AD3">
            <w:pPr>
              <w:spacing w:before="120" w:after="120" w:line="240" w:lineRule="auto"/>
              <w:rPr>
                <w:sz w:val="18"/>
                <w:szCs w:val="18"/>
                <w:lang w:val="en-US"/>
              </w:rPr>
            </w:pPr>
            <w:r w:rsidRPr="00F62AD3">
              <w:rPr>
                <w:sz w:val="18"/>
                <w:szCs w:val="18"/>
                <w:lang w:val="en-US"/>
              </w:rPr>
              <w:t>Treatment switch</w:t>
            </w:r>
          </w:p>
        </w:tc>
        <w:tc>
          <w:tcPr>
            <w:tcW w:w="11482" w:type="dxa"/>
            <w:tcBorders>
              <w:bottom w:val="single" w:sz="4" w:space="0" w:color="auto"/>
            </w:tcBorders>
            <w:noWrap/>
          </w:tcPr>
          <w:p w14:paraId="28491649" w14:textId="77777777" w:rsidR="00F62AD3" w:rsidRPr="00F62AD3" w:rsidRDefault="00F62AD3" w:rsidP="00F62AD3">
            <w:pPr>
              <w:spacing w:before="60" w:after="60" w:line="240" w:lineRule="auto"/>
              <w:rPr>
                <w:rFonts w:eastAsia="Source Sans Pro" w:cs="Arial"/>
                <w:sz w:val="18"/>
                <w:szCs w:val="18"/>
                <w:lang w:val="en-US"/>
              </w:rPr>
            </w:pPr>
            <w:r w:rsidRPr="00F62AD3">
              <w:rPr>
                <w:rFonts w:eastAsia="Source Sans Pro" w:cs="Arial"/>
                <w:sz w:val="18"/>
                <w:szCs w:val="18"/>
                <w:lang w:val="en-US"/>
              </w:rPr>
              <w:t>A switch indicates the beginning of a subsequent line of therapy. Only MF treatments were considered for the definition of therapy lines</w:t>
            </w:r>
          </w:p>
          <w:p w14:paraId="16E8BE2C" w14:textId="77777777" w:rsidR="00F62AD3" w:rsidRPr="00F62AD3" w:rsidRDefault="00F62AD3" w:rsidP="00F62AD3">
            <w:pPr>
              <w:numPr>
                <w:ilvl w:val="0"/>
                <w:numId w:val="3"/>
              </w:numPr>
              <w:spacing w:before="60" w:after="60" w:line="240" w:lineRule="auto"/>
              <w:rPr>
                <w:rFonts w:eastAsia="Source Sans Pro" w:cs="Arial"/>
                <w:sz w:val="18"/>
                <w:szCs w:val="18"/>
                <w:lang w:val="en-US"/>
              </w:rPr>
            </w:pPr>
            <w:r w:rsidRPr="00F62AD3">
              <w:rPr>
                <w:rFonts w:eastAsia="Source Sans Pro" w:cs="Arial"/>
                <w:sz w:val="18"/>
                <w:szCs w:val="18"/>
                <w:lang w:val="en-US"/>
              </w:rPr>
              <w:t>Outpatient setting: Date of first prescription of an agent not part of the previous treatment line (prescription of a new agent &gt;28 days after the start of the previous line)</w:t>
            </w:r>
          </w:p>
          <w:p w14:paraId="79D454AE" w14:textId="77777777" w:rsidR="00F62AD3" w:rsidRPr="00F62AD3" w:rsidRDefault="00F62AD3" w:rsidP="00F62AD3">
            <w:pPr>
              <w:numPr>
                <w:ilvl w:val="0"/>
                <w:numId w:val="3"/>
              </w:numPr>
              <w:spacing w:before="120" w:after="120" w:line="240" w:lineRule="auto"/>
              <w:rPr>
                <w:sz w:val="18"/>
                <w:szCs w:val="18"/>
                <w:lang w:val="en-US"/>
              </w:rPr>
            </w:pPr>
            <w:r w:rsidRPr="00F62AD3">
              <w:rPr>
                <w:rFonts w:eastAsia="Source Sans Pro" w:cs="Arial"/>
                <w:sz w:val="18"/>
                <w:szCs w:val="18"/>
                <w:lang w:val="en-US"/>
              </w:rPr>
              <w:t>Inpatient setting: Date of hospital admission if an agent that was not part of the previous treatment line was given during the respective hospitalization (hospital admission &gt;28 days after the start of the previous line)</w:t>
            </w:r>
          </w:p>
        </w:tc>
      </w:tr>
      <w:tr w:rsidR="00F62AD3" w:rsidRPr="00F62AD3" w14:paraId="6AB530A8" w14:textId="77777777">
        <w:trPr>
          <w:trHeight w:val="222"/>
          <w:jc w:val="center"/>
        </w:trPr>
        <w:tc>
          <w:tcPr>
            <w:tcW w:w="2410" w:type="dxa"/>
            <w:tcBorders>
              <w:bottom w:val="single" w:sz="4" w:space="0" w:color="auto"/>
            </w:tcBorders>
            <w:vAlign w:val="center"/>
          </w:tcPr>
          <w:p w14:paraId="588A69E5" w14:textId="77777777" w:rsidR="00F62AD3" w:rsidRPr="00F62AD3" w:rsidRDefault="00F62AD3" w:rsidP="00F62AD3">
            <w:pPr>
              <w:spacing w:before="120" w:after="120" w:line="240" w:lineRule="auto"/>
              <w:rPr>
                <w:sz w:val="18"/>
                <w:szCs w:val="18"/>
                <w:lang w:val="en-US"/>
              </w:rPr>
            </w:pPr>
            <w:r w:rsidRPr="00F62AD3">
              <w:rPr>
                <w:sz w:val="18"/>
                <w:szCs w:val="18"/>
                <w:lang w:val="en-US"/>
              </w:rPr>
              <w:t>Treatment discontinuation</w:t>
            </w:r>
          </w:p>
        </w:tc>
        <w:tc>
          <w:tcPr>
            <w:tcW w:w="11482" w:type="dxa"/>
            <w:tcBorders>
              <w:bottom w:val="single" w:sz="4" w:space="0" w:color="auto"/>
            </w:tcBorders>
            <w:noWrap/>
          </w:tcPr>
          <w:p w14:paraId="510D5B7E" w14:textId="77777777" w:rsidR="00F62AD3" w:rsidRPr="00F62AD3" w:rsidRDefault="00F62AD3" w:rsidP="00F62AD3">
            <w:pPr>
              <w:spacing w:before="60" w:after="60" w:line="240" w:lineRule="auto"/>
              <w:rPr>
                <w:rFonts w:eastAsia="Source Sans Pro" w:cs="Arial"/>
                <w:sz w:val="18"/>
                <w:szCs w:val="18"/>
                <w:lang w:val="en-US"/>
              </w:rPr>
            </w:pPr>
            <w:r w:rsidRPr="00F62AD3">
              <w:rPr>
                <w:rFonts w:eastAsia="Source Sans Pro" w:cs="Arial"/>
                <w:sz w:val="18"/>
                <w:szCs w:val="18"/>
                <w:lang w:val="en-US"/>
              </w:rPr>
              <w:t xml:space="preserve">Supply gap (no prescription/inpatient admission of any of the </w:t>
            </w:r>
            <w:proofErr w:type="gramStart"/>
            <w:r w:rsidRPr="00F62AD3">
              <w:rPr>
                <w:rFonts w:eastAsia="Source Sans Pro" w:cs="Arial"/>
                <w:sz w:val="18"/>
                <w:szCs w:val="18"/>
                <w:lang w:val="en-US"/>
              </w:rPr>
              <w:t>agents</w:t>
            </w:r>
            <w:proofErr w:type="gramEnd"/>
            <w:r w:rsidRPr="00F62AD3">
              <w:rPr>
                <w:rFonts w:eastAsia="Source Sans Pro" w:cs="Arial"/>
                <w:sz w:val="18"/>
                <w:szCs w:val="18"/>
                <w:lang w:val="en-US"/>
              </w:rPr>
              <w:t xml:space="preserve"> part of the current therapy line) following the end of supply of an outpatient prescription</w:t>
            </w:r>
          </w:p>
          <w:p w14:paraId="087BE0CC" w14:textId="77777777" w:rsidR="00F62AD3" w:rsidRPr="00F62AD3" w:rsidRDefault="00F62AD3" w:rsidP="00F62AD3">
            <w:pPr>
              <w:numPr>
                <w:ilvl w:val="0"/>
                <w:numId w:val="4"/>
              </w:numPr>
              <w:spacing w:before="60" w:after="60" w:line="240" w:lineRule="auto"/>
              <w:rPr>
                <w:rFonts w:eastAsia="Source Sans Pro" w:cs="Arial"/>
                <w:sz w:val="18"/>
                <w:szCs w:val="18"/>
                <w:lang w:val="en-US"/>
              </w:rPr>
            </w:pPr>
            <w:proofErr w:type="spellStart"/>
            <w:r w:rsidRPr="00F62AD3">
              <w:rPr>
                <w:rFonts w:eastAsia="Source Sans Pro" w:cs="Arial"/>
                <w:sz w:val="18"/>
                <w:szCs w:val="18"/>
                <w:lang w:val="en-US"/>
              </w:rPr>
              <w:t>JAKi</w:t>
            </w:r>
            <w:proofErr w:type="spellEnd"/>
            <w:r w:rsidRPr="00F62AD3">
              <w:rPr>
                <w:rFonts w:eastAsia="Source Sans Pro" w:cs="Arial"/>
                <w:sz w:val="18"/>
                <w:szCs w:val="18"/>
                <w:lang w:val="en-US"/>
              </w:rPr>
              <w:t>-containing regimens: The date of discontinuation was the date of the last observed prescription + twice the days covered by the respective medication supply</w:t>
            </w:r>
          </w:p>
          <w:p w14:paraId="136B946E" w14:textId="77777777" w:rsidR="00F62AD3" w:rsidRPr="00F62AD3" w:rsidRDefault="00F62AD3" w:rsidP="00F62AD3">
            <w:pPr>
              <w:numPr>
                <w:ilvl w:val="0"/>
                <w:numId w:val="4"/>
              </w:numPr>
              <w:spacing w:before="60" w:after="60" w:line="240" w:lineRule="auto"/>
              <w:rPr>
                <w:rFonts w:eastAsia="Source Sans Pro" w:cs="Arial"/>
                <w:sz w:val="18"/>
                <w:szCs w:val="18"/>
                <w:lang w:val="en-US"/>
              </w:rPr>
            </w:pPr>
            <w:r w:rsidRPr="00F62AD3">
              <w:rPr>
                <w:rFonts w:eastAsia="Source Sans Pro" w:cs="Arial"/>
                <w:sz w:val="18"/>
                <w:szCs w:val="18"/>
                <w:lang w:val="en-US"/>
              </w:rPr>
              <w:t>Non-</w:t>
            </w:r>
            <w:proofErr w:type="spellStart"/>
            <w:r w:rsidRPr="00F62AD3">
              <w:rPr>
                <w:rFonts w:eastAsia="Source Sans Pro" w:cs="Arial"/>
                <w:sz w:val="18"/>
                <w:szCs w:val="18"/>
                <w:lang w:val="en-US"/>
              </w:rPr>
              <w:t>JAKi</w:t>
            </w:r>
            <w:proofErr w:type="spellEnd"/>
            <w:r w:rsidRPr="00F62AD3">
              <w:rPr>
                <w:rFonts w:eastAsia="Source Sans Pro" w:cs="Arial"/>
                <w:sz w:val="18"/>
                <w:szCs w:val="18"/>
                <w:lang w:val="en-US"/>
              </w:rPr>
              <w:t>-containing regimens: The date of discontinuation was 90 days after the end of supply</w:t>
            </w:r>
          </w:p>
          <w:p w14:paraId="2129FAC8" w14:textId="77777777" w:rsidR="00F62AD3" w:rsidRPr="00F62AD3" w:rsidRDefault="00F62AD3" w:rsidP="00F62AD3">
            <w:pPr>
              <w:numPr>
                <w:ilvl w:val="0"/>
                <w:numId w:val="4"/>
              </w:numPr>
              <w:spacing w:before="60" w:after="60" w:line="240" w:lineRule="auto"/>
              <w:rPr>
                <w:rFonts w:eastAsia="Source Sans Pro" w:cs="Arial"/>
                <w:sz w:val="18"/>
                <w:szCs w:val="18"/>
                <w:lang w:val="en-US"/>
              </w:rPr>
            </w:pPr>
            <w:r w:rsidRPr="00F62AD3">
              <w:rPr>
                <w:rFonts w:eastAsia="Source Sans Pro" w:cs="Arial"/>
                <w:sz w:val="18"/>
                <w:szCs w:val="18"/>
                <w:lang w:val="en-US"/>
              </w:rPr>
              <w:t>Hospital was considered covered by the respective medication</w:t>
            </w:r>
          </w:p>
          <w:p w14:paraId="628694AF" w14:textId="77777777" w:rsidR="00F62AD3" w:rsidRPr="00F62AD3" w:rsidRDefault="00F62AD3" w:rsidP="00F62AD3">
            <w:pPr>
              <w:numPr>
                <w:ilvl w:val="0"/>
                <w:numId w:val="4"/>
              </w:numPr>
              <w:spacing w:before="60" w:after="60" w:line="240" w:lineRule="auto"/>
              <w:rPr>
                <w:rFonts w:eastAsia="Source Sans Pro" w:cs="Arial"/>
                <w:sz w:val="18"/>
                <w:szCs w:val="18"/>
                <w:lang w:val="en-US"/>
              </w:rPr>
            </w:pPr>
            <w:r w:rsidRPr="00F62AD3">
              <w:rPr>
                <w:rFonts w:eastAsia="Source Sans Pro" w:cs="Arial"/>
                <w:sz w:val="18"/>
                <w:szCs w:val="18"/>
                <w:lang w:val="en-US"/>
              </w:rPr>
              <w:t>Stockpiling was assumed and remaining stock was considered after hospital discharge</w:t>
            </w:r>
          </w:p>
          <w:p w14:paraId="6002E918" w14:textId="77777777" w:rsidR="00F62AD3" w:rsidRPr="00F62AD3" w:rsidRDefault="00F62AD3" w:rsidP="00F62AD3">
            <w:pPr>
              <w:numPr>
                <w:ilvl w:val="0"/>
                <w:numId w:val="4"/>
              </w:numPr>
              <w:spacing w:before="60" w:after="60" w:line="276" w:lineRule="auto"/>
              <w:rPr>
                <w:rFonts w:eastAsia="Source Sans Pro" w:cs="Arial"/>
                <w:sz w:val="18"/>
                <w:szCs w:val="18"/>
                <w:lang w:val="en-US"/>
              </w:rPr>
            </w:pPr>
            <w:r w:rsidRPr="00F62AD3">
              <w:rPr>
                <w:rFonts w:eastAsia="Source Sans Pro" w:cs="Arial"/>
                <w:sz w:val="18"/>
                <w:szCs w:val="18"/>
                <w:lang w:val="en-US"/>
              </w:rPr>
              <w:t>If the same treatment was resumed after treatment discontinuation, this was reported as a subsequent line of therapy</w:t>
            </w:r>
          </w:p>
        </w:tc>
      </w:tr>
      <w:tr w:rsidR="00F62AD3" w:rsidRPr="00F62AD3" w14:paraId="6880E821" w14:textId="77777777">
        <w:trPr>
          <w:trHeight w:val="222"/>
          <w:jc w:val="center"/>
        </w:trPr>
        <w:tc>
          <w:tcPr>
            <w:tcW w:w="2410" w:type="dxa"/>
            <w:tcBorders>
              <w:bottom w:val="single" w:sz="4" w:space="0" w:color="auto"/>
            </w:tcBorders>
            <w:vAlign w:val="center"/>
          </w:tcPr>
          <w:p w14:paraId="44188F4C" w14:textId="77777777" w:rsidR="00F62AD3" w:rsidRPr="00F62AD3" w:rsidRDefault="00F62AD3" w:rsidP="00F62AD3">
            <w:pPr>
              <w:spacing w:before="120" w:after="120" w:line="240" w:lineRule="auto"/>
              <w:rPr>
                <w:sz w:val="18"/>
                <w:szCs w:val="18"/>
                <w:lang w:val="en-US"/>
              </w:rPr>
            </w:pPr>
            <w:r w:rsidRPr="00F62AD3">
              <w:rPr>
                <w:sz w:val="18"/>
                <w:szCs w:val="18"/>
                <w:lang w:val="en-US"/>
              </w:rPr>
              <w:t>Line start date</w:t>
            </w:r>
          </w:p>
        </w:tc>
        <w:tc>
          <w:tcPr>
            <w:tcW w:w="11482" w:type="dxa"/>
            <w:tcBorders>
              <w:bottom w:val="single" w:sz="4" w:space="0" w:color="auto"/>
            </w:tcBorders>
            <w:noWrap/>
          </w:tcPr>
          <w:p w14:paraId="7D3E3085" w14:textId="77777777" w:rsidR="00F62AD3" w:rsidRPr="00F62AD3" w:rsidRDefault="00F62AD3" w:rsidP="00F62AD3">
            <w:pPr>
              <w:spacing w:before="60" w:after="60" w:line="240" w:lineRule="auto"/>
              <w:rPr>
                <w:rFonts w:eastAsia="Source Sans Pro" w:cs="Arial"/>
                <w:sz w:val="18"/>
                <w:szCs w:val="18"/>
                <w:lang w:val="en-US"/>
              </w:rPr>
            </w:pPr>
            <w:r w:rsidRPr="00F62AD3">
              <w:rPr>
                <w:rFonts w:eastAsia="Source Sans Pro" w:cs="Arial"/>
                <w:sz w:val="18"/>
                <w:szCs w:val="18"/>
                <w:lang w:val="en-US"/>
              </w:rPr>
              <w:t>1L: Date of the first prescription of any relevant MF-related treatments or date of hospital admission if a relevant agent was administered during the hospital stay (inpatient setting) with no prescription or administration of any MF-related treatments occurring prior</w:t>
            </w:r>
          </w:p>
          <w:p w14:paraId="55D85D52" w14:textId="77777777" w:rsidR="00F62AD3" w:rsidRPr="00F62AD3" w:rsidRDefault="00F62AD3" w:rsidP="00F62AD3">
            <w:pPr>
              <w:spacing w:before="60" w:after="60" w:line="276" w:lineRule="auto"/>
              <w:rPr>
                <w:rFonts w:eastAsia="Source Sans Pro" w:cs="Arial"/>
                <w:sz w:val="18"/>
                <w:szCs w:val="18"/>
                <w:lang w:val="en-US"/>
              </w:rPr>
            </w:pPr>
            <w:r w:rsidRPr="00F62AD3">
              <w:rPr>
                <w:rFonts w:eastAsia="Source Sans Pro" w:cs="Arial"/>
                <w:sz w:val="18"/>
                <w:szCs w:val="18"/>
                <w:lang w:val="en-US"/>
              </w:rPr>
              <w:t>2L/3L: Date of treatment switch or date of prescription of an agent following treatment discontinuation (outpatient setting) or date of hospital admission if a relevant agent was administered during the hospital stay following treatment discontinuation (inpatient setting)</w:t>
            </w:r>
          </w:p>
        </w:tc>
      </w:tr>
      <w:tr w:rsidR="00F62AD3" w:rsidRPr="00F62AD3" w14:paraId="685FD694" w14:textId="77777777">
        <w:trPr>
          <w:trHeight w:val="222"/>
          <w:jc w:val="center"/>
        </w:trPr>
        <w:tc>
          <w:tcPr>
            <w:tcW w:w="2410" w:type="dxa"/>
            <w:tcBorders>
              <w:top w:val="single" w:sz="4" w:space="0" w:color="auto"/>
              <w:bottom w:val="single" w:sz="4" w:space="0" w:color="auto"/>
            </w:tcBorders>
            <w:vAlign w:val="center"/>
          </w:tcPr>
          <w:p w14:paraId="345635EC" w14:textId="77777777" w:rsidR="00F62AD3" w:rsidRPr="00F62AD3" w:rsidRDefault="00F62AD3" w:rsidP="00F62AD3">
            <w:pPr>
              <w:spacing w:before="120" w:after="120" w:line="240" w:lineRule="auto"/>
              <w:rPr>
                <w:sz w:val="18"/>
                <w:szCs w:val="18"/>
                <w:lang w:val="en-US"/>
              </w:rPr>
            </w:pPr>
            <w:r w:rsidRPr="00F62AD3">
              <w:rPr>
                <w:sz w:val="18"/>
                <w:szCs w:val="18"/>
                <w:lang w:val="en-US"/>
              </w:rPr>
              <w:t>Line end date</w:t>
            </w:r>
          </w:p>
        </w:tc>
        <w:tc>
          <w:tcPr>
            <w:tcW w:w="11482" w:type="dxa"/>
            <w:tcBorders>
              <w:top w:val="single" w:sz="4" w:space="0" w:color="auto"/>
              <w:bottom w:val="single" w:sz="4" w:space="0" w:color="auto"/>
            </w:tcBorders>
            <w:noWrap/>
          </w:tcPr>
          <w:p w14:paraId="6A5F62D8" w14:textId="77777777" w:rsidR="00F62AD3" w:rsidRPr="00F62AD3" w:rsidRDefault="00F62AD3" w:rsidP="00F62AD3">
            <w:pPr>
              <w:spacing w:before="60" w:after="60" w:line="240" w:lineRule="auto"/>
              <w:rPr>
                <w:rFonts w:eastAsia="Source Sans Pro" w:cs="Arial"/>
                <w:sz w:val="18"/>
                <w:szCs w:val="18"/>
                <w:lang w:val="en-US"/>
              </w:rPr>
            </w:pPr>
            <w:r w:rsidRPr="00F62AD3">
              <w:rPr>
                <w:rFonts w:eastAsia="Source Sans Pro" w:cs="Arial"/>
                <w:sz w:val="18"/>
                <w:szCs w:val="18"/>
                <w:lang w:val="en-US"/>
              </w:rPr>
              <w:t>One of the following: Date of treatment switch, treatment discontinuation, end of study period, end of continuous insurance or death, whichever occurred first</w:t>
            </w:r>
          </w:p>
        </w:tc>
      </w:tr>
      <w:tr w:rsidR="00F62AD3" w:rsidRPr="00F62AD3" w14:paraId="0374EAB4" w14:textId="77777777">
        <w:trPr>
          <w:trHeight w:val="222"/>
          <w:jc w:val="center"/>
        </w:trPr>
        <w:tc>
          <w:tcPr>
            <w:tcW w:w="2410" w:type="dxa"/>
            <w:tcBorders>
              <w:top w:val="single" w:sz="4" w:space="0" w:color="auto"/>
              <w:bottom w:val="single" w:sz="4" w:space="0" w:color="auto"/>
            </w:tcBorders>
            <w:vAlign w:val="center"/>
          </w:tcPr>
          <w:p w14:paraId="3FB7CB00" w14:textId="77777777" w:rsidR="00F62AD3" w:rsidRPr="00F62AD3" w:rsidRDefault="00F62AD3" w:rsidP="00F62AD3">
            <w:pPr>
              <w:spacing w:before="120" w:after="120" w:line="240" w:lineRule="auto"/>
              <w:rPr>
                <w:sz w:val="18"/>
                <w:szCs w:val="18"/>
                <w:lang w:val="en-US"/>
              </w:rPr>
            </w:pPr>
            <w:r w:rsidRPr="00F62AD3">
              <w:rPr>
                <w:sz w:val="18"/>
                <w:szCs w:val="18"/>
                <w:lang w:val="en-US"/>
              </w:rPr>
              <w:lastRenderedPageBreak/>
              <w:t>Combination therapy</w:t>
            </w:r>
          </w:p>
        </w:tc>
        <w:tc>
          <w:tcPr>
            <w:tcW w:w="11482" w:type="dxa"/>
            <w:tcBorders>
              <w:top w:val="single" w:sz="4" w:space="0" w:color="auto"/>
              <w:bottom w:val="single" w:sz="4" w:space="0" w:color="auto"/>
            </w:tcBorders>
            <w:noWrap/>
          </w:tcPr>
          <w:p w14:paraId="08F393AC" w14:textId="77777777" w:rsidR="00F62AD3" w:rsidRPr="00F62AD3" w:rsidRDefault="00F62AD3" w:rsidP="00F62AD3">
            <w:pPr>
              <w:spacing w:before="60" w:after="60" w:line="240" w:lineRule="auto"/>
              <w:rPr>
                <w:rFonts w:eastAsia="Source Sans Pro" w:cs="Arial"/>
                <w:sz w:val="18"/>
                <w:szCs w:val="18"/>
                <w:lang w:val="en-US"/>
              </w:rPr>
            </w:pPr>
            <w:r w:rsidRPr="00F62AD3">
              <w:rPr>
                <w:rFonts w:eastAsia="Source Sans Pro" w:cs="Arial"/>
                <w:sz w:val="18"/>
                <w:szCs w:val="18"/>
                <w:lang w:val="en-US"/>
              </w:rPr>
              <w:t>Defined as all relevant agents prescribed within a treatment window of 28 days following the line start date</w:t>
            </w:r>
          </w:p>
        </w:tc>
      </w:tr>
    </w:tbl>
    <w:p w14:paraId="375CBE3A" w14:textId="77777777" w:rsidR="00F62AD3" w:rsidRPr="00F62AD3" w:rsidRDefault="00F62AD3" w:rsidP="00F62AD3">
      <w:pPr>
        <w:tabs>
          <w:tab w:val="center" w:pos="4507"/>
          <w:tab w:val="right" w:pos="9029"/>
        </w:tabs>
        <w:spacing w:after="120" w:line="240" w:lineRule="auto"/>
        <w:rPr>
          <w:b/>
          <w:bCs/>
          <w:sz w:val="18"/>
          <w:lang w:val="en-US"/>
        </w:rPr>
      </w:pPr>
      <w:r w:rsidRPr="00F62AD3">
        <w:rPr>
          <w:sz w:val="18"/>
          <w:lang w:val="en-US"/>
        </w:rPr>
        <w:t xml:space="preserve">1L: </w:t>
      </w:r>
      <w:proofErr w:type="gramStart"/>
      <w:r w:rsidRPr="00F62AD3">
        <w:rPr>
          <w:sz w:val="18"/>
          <w:lang w:val="en-US"/>
        </w:rPr>
        <w:t>first-line</w:t>
      </w:r>
      <w:proofErr w:type="gramEnd"/>
      <w:r w:rsidRPr="00F62AD3">
        <w:rPr>
          <w:sz w:val="18"/>
          <w:lang w:val="en-US"/>
        </w:rPr>
        <w:t xml:space="preserve">; 2L: </w:t>
      </w:r>
      <w:proofErr w:type="gramStart"/>
      <w:r w:rsidRPr="00F62AD3">
        <w:rPr>
          <w:sz w:val="18"/>
          <w:lang w:val="en-US"/>
        </w:rPr>
        <w:t>second-line</w:t>
      </w:r>
      <w:proofErr w:type="gramEnd"/>
      <w:r w:rsidRPr="00F62AD3">
        <w:rPr>
          <w:sz w:val="18"/>
          <w:lang w:val="en-US"/>
        </w:rPr>
        <w:t xml:space="preserve">; 3L: </w:t>
      </w:r>
      <w:proofErr w:type="gramStart"/>
      <w:r w:rsidRPr="00F62AD3">
        <w:rPr>
          <w:sz w:val="18"/>
          <w:lang w:val="en-US"/>
        </w:rPr>
        <w:t>third-line</w:t>
      </w:r>
      <w:proofErr w:type="gramEnd"/>
      <w:r w:rsidRPr="00F62AD3">
        <w:rPr>
          <w:sz w:val="18"/>
          <w:lang w:val="en-US"/>
        </w:rPr>
        <w:t xml:space="preserve">; </w:t>
      </w:r>
      <w:proofErr w:type="spellStart"/>
      <w:r w:rsidRPr="00F62AD3">
        <w:rPr>
          <w:sz w:val="18"/>
          <w:lang w:val="en-US"/>
        </w:rPr>
        <w:t>JAKi</w:t>
      </w:r>
      <w:proofErr w:type="spellEnd"/>
      <w:r w:rsidRPr="00F62AD3">
        <w:rPr>
          <w:sz w:val="18"/>
          <w:lang w:val="en-US"/>
        </w:rPr>
        <w:t>: Janus kinase inhibitor; MF: myelofibrosis; WHO: World Health Organization.</w:t>
      </w:r>
      <w:r w:rsidRPr="00F62AD3">
        <w:rPr>
          <w:bCs/>
          <w:sz w:val="18"/>
          <w:lang w:val="en-US"/>
        </w:rPr>
        <w:br w:type="page"/>
      </w:r>
    </w:p>
    <w:p w14:paraId="7BFA91CE" w14:textId="77777777" w:rsidR="00F62AD3" w:rsidRPr="00F62AD3" w:rsidRDefault="00F62AD3" w:rsidP="00F62AD3">
      <w:pPr>
        <w:pageBreakBefore/>
        <w:outlineLvl w:val="0"/>
        <w:rPr>
          <w:b/>
          <w:sz w:val="20"/>
          <w:lang w:val="en-US"/>
        </w:rPr>
      </w:pPr>
      <w:r w:rsidRPr="00F62AD3">
        <w:rPr>
          <w:b/>
          <w:sz w:val="20"/>
          <w:lang w:val="en-US"/>
        </w:rPr>
        <w:lastRenderedPageBreak/>
        <w:t xml:space="preserve">Table S4 </w:t>
      </w:r>
      <w:r w:rsidRPr="00F62AD3">
        <w:rPr>
          <w:bCs/>
          <w:sz w:val="20"/>
          <w:lang w:val="en-US"/>
        </w:rPr>
        <w:t>Demographics and baseline characteristics of all analyzed cohorts</w:t>
      </w:r>
    </w:p>
    <w:tbl>
      <w:tblPr>
        <w:tblW w:w="14601" w:type="dxa"/>
        <w:tblLayout w:type="fixed"/>
        <w:tblLook w:val="04A0" w:firstRow="1" w:lastRow="0" w:firstColumn="1" w:lastColumn="0" w:noHBand="0" w:noVBand="1"/>
      </w:tblPr>
      <w:tblGrid>
        <w:gridCol w:w="3402"/>
        <w:gridCol w:w="284"/>
        <w:gridCol w:w="1842"/>
        <w:gridCol w:w="1991"/>
        <w:gridCol w:w="1695"/>
        <w:gridCol w:w="1701"/>
        <w:gridCol w:w="1701"/>
        <w:gridCol w:w="1985"/>
      </w:tblGrid>
      <w:tr w:rsidR="00F62AD3" w:rsidRPr="00F62AD3" w14:paraId="5275A6B1" w14:textId="77777777">
        <w:trPr>
          <w:trHeight w:val="446"/>
        </w:trPr>
        <w:tc>
          <w:tcPr>
            <w:tcW w:w="3402" w:type="dxa"/>
            <w:vMerge w:val="restart"/>
            <w:tcBorders>
              <w:top w:val="single" w:sz="4" w:space="0" w:color="auto"/>
            </w:tcBorders>
            <w:vAlign w:val="bottom"/>
          </w:tcPr>
          <w:p w14:paraId="56B88AC3" w14:textId="77777777" w:rsidR="00F62AD3" w:rsidRPr="00F62AD3" w:rsidRDefault="00F62AD3" w:rsidP="00F62AD3">
            <w:pPr>
              <w:spacing w:before="120" w:after="120" w:line="240" w:lineRule="auto"/>
              <w:rPr>
                <w:b/>
                <w:bCs/>
                <w:sz w:val="19"/>
                <w:szCs w:val="19"/>
                <w:lang w:val="en-US"/>
              </w:rPr>
            </w:pPr>
            <w:r w:rsidRPr="00F62AD3">
              <w:rPr>
                <w:b/>
                <w:bCs/>
                <w:sz w:val="19"/>
                <w:szCs w:val="19"/>
                <w:lang w:val="en-US"/>
              </w:rPr>
              <w:t>Characteristic</w:t>
            </w:r>
          </w:p>
        </w:tc>
        <w:tc>
          <w:tcPr>
            <w:tcW w:w="284" w:type="dxa"/>
            <w:vMerge w:val="restart"/>
            <w:tcBorders>
              <w:top w:val="single" w:sz="4" w:space="0" w:color="auto"/>
            </w:tcBorders>
            <w:vAlign w:val="bottom"/>
          </w:tcPr>
          <w:p w14:paraId="00B04FA8" w14:textId="77777777" w:rsidR="00F62AD3" w:rsidRPr="00F62AD3" w:rsidRDefault="00F62AD3" w:rsidP="00F62AD3">
            <w:pPr>
              <w:spacing w:before="120" w:after="120" w:line="240" w:lineRule="auto"/>
              <w:jc w:val="center"/>
              <w:rPr>
                <w:b/>
                <w:bCs/>
                <w:sz w:val="19"/>
                <w:szCs w:val="19"/>
                <w:lang w:val="en-US"/>
              </w:rPr>
            </w:pPr>
          </w:p>
        </w:tc>
        <w:tc>
          <w:tcPr>
            <w:tcW w:w="1842" w:type="dxa"/>
            <w:vMerge w:val="restart"/>
            <w:tcBorders>
              <w:top w:val="single" w:sz="4" w:space="0" w:color="auto"/>
            </w:tcBorders>
            <w:vAlign w:val="bottom"/>
          </w:tcPr>
          <w:p w14:paraId="06EC9A54" w14:textId="77777777" w:rsidR="00F62AD3" w:rsidRPr="00F62AD3" w:rsidRDefault="00F62AD3" w:rsidP="00F62AD3">
            <w:pPr>
              <w:spacing w:before="120" w:after="120" w:line="240" w:lineRule="auto"/>
              <w:jc w:val="center"/>
              <w:rPr>
                <w:b/>
                <w:bCs/>
                <w:sz w:val="19"/>
                <w:szCs w:val="19"/>
                <w:lang w:val="en-US"/>
              </w:rPr>
            </w:pPr>
            <w:r w:rsidRPr="00F62AD3">
              <w:rPr>
                <w:b/>
                <w:bCs/>
                <w:sz w:val="19"/>
                <w:szCs w:val="19"/>
                <w:lang w:val="en-US"/>
              </w:rPr>
              <w:t>Treatment sequencing cohort</w:t>
            </w:r>
            <w:r w:rsidRPr="00F62AD3">
              <w:rPr>
                <w:b/>
                <w:bCs/>
                <w:sz w:val="19"/>
                <w:szCs w:val="19"/>
                <w:lang w:val="en-US"/>
              </w:rPr>
              <w:br/>
              <w:t>(</w:t>
            </w:r>
            <w:r w:rsidRPr="00F62AD3">
              <w:rPr>
                <w:b/>
                <w:bCs/>
                <w:i/>
                <w:iCs/>
                <w:sz w:val="19"/>
                <w:szCs w:val="19"/>
                <w:lang w:val="en-US"/>
              </w:rPr>
              <w:t>n</w:t>
            </w:r>
            <w:r w:rsidRPr="00F62AD3">
              <w:rPr>
                <w:b/>
                <w:bCs/>
                <w:sz w:val="19"/>
                <w:szCs w:val="19"/>
                <w:lang w:val="en-US"/>
              </w:rPr>
              <w:t xml:space="preserve"> = 555)</w:t>
            </w:r>
          </w:p>
        </w:tc>
        <w:tc>
          <w:tcPr>
            <w:tcW w:w="1991" w:type="dxa"/>
            <w:vMerge w:val="restart"/>
            <w:tcBorders>
              <w:top w:val="single" w:sz="4" w:space="0" w:color="auto"/>
            </w:tcBorders>
            <w:vAlign w:val="bottom"/>
          </w:tcPr>
          <w:p w14:paraId="3DE94822" w14:textId="77777777" w:rsidR="00F62AD3" w:rsidRPr="00F62AD3" w:rsidRDefault="00F62AD3" w:rsidP="00F62AD3">
            <w:pPr>
              <w:spacing w:before="120" w:after="120" w:line="240" w:lineRule="auto"/>
              <w:jc w:val="center"/>
              <w:rPr>
                <w:b/>
                <w:bCs/>
                <w:sz w:val="19"/>
                <w:szCs w:val="19"/>
                <w:lang w:val="en-US"/>
              </w:rPr>
            </w:pPr>
            <w:r w:rsidRPr="00F62AD3">
              <w:rPr>
                <w:b/>
                <w:bCs/>
                <w:sz w:val="19"/>
                <w:szCs w:val="19"/>
                <w:lang w:val="en-US"/>
              </w:rPr>
              <w:t xml:space="preserve">OS/HCRU descriptive </w:t>
            </w:r>
            <w:r w:rsidRPr="00F62AD3">
              <w:rPr>
                <w:b/>
                <w:bCs/>
                <w:sz w:val="19"/>
                <w:szCs w:val="19"/>
                <w:lang w:val="en-US"/>
              </w:rPr>
              <w:br/>
              <w:t xml:space="preserve">cohort </w:t>
            </w:r>
            <w:r w:rsidRPr="00F62AD3">
              <w:rPr>
                <w:b/>
                <w:bCs/>
                <w:sz w:val="19"/>
                <w:szCs w:val="19"/>
                <w:lang w:val="en-US"/>
              </w:rPr>
              <w:br/>
              <w:t>(</w:t>
            </w:r>
            <w:r w:rsidRPr="00F62AD3">
              <w:rPr>
                <w:b/>
                <w:bCs/>
                <w:i/>
                <w:iCs/>
                <w:sz w:val="19"/>
                <w:szCs w:val="19"/>
                <w:lang w:val="en-US"/>
              </w:rPr>
              <w:t>n</w:t>
            </w:r>
            <w:r w:rsidRPr="00F62AD3">
              <w:rPr>
                <w:b/>
                <w:bCs/>
                <w:sz w:val="19"/>
                <w:szCs w:val="19"/>
                <w:lang w:val="en-US"/>
              </w:rPr>
              <w:t xml:space="preserve"> = 510)</w:t>
            </w:r>
          </w:p>
        </w:tc>
        <w:tc>
          <w:tcPr>
            <w:tcW w:w="1695" w:type="dxa"/>
            <w:vMerge w:val="restart"/>
            <w:tcBorders>
              <w:top w:val="single" w:sz="4" w:space="0" w:color="auto"/>
            </w:tcBorders>
            <w:vAlign w:val="bottom"/>
          </w:tcPr>
          <w:p w14:paraId="3981077F" w14:textId="77777777" w:rsidR="00F62AD3" w:rsidRPr="00F62AD3" w:rsidRDefault="00F62AD3" w:rsidP="00F62AD3">
            <w:pPr>
              <w:spacing w:before="120" w:after="120" w:line="240" w:lineRule="auto"/>
              <w:jc w:val="center"/>
              <w:rPr>
                <w:b/>
                <w:bCs/>
                <w:sz w:val="19"/>
                <w:szCs w:val="19"/>
                <w:lang w:val="en-US"/>
              </w:rPr>
            </w:pPr>
            <w:r w:rsidRPr="00F62AD3">
              <w:rPr>
                <w:b/>
                <w:bCs/>
                <w:sz w:val="19"/>
                <w:szCs w:val="19"/>
                <w:lang w:val="en-US"/>
              </w:rPr>
              <w:t xml:space="preserve">Transfusion status </w:t>
            </w:r>
            <w:r w:rsidRPr="00F62AD3">
              <w:rPr>
                <w:b/>
                <w:bCs/>
                <w:sz w:val="19"/>
                <w:szCs w:val="19"/>
                <w:lang w:val="en-US"/>
              </w:rPr>
              <w:br/>
              <w:t xml:space="preserve">cohort </w:t>
            </w:r>
            <w:r w:rsidRPr="00F62AD3">
              <w:rPr>
                <w:b/>
                <w:bCs/>
                <w:sz w:val="19"/>
                <w:szCs w:val="19"/>
                <w:lang w:val="en-US"/>
              </w:rPr>
              <w:br/>
              <w:t>(</w:t>
            </w:r>
            <w:r w:rsidRPr="00F62AD3">
              <w:rPr>
                <w:b/>
                <w:bCs/>
                <w:i/>
                <w:iCs/>
                <w:sz w:val="19"/>
                <w:szCs w:val="19"/>
                <w:lang w:val="en-US"/>
              </w:rPr>
              <w:t>n</w:t>
            </w:r>
            <w:r w:rsidRPr="00F62AD3">
              <w:rPr>
                <w:b/>
                <w:bCs/>
                <w:sz w:val="19"/>
                <w:szCs w:val="19"/>
                <w:lang w:val="en-US"/>
              </w:rPr>
              <w:t xml:space="preserve"> = 233)</w:t>
            </w:r>
          </w:p>
        </w:tc>
        <w:tc>
          <w:tcPr>
            <w:tcW w:w="5387" w:type="dxa"/>
            <w:gridSpan w:val="3"/>
            <w:tcBorders>
              <w:top w:val="single" w:sz="4" w:space="0" w:color="auto"/>
              <w:bottom w:val="single" w:sz="4" w:space="0" w:color="auto"/>
            </w:tcBorders>
            <w:vAlign w:val="bottom"/>
          </w:tcPr>
          <w:p w14:paraId="26096BB4" w14:textId="77777777" w:rsidR="00F62AD3" w:rsidRPr="00F62AD3" w:rsidRDefault="00F62AD3" w:rsidP="00F62AD3">
            <w:pPr>
              <w:spacing w:before="120" w:after="120" w:line="240" w:lineRule="auto"/>
              <w:jc w:val="center"/>
              <w:rPr>
                <w:b/>
                <w:bCs/>
                <w:sz w:val="19"/>
                <w:szCs w:val="19"/>
                <w:lang w:val="en-US"/>
              </w:rPr>
            </w:pPr>
            <w:r w:rsidRPr="00F62AD3">
              <w:rPr>
                <w:b/>
                <w:bCs/>
                <w:sz w:val="19"/>
                <w:szCs w:val="19"/>
                <w:lang w:val="en-US"/>
              </w:rPr>
              <w:t xml:space="preserve">Transfusion status cohort after propensity </w:t>
            </w:r>
            <w:proofErr w:type="spellStart"/>
            <w:r w:rsidRPr="00F62AD3">
              <w:rPr>
                <w:b/>
                <w:bCs/>
                <w:sz w:val="19"/>
                <w:szCs w:val="19"/>
                <w:lang w:val="en-US"/>
              </w:rPr>
              <w:t>matching</w:t>
            </w:r>
            <w:r w:rsidRPr="00F62AD3">
              <w:rPr>
                <w:b/>
                <w:bCs/>
                <w:sz w:val="19"/>
                <w:szCs w:val="19"/>
                <w:vertAlign w:val="superscript"/>
                <w:lang w:val="en-US"/>
              </w:rPr>
              <w:t>a</w:t>
            </w:r>
            <w:proofErr w:type="spellEnd"/>
          </w:p>
        </w:tc>
      </w:tr>
      <w:tr w:rsidR="00F62AD3" w:rsidRPr="00F62AD3" w14:paraId="38FF2203" w14:textId="77777777">
        <w:trPr>
          <w:trHeight w:val="446"/>
        </w:trPr>
        <w:tc>
          <w:tcPr>
            <w:tcW w:w="3402" w:type="dxa"/>
            <w:vMerge/>
            <w:vAlign w:val="bottom"/>
            <w:hideMark/>
          </w:tcPr>
          <w:p w14:paraId="0688A707" w14:textId="77777777" w:rsidR="00F62AD3" w:rsidRPr="00F62AD3" w:rsidRDefault="00F62AD3" w:rsidP="00F62AD3">
            <w:pPr>
              <w:spacing w:before="120" w:after="120" w:line="240" w:lineRule="auto"/>
              <w:rPr>
                <w:b/>
                <w:bCs/>
                <w:sz w:val="19"/>
                <w:szCs w:val="19"/>
                <w:lang w:val="en-US"/>
              </w:rPr>
            </w:pPr>
          </w:p>
        </w:tc>
        <w:tc>
          <w:tcPr>
            <w:tcW w:w="284" w:type="dxa"/>
            <w:vMerge/>
            <w:vAlign w:val="bottom"/>
          </w:tcPr>
          <w:p w14:paraId="437C5909" w14:textId="77777777" w:rsidR="00F62AD3" w:rsidRPr="00F62AD3" w:rsidRDefault="00F62AD3" w:rsidP="00F62AD3">
            <w:pPr>
              <w:spacing w:before="120" w:after="120" w:line="240" w:lineRule="auto"/>
              <w:jc w:val="center"/>
              <w:rPr>
                <w:b/>
                <w:bCs/>
                <w:sz w:val="19"/>
                <w:szCs w:val="19"/>
                <w:lang w:val="en-US"/>
              </w:rPr>
            </w:pPr>
          </w:p>
        </w:tc>
        <w:tc>
          <w:tcPr>
            <w:tcW w:w="1842" w:type="dxa"/>
            <w:vMerge/>
            <w:vAlign w:val="bottom"/>
          </w:tcPr>
          <w:p w14:paraId="14708F88" w14:textId="77777777" w:rsidR="00F62AD3" w:rsidRPr="00F62AD3" w:rsidRDefault="00F62AD3" w:rsidP="00F62AD3">
            <w:pPr>
              <w:spacing w:before="120" w:after="120" w:line="240" w:lineRule="auto"/>
              <w:jc w:val="center"/>
              <w:rPr>
                <w:b/>
                <w:bCs/>
                <w:sz w:val="19"/>
                <w:szCs w:val="19"/>
                <w:lang w:val="en-US"/>
              </w:rPr>
            </w:pPr>
          </w:p>
        </w:tc>
        <w:tc>
          <w:tcPr>
            <w:tcW w:w="1991" w:type="dxa"/>
            <w:vMerge/>
            <w:vAlign w:val="bottom"/>
          </w:tcPr>
          <w:p w14:paraId="3D3EFF0A" w14:textId="77777777" w:rsidR="00F62AD3" w:rsidRPr="00F62AD3" w:rsidRDefault="00F62AD3" w:rsidP="00F62AD3">
            <w:pPr>
              <w:spacing w:before="120" w:after="120" w:line="240" w:lineRule="auto"/>
              <w:jc w:val="center"/>
              <w:rPr>
                <w:b/>
                <w:bCs/>
                <w:sz w:val="19"/>
                <w:szCs w:val="19"/>
                <w:lang w:val="en-US"/>
              </w:rPr>
            </w:pPr>
          </w:p>
        </w:tc>
        <w:tc>
          <w:tcPr>
            <w:tcW w:w="1695" w:type="dxa"/>
            <w:vMerge/>
            <w:vAlign w:val="bottom"/>
          </w:tcPr>
          <w:p w14:paraId="34CB0A09" w14:textId="77777777" w:rsidR="00F62AD3" w:rsidRPr="00F62AD3" w:rsidRDefault="00F62AD3" w:rsidP="00F62AD3">
            <w:pPr>
              <w:spacing w:before="120" w:after="120" w:line="240" w:lineRule="auto"/>
              <w:jc w:val="center"/>
              <w:rPr>
                <w:b/>
                <w:bCs/>
                <w:sz w:val="19"/>
                <w:szCs w:val="19"/>
                <w:lang w:val="en-US"/>
              </w:rPr>
            </w:pPr>
          </w:p>
        </w:tc>
        <w:tc>
          <w:tcPr>
            <w:tcW w:w="1701" w:type="dxa"/>
            <w:tcBorders>
              <w:top w:val="single" w:sz="4" w:space="0" w:color="auto"/>
              <w:bottom w:val="single" w:sz="4" w:space="0" w:color="auto"/>
            </w:tcBorders>
            <w:vAlign w:val="bottom"/>
          </w:tcPr>
          <w:p w14:paraId="6C4CC838" w14:textId="77777777" w:rsidR="00F62AD3" w:rsidRPr="00F62AD3" w:rsidRDefault="00F62AD3" w:rsidP="00F62AD3">
            <w:pPr>
              <w:spacing w:before="120" w:after="120" w:line="240" w:lineRule="auto"/>
              <w:jc w:val="center"/>
              <w:rPr>
                <w:b/>
                <w:bCs/>
                <w:sz w:val="19"/>
                <w:szCs w:val="19"/>
                <w:lang w:val="en-US"/>
              </w:rPr>
            </w:pPr>
            <w:r w:rsidRPr="00F62AD3">
              <w:rPr>
                <w:b/>
                <w:bCs/>
                <w:sz w:val="19"/>
                <w:szCs w:val="19"/>
                <w:lang w:val="en-US"/>
              </w:rPr>
              <w:t>Overall</w:t>
            </w:r>
            <w:r w:rsidRPr="00F62AD3">
              <w:rPr>
                <w:b/>
                <w:bCs/>
                <w:sz w:val="19"/>
                <w:szCs w:val="19"/>
                <w:lang w:val="en-US"/>
              </w:rPr>
              <w:br/>
              <w:t>(</w:t>
            </w:r>
            <w:r w:rsidRPr="00F62AD3">
              <w:rPr>
                <w:b/>
                <w:bCs/>
                <w:i/>
                <w:iCs/>
                <w:sz w:val="19"/>
                <w:szCs w:val="19"/>
                <w:lang w:val="en-US"/>
              </w:rPr>
              <w:t>n</w:t>
            </w:r>
            <w:r w:rsidRPr="00F62AD3">
              <w:rPr>
                <w:b/>
                <w:bCs/>
                <w:sz w:val="19"/>
                <w:szCs w:val="19"/>
                <w:lang w:val="en-US"/>
              </w:rPr>
              <w:t xml:space="preserve"> = 346)</w:t>
            </w:r>
          </w:p>
        </w:tc>
        <w:tc>
          <w:tcPr>
            <w:tcW w:w="1701" w:type="dxa"/>
            <w:tcBorders>
              <w:top w:val="single" w:sz="4" w:space="0" w:color="auto"/>
              <w:bottom w:val="single" w:sz="4" w:space="0" w:color="auto"/>
            </w:tcBorders>
            <w:vAlign w:val="bottom"/>
          </w:tcPr>
          <w:p w14:paraId="58A9FB16" w14:textId="77777777" w:rsidR="00F62AD3" w:rsidRPr="00F62AD3" w:rsidRDefault="00F62AD3" w:rsidP="00F62AD3">
            <w:pPr>
              <w:spacing w:before="120" w:after="120" w:line="240" w:lineRule="auto"/>
              <w:jc w:val="center"/>
              <w:rPr>
                <w:b/>
                <w:bCs/>
                <w:sz w:val="19"/>
                <w:szCs w:val="19"/>
                <w:lang w:val="en-US"/>
              </w:rPr>
            </w:pPr>
            <w:r w:rsidRPr="00F62AD3">
              <w:rPr>
                <w:b/>
                <w:bCs/>
                <w:sz w:val="19"/>
                <w:szCs w:val="19"/>
                <w:lang w:val="en-US"/>
              </w:rPr>
              <w:t xml:space="preserve">TI </w:t>
            </w:r>
            <w:r w:rsidRPr="00F62AD3">
              <w:rPr>
                <w:b/>
                <w:bCs/>
                <w:sz w:val="19"/>
                <w:szCs w:val="19"/>
                <w:lang w:val="en-US"/>
              </w:rPr>
              <w:br/>
              <w:t>(</w:t>
            </w:r>
            <w:r w:rsidRPr="00F62AD3">
              <w:rPr>
                <w:b/>
                <w:bCs/>
                <w:i/>
                <w:iCs/>
                <w:sz w:val="19"/>
                <w:szCs w:val="19"/>
                <w:lang w:val="en-US"/>
              </w:rPr>
              <w:t>n</w:t>
            </w:r>
            <w:r w:rsidRPr="00F62AD3">
              <w:rPr>
                <w:b/>
                <w:bCs/>
                <w:sz w:val="19"/>
                <w:szCs w:val="19"/>
                <w:lang w:val="en-US"/>
              </w:rPr>
              <w:t xml:space="preserve"> = 173)</w:t>
            </w:r>
          </w:p>
        </w:tc>
        <w:tc>
          <w:tcPr>
            <w:tcW w:w="1985" w:type="dxa"/>
            <w:tcBorders>
              <w:top w:val="single" w:sz="4" w:space="0" w:color="auto"/>
              <w:bottom w:val="single" w:sz="4" w:space="0" w:color="auto"/>
            </w:tcBorders>
            <w:vAlign w:val="bottom"/>
          </w:tcPr>
          <w:p w14:paraId="0C1266D1" w14:textId="77777777" w:rsidR="00F62AD3" w:rsidRPr="00F62AD3" w:rsidRDefault="00F62AD3" w:rsidP="00F62AD3">
            <w:pPr>
              <w:spacing w:before="120" w:after="120" w:line="240" w:lineRule="auto"/>
              <w:jc w:val="center"/>
              <w:rPr>
                <w:b/>
                <w:bCs/>
                <w:sz w:val="19"/>
                <w:szCs w:val="19"/>
                <w:lang w:val="en-US"/>
              </w:rPr>
            </w:pPr>
            <w:r w:rsidRPr="00F62AD3">
              <w:rPr>
                <w:b/>
                <w:bCs/>
                <w:sz w:val="19"/>
                <w:szCs w:val="19"/>
                <w:lang w:val="en-US"/>
              </w:rPr>
              <w:t xml:space="preserve">Non-TI </w:t>
            </w:r>
            <w:r w:rsidRPr="00F62AD3">
              <w:rPr>
                <w:b/>
                <w:bCs/>
                <w:sz w:val="19"/>
                <w:szCs w:val="19"/>
                <w:lang w:val="en-US"/>
              </w:rPr>
              <w:br/>
              <w:t>(</w:t>
            </w:r>
            <w:r w:rsidRPr="00F62AD3">
              <w:rPr>
                <w:b/>
                <w:bCs/>
                <w:i/>
                <w:iCs/>
                <w:sz w:val="19"/>
                <w:szCs w:val="19"/>
                <w:lang w:val="en-US"/>
              </w:rPr>
              <w:t xml:space="preserve">n </w:t>
            </w:r>
            <w:r w:rsidRPr="00F62AD3">
              <w:rPr>
                <w:b/>
                <w:bCs/>
                <w:sz w:val="19"/>
                <w:szCs w:val="19"/>
                <w:lang w:val="en-US"/>
              </w:rPr>
              <w:t>= 173)</w:t>
            </w:r>
          </w:p>
        </w:tc>
      </w:tr>
      <w:tr w:rsidR="00F62AD3" w:rsidRPr="00F62AD3" w14:paraId="1849B6AD" w14:textId="77777777">
        <w:trPr>
          <w:trHeight w:val="222"/>
        </w:trPr>
        <w:tc>
          <w:tcPr>
            <w:tcW w:w="3402" w:type="dxa"/>
            <w:tcBorders>
              <w:top w:val="single" w:sz="4" w:space="0" w:color="auto"/>
            </w:tcBorders>
            <w:noWrap/>
            <w:vAlign w:val="center"/>
          </w:tcPr>
          <w:p w14:paraId="2EC8AEDF" w14:textId="77777777" w:rsidR="00F62AD3" w:rsidRPr="00F62AD3" w:rsidRDefault="00F62AD3" w:rsidP="00F62AD3">
            <w:pPr>
              <w:spacing w:before="120" w:after="120" w:line="240" w:lineRule="auto"/>
              <w:rPr>
                <w:b/>
                <w:bCs/>
                <w:sz w:val="19"/>
                <w:szCs w:val="19"/>
                <w:lang w:val="en-US"/>
              </w:rPr>
            </w:pPr>
            <w:r w:rsidRPr="00F62AD3">
              <w:rPr>
                <w:b/>
                <w:bCs/>
                <w:sz w:val="19"/>
                <w:szCs w:val="19"/>
                <w:lang w:val="en-US"/>
              </w:rPr>
              <w:t>Patient demographics</w:t>
            </w:r>
          </w:p>
        </w:tc>
        <w:tc>
          <w:tcPr>
            <w:tcW w:w="284" w:type="dxa"/>
            <w:tcBorders>
              <w:top w:val="single" w:sz="4" w:space="0" w:color="auto"/>
            </w:tcBorders>
            <w:noWrap/>
            <w:vAlign w:val="bottom"/>
          </w:tcPr>
          <w:p w14:paraId="63E97C6C" w14:textId="77777777" w:rsidR="00F62AD3" w:rsidRPr="00F62AD3" w:rsidRDefault="00F62AD3" w:rsidP="00F62AD3">
            <w:pPr>
              <w:spacing w:before="120" w:after="120" w:line="240" w:lineRule="auto"/>
              <w:jc w:val="center"/>
              <w:rPr>
                <w:sz w:val="19"/>
                <w:szCs w:val="19"/>
                <w:lang w:val="en-US"/>
              </w:rPr>
            </w:pPr>
          </w:p>
        </w:tc>
        <w:tc>
          <w:tcPr>
            <w:tcW w:w="1842" w:type="dxa"/>
            <w:tcBorders>
              <w:top w:val="single" w:sz="4" w:space="0" w:color="auto"/>
            </w:tcBorders>
            <w:vAlign w:val="center"/>
          </w:tcPr>
          <w:p w14:paraId="0F572C28" w14:textId="77777777" w:rsidR="00F62AD3" w:rsidRPr="00F62AD3" w:rsidRDefault="00F62AD3" w:rsidP="00F62AD3">
            <w:pPr>
              <w:spacing w:before="120" w:after="120" w:line="240" w:lineRule="auto"/>
              <w:jc w:val="center"/>
              <w:rPr>
                <w:sz w:val="19"/>
                <w:szCs w:val="19"/>
                <w:lang w:val="en-US"/>
              </w:rPr>
            </w:pPr>
          </w:p>
        </w:tc>
        <w:tc>
          <w:tcPr>
            <w:tcW w:w="1991" w:type="dxa"/>
            <w:tcBorders>
              <w:top w:val="single" w:sz="4" w:space="0" w:color="auto"/>
            </w:tcBorders>
            <w:vAlign w:val="center"/>
          </w:tcPr>
          <w:p w14:paraId="1E45A3BF" w14:textId="77777777" w:rsidR="00F62AD3" w:rsidRPr="00F62AD3" w:rsidRDefault="00F62AD3" w:rsidP="00F62AD3">
            <w:pPr>
              <w:spacing w:before="120" w:after="120" w:line="240" w:lineRule="auto"/>
              <w:jc w:val="center"/>
              <w:rPr>
                <w:sz w:val="19"/>
                <w:szCs w:val="19"/>
                <w:lang w:val="en-US"/>
              </w:rPr>
            </w:pPr>
          </w:p>
        </w:tc>
        <w:tc>
          <w:tcPr>
            <w:tcW w:w="1695" w:type="dxa"/>
            <w:tcBorders>
              <w:top w:val="single" w:sz="4" w:space="0" w:color="auto"/>
            </w:tcBorders>
            <w:vAlign w:val="center"/>
          </w:tcPr>
          <w:p w14:paraId="70A7861D" w14:textId="77777777" w:rsidR="00F62AD3" w:rsidRPr="00F62AD3" w:rsidRDefault="00F62AD3" w:rsidP="00F62AD3">
            <w:pPr>
              <w:spacing w:before="120" w:after="120" w:line="240" w:lineRule="auto"/>
              <w:jc w:val="center"/>
              <w:rPr>
                <w:sz w:val="19"/>
                <w:szCs w:val="19"/>
                <w:lang w:val="en-US"/>
              </w:rPr>
            </w:pPr>
          </w:p>
        </w:tc>
        <w:tc>
          <w:tcPr>
            <w:tcW w:w="1701" w:type="dxa"/>
            <w:tcBorders>
              <w:top w:val="single" w:sz="4" w:space="0" w:color="auto"/>
            </w:tcBorders>
            <w:vAlign w:val="center"/>
          </w:tcPr>
          <w:p w14:paraId="65D0FB6C" w14:textId="77777777" w:rsidR="00F62AD3" w:rsidRPr="00F62AD3" w:rsidRDefault="00F62AD3" w:rsidP="00F62AD3">
            <w:pPr>
              <w:spacing w:before="120" w:after="120" w:line="240" w:lineRule="auto"/>
              <w:jc w:val="center"/>
              <w:rPr>
                <w:sz w:val="19"/>
                <w:szCs w:val="19"/>
                <w:lang w:val="en-US"/>
              </w:rPr>
            </w:pPr>
          </w:p>
        </w:tc>
        <w:tc>
          <w:tcPr>
            <w:tcW w:w="1701" w:type="dxa"/>
            <w:tcBorders>
              <w:top w:val="single" w:sz="4" w:space="0" w:color="auto"/>
            </w:tcBorders>
            <w:vAlign w:val="center"/>
          </w:tcPr>
          <w:p w14:paraId="1D4A45DD" w14:textId="77777777" w:rsidR="00F62AD3" w:rsidRPr="00F62AD3" w:rsidRDefault="00F62AD3" w:rsidP="00F62AD3">
            <w:pPr>
              <w:spacing w:before="120" w:after="120" w:line="240" w:lineRule="auto"/>
              <w:jc w:val="center"/>
              <w:rPr>
                <w:sz w:val="19"/>
                <w:szCs w:val="19"/>
                <w:lang w:val="en-US"/>
              </w:rPr>
            </w:pPr>
          </w:p>
        </w:tc>
        <w:tc>
          <w:tcPr>
            <w:tcW w:w="1985" w:type="dxa"/>
            <w:tcBorders>
              <w:top w:val="single" w:sz="4" w:space="0" w:color="auto"/>
            </w:tcBorders>
            <w:vAlign w:val="center"/>
          </w:tcPr>
          <w:p w14:paraId="4566EAC7" w14:textId="77777777" w:rsidR="00F62AD3" w:rsidRPr="00F62AD3" w:rsidRDefault="00F62AD3" w:rsidP="00F62AD3">
            <w:pPr>
              <w:spacing w:before="120" w:after="120" w:line="240" w:lineRule="auto"/>
              <w:jc w:val="center"/>
              <w:rPr>
                <w:sz w:val="19"/>
                <w:szCs w:val="19"/>
                <w:lang w:val="en-US"/>
              </w:rPr>
            </w:pPr>
          </w:p>
        </w:tc>
      </w:tr>
      <w:tr w:rsidR="00F62AD3" w:rsidRPr="00F62AD3" w14:paraId="7FC0F6A7" w14:textId="77777777">
        <w:trPr>
          <w:trHeight w:val="222"/>
        </w:trPr>
        <w:tc>
          <w:tcPr>
            <w:tcW w:w="3402" w:type="dxa"/>
            <w:noWrap/>
            <w:vAlign w:val="center"/>
            <w:hideMark/>
          </w:tcPr>
          <w:p w14:paraId="5EF1D147" w14:textId="77777777" w:rsidR="00F62AD3" w:rsidRPr="00F62AD3" w:rsidRDefault="00F62AD3" w:rsidP="00F62AD3">
            <w:pPr>
              <w:spacing w:before="120" w:after="120" w:line="240" w:lineRule="auto"/>
              <w:rPr>
                <w:sz w:val="19"/>
                <w:szCs w:val="19"/>
                <w:lang w:val="en-US"/>
              </w:rPr>
            </w:pPr>
            <w:r w:rsidRPr="00F62AD3">
              <w:rPr>
                <w:sz w:val="19"/>
                <w:szCs w:val="19"/>
                <w:lang w:val="en-US"/>
              </w:rPr>
              <w:t>Age at landmark date, mean (SD)</w:t>
            </w:r>
          </w:p>
        </w:tc>
        <w:tc>
          <w:tcPr>
            <w:tcW w:w="284" w:type="dxa"/>
            <w:noWrap/>
          </w:tcPr>
          <w:p w14:paraId="7DF6871A"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75A9E960"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70.1 (</w:t>
            </w:r>
            <w:proofErr w:type="gramStart"/>
            <w:r w:rsidRPr="00F62AD3">
              <w:rPr>
                <w:sz w:val="19"/>
                <w:szCs w:val="19"/>
                <w:lang w:val="en-US"/>
              </w:rPr>
              <w:t>13.5)</w:t>
            </w:r>
            <w:r w:rsidRPr="00F62AD3">
              <w:rPr>
                <w:rFonts w:cs="Arial"/>
                <w:sz w:val="19"/>
                <w:szCs w:val="19"/>
                <w:vertAlign w:val="superscript"/>
                <w:lang w:val="en-US"/>
              </w:rPr>
              <w:t>b</w:t>
            </w:r>
            <w:proofErr w:type="gramEnd"/>
          </w:p>
        </w:tc>
        <w:tc>
          <w:tcPr>
            <w:tcW w:w="1991" w:type="dxa"/>
            <w:vAlign w:val="center"/>
          </w:tcPr>
          <w:p w14:paraId="126B0EAD"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71.0 (</w:t>
            </w:r>
            <w:proofErr w:type="gramStart"/>
            <w:r w:rsidRPr="00F62AD3">
              <w:rPr>
                <w:sz w:val="19"/>
                <w:szCs w:val="19"/>
                <w:lang w:val="en-US"/>
              </w:rPr>
              <w:t>13.5)</w:t>
            </w:r>
            <w:r w:rsidRPr="00F62AD3">
              <w:rPr>
                <w:rFonts w:cs="Arial"/>
                <w:sz w:val="19"/>
                <w:szCs w:val="19"/>
                <w:vertAlign w:val="superscript"/>
                <w:lang w:val="en-US"/>
              </w:rPr>
              <w:t>b</w:t>
            </w:r>
            <w:proofErr w:type="gramEnd"/>
          </w:p>
        </w:tc>
        <w:tc>
          <w:tcPr>
            <w:tcW w:w="1695" w:type="dxa"/>
            <w:vAlign w:val="center"/>
          </w:tcPr>
          <w:p w14:paraId="301EADA2"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73.3 (12.1)</w:t>
            </w:r>
          </w:p>
        </w:tc>
        <w:tc>
          <w:tcPr>
            <w:tcW w:w="1701" w:type="dxa"/>
            <w:vAlign w:val="center"/>
          </w:tcPr>
          <w:p w14:paraId="23F7EED4"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75.1 (10.7)</w:t>
            </w:r>
          </w:p>
        </w:tc>
        <w:tc>
          <w:tcPr>
            <w:tcW w:w="1701" w:type="dxa"/>
            <w:vAlign w:val="center"/>
          </w:tcPr>
          <w:p w14:paraId="7991FFB9"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75.6 (9.7)</w:t>
            </w:r>
          </w:p>
        </w:tc>
        <w:tc>
          <w:tcPr>
            <w:tcW w:w="1985" w:type="dxa"/>
            <w:vAlign w:val="center"/>
          </w:tcPr>
          <w:p w14:paraId="710C4BB3"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74.5 (11.5)</w:t>
            </w:r>
          </w:p>
        </w:tc>
      </w:tr>
      <w:tr w:rsidR="00F62AD3" w:rsidRPr="00F62AD3" w14:paraId="2176E742" w14:textId="77777777">
        <w:trPr>
          <w:trHeight w:val="222"/>
        </w:trPr>
        <w:tc>
          <w:tcPr>
            <w:tcW w:w="3402" w:type="dxa"/>
            <w:noWrap/>
            <w:vAlign w:val="center"/>
            <w:hideMark/>
          </w:tcPr>
          <w:p w14:paraId="28C362C6" w14:textId="77777777" w:rsidR="00F62AD3" w:rsidRPr="00F62AD3" w:rsidRDefault="00F62AD3" w:rsidP="00F62AD3">
            <w:pPr>
              <w:spacing w:before="120" w:after="120" w:line="240" w:lineRule="auto"/>
              <w:rPr>
                <w:sz w:val="19"/>
                <w:szCs w:val="19"/>
                <w:lang w:val="en-US"/>
              </w:rPr>
            </w:pPr>
            <w:r w:rsidRPr="00F62AD3">
              <w:rPr>
                <w:sz w:val="19"/>
                <w:szCs w:val="19"/>
                <w:lang w:val="en-US"/>
              </w:rPr>
              <w:t xml:space="preserve">Sex, male, </w:t>
            </w:r>
            <w:r w:rsidRPr="00F62AD3">
              <w:rPr>
                <w:i/>
                <w:iCs/>
                <w:sz w:val="19"/>
                <w:szCs w:val="19"/>
                <w:lang w:val="en-US"/>
              </w:rPr>
              <w:t xml:space="preserve">n </w:t>
            </w:r>
            <w:r w:rsidRPr="00F62AD3">
              <w:rPr>
                <w:sz w:val="19"/>
                <w:szCs w:val="19"/>
                <w:lang w:val="en-US"/>
              </w:rPr>
              <w:t>(%)</w:t>
            </w:r>
          </w:p>
        </w:tc>
        <w:tc>
          <w:tcPr>
            <w:tcW w:w="284" w:type="dxa"/>
            <w:noWrap/>
          </w:tcPr>
          <w:p w14:paraId="6AB11461"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2667ADE6"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312 (56.2)</w:t>
            </w:r>
          </w:p>
        </w:tc>
        <w:tc>
          <w:tcPr>
            <w:tcW w:w="1991" w:type="dxa"/>
            <w:vAlign w:val="center"/>
          </w:tcPr>
          <w:p w14:paraId="7287102B"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281 (55.1)</w:t>
            </w:r>
          </w:p>
        </w:tc>
        <w:tc>
          <w:tcPr>
            <w:tcW w:w="1695" w:type="dxa"/>
            <w:vAlign w:val="center"/>
          </w:tcPr>
          <w:p w14:paraId="428423A1"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135 (57.9)</w:t>
            </w:r>
          </w:p>
        </w:tc>
        <w:tc>
          <w:tcPr>
            <w:tcW w:w="1701" w:type="dxa"/>
            <w:vAlign w:val="center"/>
          </w:tcPr>
          <w:p w14:paraId="6257A171"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191.5 (55.3)</w:t>
            </w:r>
          </w:p>
        </w:tc>
        <w:tc>
          <w:tcPr>
            <w:tcW w:w="1701" w:type="dxa"/>
            <w:vAlign w:val="center"/>
          </w:tcPr>
          <w:p w14:paraId="56D9509A"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95.5 (55.2)</w:t>
            </w:r>
          </w:p>
        </w:tc>
        <w:tc>
          <w:tcPr>
            <w:tcW w:w="1985" w:type="dxa"/>
            <w:vAlign w:val="center"/>
          </w:tcPr>
          <w:p w14:paraId="69F61B01"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96.0 (55.5)</w:t>
            </w:r>
          </w:p>
        </w:tc>
      </w:tr>
      <w:tr w:rsidR="00F62AD3" w:rsidRPr="00F62AD3" w14:paraId="6C4C15E0" w14:textId="77777777">
        <w:trPr>
          <w:trHeight w:val="222"/>
        </w:trPr>
        <w:tc>
          <w:tcPr>
            <w:tcW w:w="3402" w:type="dxa"/>
            <w:noWrap/>
            <w:vAlign w:val="center"/>
          </w:tcPr>
          <w:p w14:paraId="6992860C" w14:textId="77777777" w:rsidR="00F62AD3" w:rsidRPr="00F62AD3" w:rsidRDefault="00F62AD3" w:rsidP="00F62AD3">
            <w:pPr>
              <w:spacing w:before="120" w:after="120" w:line="240" w:lineRule="auto"/>
              <w:rPr>
                <w:sz w:val="19"/>
                <w:szCs w:val="19"/>
                <w:lang w:val="en-US"/>
              </w:rPr>
            </w:pPr>
            <w:r w:rsidRPr="00F62AD3">
              <w:rPr>
                <w:sz w:val="19"/>
                <w:szCs w:val="19"/>
                <w:lang w:val="en-US"/>
              </w:rPr>
              <w:t xml:space="preserve">Landmark date year, </w:t>
            </w:r>
            <w:r w:rsidRPr="00F62AD3">
              <w:rPr>
                <w:i/>
                <w:iCs/>
                <w:sz w:val="19"/>
                <w:szCs w:val="19"/>
                <w:lang w:val="en-US"/>
              </w:rPr>
              <w:t>n</w:t>
            </w:r>
            <w:r w:rsidRPr="00F62AD3">
              <w:rPr>
                <w:sz w:val="19"/>
                <w:szCs w:val="19"/>
                <w:lang w:val="en-US"/>
              </w:rPr>
              <w:t xml:space="preserve"> (%)</w:t>
            </w:r>
          </w:p>
        </w:tc>
        <w:tc>
          <w:tcPr>
            <w:tcW w:w="284" w:type="dxa"/>
            <w:noWrap/>
          </w:tcPr>
          <w:p w14:paraId="352D679B"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29EC78B5" w14:textId="77777777" w:rsidR="00F62AD3" w:rsidRPr="00F62AD3" w:rsidRDefault="00F62AD3" w:rsidP="00F62AD3">
            <w:pPr>
              <w:spacing w:before="120" w:after="120" w:line="240" w:lineRule="auto"/>
              <w:jc w:val="center"/>
              <w:rPr>
                <w:sz w:val="19"/>
                <w:szCs w:val="19"/>
                <w:lang w:val="en-US"/>
              </w:rPr>
            </w:pPr>
          </w:p>
        </w:tc>
        <w:tc>
          <w:tcPr>
            <w:tcW w:w="1991" w:type="dxa"/>
            <w:vAlign w:val="center"/>
          </w:tcPr>
          <w:p w14:paraId="6FDF7199" w14:textId="77777777" w:rsidR="00F62AD3" w:rsidRPr="00F62AD3" w:rsidRDefault="00F62AD3" w:rsidP="00F62AD3">
            <w:pPr>
              <w:spacing w:before="120" w:after="120" w:line="240" w:lineRule="auto"/>
              <w:jc w:val="center"/>
              <w:rPr>
                <w:sz w:val="19"/>
                <w:szCs w:val="19"/>
                <w:lang w:val="en-US"/>
              </w:rPr>
            </w:pPr>
          </w:p>
        </w:tc>
        <w:tc>
          <w:tcPr>
            <w:tcW w:w="1695" w:type="dxa"/>
            <w:vAlign w:val="center"/>
          </w:tcPr>
          <w:p w14:paraId="6A15DD1C" w14:textId="77777777" w:rsidR="00F62AD3" w:rsidRPr="00F62AD3" w:rsidRDefault="00F62AD3" w:rsidP="00F62AD3">
            <w:pPr>
              <w:spacing w:before="120" w:after="120" w:line="240" w:lineRule="auto"/>
              <w:jc w:val="center"/>
              <w:rPr>
                <w:sz w:val="19"/>
                <w:szCs w:val="19"/>
                <w:lang w:val="en-US"/>
              </w:rPr>
            </w:pPr>
          </w:p>
        </w:tc>
        <w:tc>
          <w:tcPr>
            <w:tcW w:w="1701" w:type="dxa"/>
            <w:vAlign w:val="center"/>
          </w:tcPr>
          <w:p w14:paraId="63D075FA" w14:textId="77777777" w:rsidR="00F62AD3" w:rsidRPr="00F62AD3" w:rsidRDefault="00F62AD3" w:rsidP="00F62AD3">
            <w:pPr>
              <w:spacing w:before="120" w:after="120" w:line="240" w:lineRule="auto"/>
              <w:jc w:val="center"/>
              <w:rPr>
                <w:sz w:val="19"/>
                <w:szCs w:val="19"/>
                <w:lang w:val="en-US"/>
              </w:rPr>
            </w:pPr>
          </w:p>
        </w:tc>
        <w:tc>
          <w:tcPr>
            <w:tcW w:w="1701" w:type="dxa"/>
            <w:vAlign w:val="center"/>
          </w:tcPr>
          <w:p w14:paraId="4F4AECDC" w14:textId="77777777" w:rsidR="00F62AD3" w:rsidRPr="00F62AD3" w:rsidRDefault="00F62AD3" w:rsidP="00F62AD3">
            <w:pPr>
              <w:spacing w:before="120" w:after="120" w:line="240" w:lineRule="auto"/>
              <w:jc w:val="center"/>
              <w:rPr>
                <w:sz w:val="19"/>
                <w:szCs w:val="19"/>
                <w:lang w:val="en-US"/>
              </w:rPr>
            </w:pPr>
          </w:p>
        </w:tc>
        <w:tc>
          <w:tcPr>
            <w:tcW w:w="1985" w:type="dxa"/>
            <w:vAlign w:val="center"/>
          </w:tcPr>
          <w:p w14:paraId="086D8320" w14:textId="77777777" w:rsidR="00F62AD3" w:rsidRPr="00F62AD3" w:rsidRDefault="00F62AD3" w:rsidP="00F62AD3">
            <w:pPr>
              <w:spacing w:before="120" w:after="120" w:line="240" w:lineRule="auto"/>
              <w:jc w:val="center"/>
              <w:rPr>
                <w:sz w:val="19"/>
                <w:szCs w:val="19"/>
                <w:lang w:val="en-US"/>
              </w:rPr>
            </w:pPr>
          </w:p>
        </w:tc>
      </w:tr>
      <w:tr w:rsidR="00F62AD3" w:rsidRPr="00F62AD3" w14:paraId="6C7ED6DE" w14:textId="77777777">
        <w:trPr>
          <w:trHeight w:val="222"/>
        </w:trPr>
        <w:tc>
          <w:tcPr>
            <w:tcW w:w="3402" w:type="dxa"/>
            <w:noWrap/>
            <w:vAlign w:val="center"/>
          </w:tcPr>
          <w:p w14:paraId="3DF01581" w14:textId="77777777" w:rsidR="00F62AD3" w:rsidRPr="00F62AD3" w:rsidRDefault="00F62AD3" w:rsidP="00F62AD3">
            <w:pPr>
              <w:spacing w:before="120" w:after="120" w:line="240" w:lineRule="auto"/>
              <w:ind w:left="315"/>
              <w:rPr>
                <w:sz w:val="19"/>
                <w:szCs w:val="19"/>
                <w:lang w:val="en-US"/>
              </w:rPr>
            </w:pPr>
            <w:r w:rsidRPr="00F62AD3">
              <w:rPr>
                <w:sz w:val="19"/>
                <w:szCs w:val="19"/>
                <w:lang w:val="en-US"/>
              </w:rPr>
              <w:t>2012–2014</w:t>
            </w:r>
          </w:p>
        </w:tc>
        <w:tc>
          <w:tcPr>
            <w:tcW w:w="284" w:type="dxa"/>
            <w:noWrap/>
          </w:tcPr>
          <w:p w14:paraId="3E75DBB1"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4A79E95F"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167 (30.1)</w:t>
            </w:r>
          </w:p>
        </w:tc>
        <w:tc>
          <w:tcPr>
            <w:tcW w:w="1991" w:type="dxa"/>
            <w:vAlign w:val="center"/>
          </w:tcPr>
          <w:p w14:paraId="41FAB3B5"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157 (30.8)</w:t>
            </w:r>
          </w:p>
        </w:tc>
        <w:tc>
          <w:tcPr>
            <w:tcW w:w="1695" w:type="dxa"/>
            <w:vAlign w:val="center"/>
          </w:tcPr>
          <w:p w14:paraId="49CD0A8F"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60 (25.8)</w:t>
            </w:r>
          </w:p>
        </w:tc>
        <w:tc>
          <w:tcPr>
            <w:tcW w:w="1701" w:type="dxa"/>
            <w:vAlign w:val="center"/>
          </w:tcPr>
          <w:p w14:paraId="5A1AE7B0"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103 (29.8)</w:t>
            </w:r>
          </w:p>
        </w:tc>
        <w:tc>
          <w:tcPr>
            <w:tcW w:w="1701" w:type="dxa"/>
            <w:vAlign w:val="center"/>
          </w:tcPr>
          <w:p w14:paraId="55373FAD"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54 (31.2)</w:t>
            </w:r>
          </w:p>
        </w:tc>
        <w:tc>
          <w:tcPr>
            <w:tcW w:w="1985" w:type="dxa"/>
            <w:vAlign w:val="center"/>
          </w:tcPr>
          <w:p w14:paraId="4392A989"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49 (28.3)</w:t>
            </w:r>
          </w:p>
        </w:tc>
      </w:tr>
      <w:tr w:rsidR="00F62AD3" w:rsidRPr="00F62AD3" w14:paraId="5805EEEF" w14:textId="77777777">
        <w:trPr>
          <w:trHeight w:val="222"/>
        </w:trPr>
        <w:tc>
          <w:tcPr>
            <w:tcW w:w="3402" w:type="dxa"/>
            <w:noWrap/>
            <w:vAlign w:val="center"/>
          </w:tcPr>
          <w:p w14:paraId="5905E447" w14:textId="77777777" w:rsidR="00F62AD3" w:rsidRPr="00F62AD3" w:rsidRDefault="00F62AD3" w:rsidP="00F62AD3">
            <w:pPr>
              <w:spacing w:before="120" w:after="120" w:line="240" w:lineRule="auto"/>
              <w:ind w:left="315"/>
              <w:rPr>
                <w:sz w:val="19"/>
                <w:szCs w:val="19"/>
                <w:lang w:val="en-US"/>
              </w:rPr>
            </w:pPr>
            <w:r w:rsidRPr="00F62AD3">
              <w:rPr>
                <w:sz w:val="19"/>
                <w:szCs w:val="19"/>
                <w:lang w:val="en-US"/>
              </w:rPr>
              <w:t>2015–2017</w:t>
            </w:r>
          </w:p>
        </w:tc>
        <w:tc>
          <w:tcPr>
            <w:tcW w:w="284" w:type="dxa"/>
            <w:noWrap/>
          </w:tcPr>
          <w:p w14:paraId="52136BB5"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4E17D884"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181 (32.6)</w:t>
            </w:r>
          </w:p>
        </w:tc>
        <w:tc>
          <w:tcPr>
            <w:tcW w:w="1991" w:type="dxa"/>
            <w:vAlign w:val="center"/>
          </w:tcPr>
          <w:p w14:paraId="03DA3106"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163 (32.0)</w:t>
            </w:r>
          </w:p>
        </w:tc>
        <w:tc>
          <w:tcPr>
            <w:tcW w:w="1695" w:type="dxa"/>
            <w:vAlign w:val="center"/>
          </w:tcPr>
          <w:p w14:paraId="64976A53"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64 (27.5)</w:t>
            </w:r>
          </w:p>
        </w:tc>
        <w:tc>
          <w:tcPr>
            <w:tcW w:w="1701" w:type="dxa"/>
            <w:vAlign w:val="center"/>
          </w:tcPr>
          <w:p w14:paraId="1FD6E65E"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100 (28.9)</w:t>
            </w:r>
          </w:p>
        </w:tc>
        <w:tc>
          <w:tcPr>
            <w:tcW w:w="1701" w:type="dxa"/>
            <w:vAlign w:val="center"/>
          </w:tcPr>
          <w:p w14:paraId="1250736D"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51 (29.5)</w:t>
            </w:r>
          </w:p>
        </w:tc>
        <w:tc>
          <w:tcPr>
            <w:tcW w:w="1985" w:type="dxa"/>
            <w:vAlign w:val="center"/>
          </w:tcPr>
          <w:p w14:paraId="3368D6D1"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49 (28.3)</w:t>
            </w:r>
          </w:p>
        </w:tc>
      </w:tr>
      <w:tr w:rsidR="00F62AD3" w:rsidRPr="00F62AD3" w14:paraId="5BE3253A" w14:textId="77777777">
        <w:trPr>
          <w:trHeight w:val="222"/>
        </w:trPr>
        <w:tc>
          <w:tcPr>
            <w:tcW w:w="3402" w:type="dxa"/>
            <w:noWrap/>
            <w:vAlign w:val="center"/>
          </w:tcPr>
          <w:p w14:paraId="76AC2CF3" w14:textId="77777777" w:rsidR="00F62AD3" w:rsidRPr="00F62AD3" w:rsidRDefault="00F62AD3" w:rsidP="00F62AD3">
            <w:pPr>
              <w:spacing w:before="120" w:after="120" w:line="240" w:lineRule="auto"/>
              <w:ind w:left="315"/>
              <w:rPr>
                <w:sz w:val="19"/>
                <w:szCs w:val="19"/>
                <w:lang w:val="en-US"/>
              </w:rPr>
            </w:pPr>
            <w:r w:rsidRPr="00F62AD3">
              <w:rPr>
                <w:sz w:val="19"/>
                <w:szCs w:val="19"/>
                <w:lang w:val="en-US"/>
              </w:rPr>
              <w:t>2018–2020</w:t>
            </w:r>
          </w:p>
        </w:tc>
        <w:tc>
          <w:tcPr>
            <w:tcW w:w="284" w:type="dxa"/>
            <w:noWrap/>
          </w:tcPr>
          <w:p w14:paraId="46455638"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6D098A91"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164 (29.5)</w:t>
            </w:r>
          </w:p>
        </w:tc>
        <w:tc>
          <w:tcPr>
            <w:tcW w:w="1991" w:type="dxa"/>
            <w:vAlign w:val="center"/>
          </w:tcPr>
          <w:p w14:paraId="2215CFEB"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152 (29.8)</w:t>
            </w:r>
          </w:p>
        </w:tc>
        <w:tc>
          <w:tcPr>
            <w:tcW w:w="1695" w:type="dxa"/>
            <w:vAlign w:val="center"/>
          </w:tcPr>
          <w:p w14:paraId="39D62BEF"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73 (31.3)</w:t>
            </w:r>
          </w:p>
        </w:tc>
        <w:tc>
          <w:tcPr>
            <w:tcW w:w="1701" w:type="dxa"/>
            <w:vAlign w:val="center"/>
          </w:tcPr>
          <w:p w14:paraId="68604730"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103 (29.8)</w:t>
            </w:r>
          </w:p>
        </w:tc>
        <w:tc>
          <w:tcPr>
            <w:tcW w:w="1701" w:type="dxa"/>
            <w:vAlign w:val="center"/>
          </w:tcPr>
          <w:p w14:paraId="5097F4B2"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49 (28.3)</w:t>
            </w:r>
          </w:p>
        </w:tc>
        <w:tc>
          <w:tcPr>
            <w:tcW w:w="1985" w:type="dxa"/>
            <w:vAlign w:val="center"/>
          </w:tcPr>
          <w:p w14:paraId="70933EF5"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54 (31.2)</w:t>
            </w:r>
          </w:p>
        </w:tc>
      </w:tr>
      <w:tr w:rsidR="00F62AD3" w:rsidRPr="00F62AD3" w14:paraId="140EFD39" w14:textId="77777777">
        <w:trPr>
          <w:trHeight w:val="222"/>
        </w:trPr>
        <w:tc>
          <w:tcPr>
            <w:tcW w:w="3402" w:type="dxa"/>
            <w:noWrap/>
            <w:vAlign w:val="center"/>
          </w:tcPr>
          <w:p w14:paraId="34181563" w14:textId="77777777" w:rsidR="00F62AD3" w:rsidRPr="00F62AD3" w:rsidRDefault="00F62AD3" w:rsidP="00F62AD3">
            <w:pPr>
              <w:spacing w:before="120" w:after="120" w:line="240" w:lineRule="auto"/>
              <w:ind w:left="315"/>
              <w:rPr>
                <w:sz w:val="19"/>
                <w:szCs w:val="19"/>
                <w:lang w:val="en-US"/>
              </w:rPr>
            </w:pPr>
            <w:r w:rsidRPr="00F62AD3">
              <w:rPr>
                <w:sz w:val="19"/>
                <w:szCs w:val="19"/>
                <w:lang w:val="en-US"/>
              </w:rPr>
              <w:t>2021–2022</w:t>
            </w:r>
          </w:p>
        </w:tc>
        <w:tc>
          <w:tcPr>
            <w:tcW w:w="284" w:type="dxa"/>
            <w:noWrap/>
          </w:tcPr>
          <w:p w14:paraId="1AF93F59"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66FFFEA3"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43 (7.7)</w:t>
            </w:r>
          </w:p>
        </w:tc>
        <w:tc>
          <w:tcPr>
            <w:tcW w:w="1991" w:type="dxa"/>
            <w:vAlign w:val="center"/>
          </w:tcPr>
          <w:p w14:paraId="05D8B418"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38 (7.5)</w:t>
            </w:r>
          </w:p>
        </w:tc>
        <w:tc>
          <w:tcPr>
            <w:tcW w:w="1695" w:type="dxa"/>
            <w:vAlign w:val="center"/>
          </w:tcPr>
          <w:p w14:paraId="6581C061"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36 (15.5)</w:t>
            </w:r>
          </w:p>
        </w:tc>
        <w:tc>
          <w:tcPr>
            <w:tcW w:w="1701" w:type="dxa"/>
            <w:vAlign w:val="center"/>
          </w:tcPr>
          <w:p w14:paraId="3DBE23E7"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40 (11.6)</w:t>
            </w:r>
          </w:p>
        </w:tc>
        <w:tc>
          <w:tcPr>
            <w:tcW w:w="1701" w:type="dxa"/>
            <w:vAlign w:val="center"/>
          </w:tcPr>
          <w:p w14:paraId="42742684"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19 (11.0)</w:t>
            </w:r>
          </w:p>
        </w:tc>
        <w:tc>
          <w:tcPr>
            <w:tcW w:w="1985" w:type="dxa"/>
            <w:vAlign w:val="center"/>
          </w:tcPr>
          <w:p w14:paraId="7CF6685F"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21 (12.1)</w:t>
            </w:r>
          </w:p>
        </w:tc>
      </w:tr>
      <w:tr w:rsidR="00F62AD3" w:rsidRPr="00F62AD3" w14:paraId="507D6194" w14:textId="77777777">
        <w:trPr>
          <w:trHeight w:val="222"/>
        </w:trPr>
        <w:tc>
          <w:tcPr>
            <w:tcW w:w="7519" w:type="dxa"/>
            <w:gridSpan w:val="4"/>
            <w:noWrap/>
            <w:vAlign w:val="center"/>
          </w:tcPr>
          <w:p w14:paraId="1E153F2A" w14:textId="77777777" w:rsidR="00F62AD3" w:rsidRPr="00F62AD3" w:rsidRDefault="00F62AD3" w:rsidP="00F62AD3">
            <w:pPr>
              <w:spacing w:before="120" w:after="120" w:line="240" w:lineRule="auto"/>
              <w:rPr>
                <w:sz w:val="19"/>
                <w:szCs w:val="19"/>
                <w:lang w:val="en-US"/>
              </w:rPr>
            </w:pPr>
            <w:r w:rsidRPr="00F62AD3">
              <w:rPr>
                <w:b/>
                <w:bCs/>
                <w:sz w:val="19"/>
                <w:szCs w:val="19"/>
                <w:lang w:val="en-US"/>
              </w:rPr>
              <w:t>Comorbidities (365 days prior to landmark date to 1 day prior to landmark date)</w:t>
            </w:r>
          </w:p>
        </w:tc>
        <w:tc>
          <w:tcPr>
            <w:tcW w:w="1695" w:type="dxa"/>
          </w:tcPr>
          <w:p w14:paraId="3024DE5D" w14:textId="77777777" w:rsidR="00F62AD3" w:rsidRPr="00F62AD3" w:rsidRDefault="00F62AD3" w:rsidP="00F62AD3">
            <w:pPr>
              <w:spacing w:before="120" w:after="120" w:line="240" w:lineRule="auto"/>
              <w:rPr>
                <w:b/>
                <w:bCs/>
                <w:sz w:val="19"/>
                <w:szCs w:val="19"/>
                <w:lang w:val="en-US"/>
              </w:rPr>
            </w:pPr>
          </w:p>
        </w:tc>
        <w:tc>
          <w:tcPr>
            <w:tcW w:w="1701" w:type="dxa"/>
          </w:tcPr>
          <w:p w14:paraId="117360CB" w14:textId="77777777" w:rsidR="00F62AD3" w:rsidRPr="00F62AD3" w:rsidRDefault="00F62AD3" w:rsidP="00F62AD3">
            <w:pPr>
              <w:spacing w:before="120" w:after="120" w:line="240" w:lineRule="auto"/>
              <w:rPr>
                <w:b/>
                <w:bCs/>
                <w:sz w:val="19"/>
                <w:szCs w:val="19"/>
                <w:lang w:val="en-US"/>
              </w:rPr>
            </w:pPr>
          </w:p>
        </w:tc>
        <w:tc>
          <w:tcPr>
            <w:tcW w:w="1701" w:type="dxa"/>
          </w:tcPr>
          <w:p w14:paraId="1254F868" w14:textId="77777777" w:rsidR="00F62AD3" w:rsidRPr="00F62AD3" w:rsidRDefault="00F62AD3" w:rsidP="00F62AD3">
            <w:pPr>
              <w:spacing w:before="120" w:after="120" w:line="240" w:lineRule="auto"/>
              <w:rPr>
                <w:b/>
                <w:bCs/>
                <w:sz w:val="19"/>
                <w:szCs w:val="19"/>
                <w:lang w:val="en-US"/>
              </w:rPr>
            </w:pPr>
          </w:p>
        </w:tc>
        <w:tc>
          <w:tcPr>
            <w:tcW w:w="1985" w:type="dxa"/>
          </w:tcPr>
          <w:p w14:paraId="60CA6B25" w14:textId="77777777" w:rsidR="00F62AD3" w:rsidRPr="00F62AD3" w:rsidRDefault="00F62AD3" w:rsidP="00F62AD3">
            <w:pPr>
              <w:spacing w:before="120" w:after="120" w:line="240" w:lineRule="auto"/>
              <w:rPr>
                <w:b/>
                <w:bCs/>
                <w:sz w:val="19"/>
                <w:szCs w:val="19"/>
                <w:lang w:val="en-US"/>
              </w:rPr>
            </w:pPr>
          </w:p>
        </w:tc>
      </w:tr>
      <w:tr w:rsidR="00F62AD3" w:rsidRPr="00F62AD3" w14:paraId="5AE26874" w14:textId="77777777">
        <w:trPr>
          <w:trHeight w:val="222"/>
        </w:trPr>
        <w:tc>
          <w:tcPr>
            <w:tcW w:w="3402" w:type="dxa"/>
            <w:noWrap/>
            <w:vAlign w:val="center"/>
          </w:tcPr>
          <w:p w14:paraId="75153D42" w14:textId="77777777" w:rsidR="00F62AD3" w:rsidRPr="00F62AD3" w:rsidRDefault="00F62AD3" w:rsidP="00F62AD3">
            <w:pPr>
              <w:spacing w:before="120" w:after="120" w:line="240" w:lineRule="auto"/>
              <w:rPr>
                <w:sz w:val="19"/>
                <w:szCs w:val="19"/>
                <w:lang w:val="en-US"/>
              </w:rPr>
            </w:pPr>
            <w:r w:rsidRPr="00F62AD3">
              <w:rPr>
                <w:sz w:val="19"/>
                <w:szCs w:val="19"/>
                <w:lang w:val="en-US"/>
              </w:rPr>
              <w:t>CCI score, mean (SD)</w:t>
            </w:r>
            <w:r w:rsidRPr="00F62AD3">
              <w:rPr>
                <w:rFonts w:cs="Arial"/>
                <w:sz w:val="19"/>
                <w:szCs w:val="19"/>
                <w:vertAlign w:val="superscript"/>
                <w:lang w:val="en-US"/>
              </w:rPr>
              <w:t>c</w:t>
            </w:r>
          </w:p>
        </w:tc>
        <w:tc>
          <w:tcPr>
            <w:tcW w:w="284" w:type="dxa"/>
            <w:noWrap/>
          </w:tcPr>
          <w:p w14:paraId="4ADC0CA7"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76DE5049"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3.4 (2.9)</w:t>
            </w:r>
          </w:p>
        </w:tc>
        <w:tc>
          <w:tcPr>
            <w:tcW w:w="1991" w:type="dxa"/>
            <w:vAlign w:val="center"/>
          </w:tcPr>
          <w:p w14:paraId="49BAF6C2"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3.5 (2.9)</w:t>
            </w:r>
          </w:p>
        </w:tc>
        <w:tc>
          <w:tcPr>
            <w:tcW w:w="1695" w:type="dxa"/>
            <w:vAlign w:val="center"/>
          </w:tcPr>
          <w:p w14:paraId="24993C3B"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5.3 (3.3)</w:t>
            </w:r>
          </w:p>
        </w:tc>
        <w:tc>
          <w:tcPr>
            <w:tcW w:w="1701" w:type="dxa"/>
            <w:vAlign w:val="center"/>
          </w:tcPr>
          <w:p w14:paraId="25A86F6A"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5.3 (3.0)</w:t>
            </w:r>
          </w:p>
        </w:tc>
        <w:tc>
          <w:tcPr>
            <w:tcW w:w="1701" w:type="dxa"/>
            <w:vAlign w:val="center"/>
          </w:tcPr>
          <w:p w14:paraId="49C6F007"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5.2 (0.0)</w:t>
            </w:r>
          </w:p>
        </w:tc>
        <w:tc>
          <w:tcPr>
            <w:tcW w:w="1985" w:type="dxa"/>
            <w:vAlign w:val="center"/>
          </w:tcPr>
          <w:p w14:paraId="6FF3110F"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5.5 (0.0)</w:t>
            </w:r>
          </w:p>
        </w:tc>
      </w:tr>
      <w:tr w:rsidR="00F62AD3" w:rsidRPr="00F62AD3" w14:paraId="16E5B565" w14:textId="77777777">
        <w:trPr>
          <w:trHeight w:val="222"/>
        </w:trPr>
        <w:tc>
          <w:tcPr>
            <w:tcW w:w="3402" w:type="dxa"/>
            <w:noWrap/>
            <w:vAlign w:val="center"/>
          </w:tcPr>
          <w:p w14:paraId="3ACE1BA8" w14:textId="77777777" w:rsidR="00F62AD3" w:rsidRPr="00F62AD3" w:rsidRDefault="00F62AD3" w:rsidP="00F62AD3">
            <w:pPr>
              <w:spacing w:before="120" w:after="120" w:line="240" w:lineRule="auto"/>
              <w:rPr>
                <w:sz w:val="19"/>
                <w:szCs w:val="19"/>
                <w:lang w:val="en-US"/>
              </w:rPr>
            </w:pPr>
            <w:r w:rsidRPr="00F62AD3">
              <w:rPr>
                <w:sz w:val="19"/>
                <w:szCs w:val="19"/>
                <w:lang w:val="en-US"/>
              </w:rPr>
              <w:t xml:space="preserve">CCI score category, </w:t>
            </w:r>
            <w:r w:rsidRPr="00F62AD3">
              <w:rPr>
                <w:i/>
                <w:iCs/>
                <w:sz w:val="19"/>
                <w:szCs w:val="19"/>
                <w:lang w:val="en-US"/>
              </w:rPr>
              <w:t>n</w:t>
            </w:r>
            <w:r w:rsidRPr="00F62AD3">
              <w:rPr>
                <w:sz w:val="19"/>
                <w:szCs w:val="19"/>
                <w:lang w:val="en-US"/>
              </w:rPr>
              <w:t xml:space="preserve"> (</w:t>
            </w:r>
            <w:proofErr w:type="gramStart"/>
            <w:r w:rsidRPr="00F62AD3">
              <w:rPr>
                <w:sz w:val="19"/>
                <w:szCs w:val="19"/>
                <w:lang w:val="en-US"/>
              </w:rPr>
              <w:t>%)</w:t>
            </w:r>
            <w:r w:rsidRPr="00F62AD3">
              <w:rPr>
                <w:rFonts w:cs="Arial"/>
                <w:sz w:val="19"/>
                <w:szCs w:val="19"/>
                <w:vertAlign w:val="superscript"/>
                <w:lang w:val="en-US"/>
              </w:rPr>
              <w:t>c</w:t>
            </w:r>
            <w:proofErr w:type="gramEnd"/>
          </w:p>
        </w:tc>
        <w:tc>
          <w:tcPr>
            <w:tcW w:w="284" w:type="dxa"/>
            <w:noWrap/>
          </w:tcPr>
          <w:p w14:paraId="1007DCFE"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18B5B166" w14:textId="77777777" w:rsidR="00F62AD3" w:rsidRPr="00F62AD3" w:rsidRDefault="00F62AD3" w:rsidP="00F62AD3">
            <w:pPr>
              <w:spacing w:before="120" w:after="120" w:line="240" w:lineRule="auto"/>
              <w:jc w:val="center"/>
              <w:rPr>
                <w:sz w:val="19"/>
                <w:szCs w:val="19"/>
                <w:lang w:val="en-US"/>
              </w:rPr>
            </w:pPr>
          </w:p>
        </w:tc>
        <w:tc>
          <w:tcPr>
            <w:tcW w:w="1991" w:type="dxa"/>
            <w:vAlign w:val="center"/>
          </w:tcPr>
          <w:p w14:paraId="0D636795" w14:textId="77777777" w:rsidR="00F62AD3" w:rsidRPr="00F62AD3" w:rsidRDefault="00F62AD3" w:rsidP="00F62AD3">
            <w:pPr>
              <w:spacing w:before="120" w:after="120" w:line="240" w:lineRule="auto"/>
              <w:jc w:val="center"/>
              <w:rPr>
                <w:sz w:val="19"/>
                <w:szCs w:val="19"/>
                <w:lang w:val="en-US"/>
              </w:rPr>
            </w:pPr>
          </w:p>
        </w:tc>
        <w:tc>
          <w:tcPr>
            <w:tcW w:w="1695" w:type="dxa"/>
            <w:vAlign w:val="center"/>
          </w:tcPr>
          <w:p w14:paraId="39896438" w14:textId="77777777" w:rsidR="00F62AD3" w:rsidRPr="00F62AD3" w:rsidRDefault="00F62AD3" w:rsidP="00F62AD3">
            <w:pPr>
              <w:spacing w:before="120" w:after="120" w:line="240" w:lineRule="auto"/>
              <w:jc w:val="center"/>
              <w:rPr>
                <w:sz w:val="19"/>
                <w:szCs w:val="19"/>
                <w:lang w:val="en-US"/>
              </w:rPr>
            </w:pPr>
          </w:p>
        </w:tc>
        <w:tc>
          <w:tcPr>
            <w:tcW w:w="1701" w:type="dxa"/>
            <w:vAlign w:val="center"/>
          </w:tcPr>
          <w:p w14:paraId="66D68ECF" w14:textId="77777777" w:rsidR="00F62AD3" w:rsidRPr="00F62AD3" w:rsidRDefault="00F62AD3" w:rsidP="00F62AD3">
            <w:pPr>
              <w:spacing w:before="120" w:after="120" w:line="240" w:lineRule="auto"/>
              <w:jc w:val="center"/>
              <w:rPr>
                <w:sz w:val="19"/>
                <w:szCs w:val="19"/>
                <w:lang w:val="en-US"/>
              </w:rPr>
            </w:pPr>
          </w:p>
        </w:tc>
        <w:tc>
          <w:tcPr>
            <w:tcW w:w="1701" w:type="dxa"/>
            <w:vAlign w:val="center"/>
          </w:tcPr>
          <w:p w14:paraId="50318C91" w14:textId="77777777" w:rsidR="00F62AD3" w:rsidRPr="00F62AD3" w:rsidRDefault="00F62AD3" w:rsidP="00F62AD3">
            <w:pPr>
              <w:spacing w:before="120" w:after="120" w:line="240" w:lineRule="auto"/>
              <w:jc w:val="center"/>
              <w:rPr>
                <w:sz w:val="19"/>
                <w:szCs w:val="19"/>
                <w:lang w:val="en-US"/>
              </w:rPr>
            </w:pPr>
          </w:p>
        </w:tc>
        <w:tc>
          <w:tcPr>
            <w:tcW w:w="1985" w:type="dxa"/>
            <w:vAlign w:val="center"/>
          </w:tcPr>
          <w:p w14:paraId="17EA69B3" w14:textId="77777777" w:rsidR="00F62AD3" w:rsidRPr="00F62AD3" w:rsidRDefault="00F62AD3" w:rsidP="00F62AD3">
            <w:pPr>
              <w:spacing w:before="120" w:after="120" w:line="240" w:lineRule="auto"/>
              <w:jc w:val="center"/>
              <w:rPr>
                <w:sz w:val="19"/>
                <w:szCs w:val="19"/>
                <w:lang w:val="en-US"/>
              </w:rPr>
            </w:pPr>
          </w:p>
        </w:tc>
      </w:tr>
      <w:tr w:rsidR="00F62AD3" w:rsidRPr="00F62AD3" w14:paraId="7650B9D2" w14:textId="77777777">
        <w:trPr>
          <w:trHeight w:val="222"/>
        </w:trPr>
        <w:tc>
          <w:tcPr>
            <w:tcW w:w="3402" w:type="dxa"/>
            <w:noWrap/>
            <w:vAlign w:val="center"/>
          </w:tcPr>
          <w:p w14:paraId="056CB478" w14:textId="77777777" w:rsidR="00F62AD3" w:rsidRPr="00F62AD3" w:rsidRDefault="00F62AD3" w:rsidP="00F62AD3">
            <w:pPr>
              <w:spacing w:before="120" w:after="120" w:line="240" w:lineRule="auto"/>
              <w:ind w:left="319"/>
              <w:rPr>
                <w:sz w:val="19"/>
                <w:szCs w:val="19"/>
                <w:lang w:val="en-US"/>
              </w:rPr>
            </w:pPr>
            <w:r w:rsidRPr="00F62AD3">
              <w:rPr>
                <w:sz w:val="19"/>
                <w:szCs w:val="19"/>
                <w:lang w:val="en-US"/>
              </w:rPr>
              <w:t>0–1</w:t>
            </w:r>
          </w:p>
        </w:tc>
        <w:tc>
          <w:tcPr>
            <w:tcW w:w="284" w:type="dxa"/>
            <w:noWrap/>
          </w:tcPr>
          <w:p w14:paraId="36540BBA"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5152B7E2"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157 (28.3)</w:t>
            </w:r>
          </w:p>
        </w:tc>
        <w:tc>
          <w:tcPr>
            <w:tcW w:w="1991" w:type="dxa"/>
            <w:vAlign w:val="center"/>
          </w:tcPr>
          <w:p w14:paraId="6D6546B8"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141 (27.6)</w:t>
            </w:r>
          </w:p>
        </w:tc>
        <w:tc>
          <w:tcPr>
            <w:tcW w:w="1695" w:type="dxa"/>
            <w:vAlign w:val="center"/>
          </w:tcPr>
          <w:p w14:paraId="6156F714"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31 (13.3)</w:t>
            </w:r>
          </w:p>
        </w:tc>
        <w:tc>
          <w:tcPr>
            <w:tcW w:w="1701" w:type="dxa"/>
            <w:vAlign w:val="center"/>
          </w:tcPr>
          <w:p w14:paraId="6051AC61"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43.5 (12.6)</w:t>
            </w:r>
          </w:p>
        </w:tc>
        <w:tc>
          <w:tcPr>
            <w:tcW w:w="1701" w:type="dxa"/>
            <w:vAlign w:val="center"/>
          </w:tcPr>
          <w:p w14:paraId="384EF794"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24.5 (14.2)</w:t>
            </w:r>
          </w:p>
        </w:tc>
        <w:tc>
          <w:tcPr>
            <w:tcW w:w="1985" w:type="dxa"/>
            <w:vAlign w:val="center"/>
          </w:tcPr>
          <w:p w14:paraId="487CC9A6"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19 (11.0)</w:t>
            </w:r>
          </w:p>
        </w:tc>
      </w:tr>
      <w:tr w:rsidR="00F62AD3" w:rsidRPr="00F62AD3" w14:paraId="7BC119E0" w14:textId="77777777">
        <w:trPr>
          <w:trHeight w:val="222"/>
        </w:trPr>
        <w:tc>
          <w:tcPr>
            <w:tcW w:w="3402" w:type="dxa"/>
            <w:noWrap/>
            <w:vAlign w:val="center"/>
          </w:tcPr>
          <w:p w14:paraId="11F5A94C" w14:textId="77777777" w:rsidR="00F62AD3" w:rsidRPr="00F62AD3" w:rsidRDefault="00F62AD3" w:rsidP="00F62AD3">
            <w:pPr>
              <w:spacing w:before="120" w:after="120" w:line="240" w:lineRule="auto"/>
              <w:ind w:left="319"/>
              <w:rPr>
                <w:sz w:val="19"/>
                <w:szCs w:val="19"/>
                <w:lang w:val="en-US"/>
              </w:rPr>
            </w:pPr>
            <w:r w:rsidRPr="00F62AD3">
              <w:rPr>
                <w:sz w:val="19"/>
                <w:szCs w:val="19"/>
                <w:lang w:val="en-US"/>
              </w:rPr>
              <w:t>2–3</w:t>
            </w:r>
          </w:p>
        </w:tc>
        <w:tc>
          <w:tcPr>
            <w:tcW w:w="284" w:type="dxa"/>
            <w:noWrap/>
          </w:tcPr>
          <w:p w14:paraId="186C93C4"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186D80CD"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176 (31.7)</w:t>
            </w:r>
          </w:p>
        </w:tc>
        <w:tc>
          <w:tcPr>
            <w:tcW w:w="1991" w:type="dxa"/>
            <w:vAlign w:val="center"/>
          </w:tcPr>
          <w:p w14:paraId="3BF2ED99"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161 (31.6)</w:t>
            </w:r>
          </w:p>
        </w:tc>
        <w:tc>
          <w:tcPr>
            <w:tcW w:w="1695" w:type="dxa"/>
            <w:vAlign w:val="center"/>
          </w:tcPr>
          <w:p w14:paraId="7191D81A"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52 (22.3)</w:t>
            </w:r>
          </w:p>
        </w:tc>
        <w:tc>
          <w:tcPr>
            <w:tcW w:w="1701" w:type="dxa"/>
            <w:vAlign w:val="center"/>
          </w:tcPr>
          <w:p w14:paraId="031C4F44"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58.5 (16.9)</w:t>
            </w:r>
          </w:p>
        </w:tc>
        <w:tc>
          <w:tcPr>
            <w:tcW w:w="1701" w:type="dxa"/>
            <w:vAlign w:val="center"/>
          </w:tcPr>
          <w:p w14:paraId="701993E1"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21.5 (12.4)</w:t>
            </w:r>
          </w:p>
        </w:tc>
        <w:tc>
          <w:tcPr>
            <w:tcW w:w="1985" w:type="dxa"/>
            <w:vAlign w:val="center"/>
          </w:tcPr>
          <w:p w14:paraId="204B1714"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37 (21.4)</w:t>
            </w:r>
          </w:p>
        </w:tc>
      </w:tr>
      <w:tr w:rsidR="00F62AD3" w:rsidRPr="00F62AD3" w14:paraId="204C3F78" w14:textId="77777777">
        <w:trPr>
          <w:trHeight w:val="222"/>
        </w:trPr>
        <w:tc>
          <w:tcPr>
            <w:tcW w:w="3402" w:type="dxa"/>
            <w:noWrap/>
            <w:vAlign w:val="center"/>
          </w:tcPr>
          <w:p w14:paraId="3A0AAEBF" w14:textId="77777777" w:rsidR="00F62AD3" w:rsidRPr="00F62AD3" w:rsidRDefault="00F62AD3" w:rsidP="00F62AD3">
            <w:pPr>
              <w:spacing w:before="120" w:after="120" w:line="240" w:lineRule="auto"/>
              <w:ind w:left="319"/>
              <w:rPr>
                <w:sz w:val="19"/>
                <w:szCs w:val="19"/>
                <w:lang w:val="en-US"/>
              </w:rPr>
            </w:pPr>
            <w:r w:rsidRPr="00F62AD3">
              <w:rPr>
                <w:sz w:val="19"/>
                <w:szCs w:val="19"/>
                <w:lang w:val="en-US"/>
              </w:rPr>
              <w:t>4–5</w:t>
            </w:r>
          </w:p>
        </w:tc>
        <w:tc>
          <w:tcPr>
            <w:tcW w:w="284" w:type="dxa"/>
            <w:noWrap/>
          </w:tcPr>
          <w:p w14:paraId="46DE9F57"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6593B128"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91 (16.4)</w:t>
            </w:r>
          </w:p>
        </w:tc>
        <w:tc>
          <w:tcPr>
            <w:tcW w:w="1991" w:type="dxa"/>
            <w:vAlign w:val="center"/>
          </w:tcPr>
          <w:p w14:paraId="6E004297"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86 (16.9)</w:t>
            </w:r>
          </w:p>
        </w:tc>
        <w:tc>
          <w:tcPr>
            <w:tcW w:w="1695" w:type="dxa"/>
            <w:vAlign w:val="center"/>
          </w:tcPr>
          <w:p w14:paraId="1B078CC0"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47 (20.2)</w:t>
            </w:r>
          </w:p>
        </w:tc>
        <w:tc>
          <w:tcPr>
            <w:tcW w:w="1701" w:type="dxa"/>
            <w:vAlign w:val="center"/>
          </w:tcPr>
          <w:p w14:paraId="0BAF58D3"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81 (23.4)</w:t>
            </w:r>
          </w:p>
        </w:tc>
        <w:tc>
          <w:tcPr>
            <w:tcW w:w="1701" w:type="dxa"/>
            <w:vAlign w:val="center"/>
          </w:tcPr>
          <w:p w14:paraId="60EF5D88"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44 (25.4)</w:t>
            </w:r>
          </w:p>
        </w:tc>
        <w:tc>
          <w:tcPr>
            <w:tcW w:w="1985" w:type="dxa"/>
            <w:vAlign w:val="center"/>
          </w:tcPr>
          <w:p w14:paraId="59E4242A"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37 (21.4)</w:t>
            </w:r>
          </w:p>
        </w:tc>
      </w:tr>
      <w:tr w:rsidR="00F62AD3" w:rsidRPr="00F62AD3" w14:paraId="5197C639" w14:textId="77777777">
        <w:trPr>
          <w:trHeight w:val="222"/>
        </w:trPr>
        <w:tc>
          <w:tcPr>
            <w:tcW w:w="3402" w:type="dxa"/>
            <w:noWrap/>
            <w:vAlign w:val="center"/>
          </w:tcPr>
          <w:p w14:paraId="282B9AC3" w14:textId="77777777" w:rsidR="00F62AD3" w:rsidRPr="00F62AD3" w:rsidRDefault="00F62AD3" w:rsidP="00F62AD3">
            <w:pPr>
              <w:spacing w:before="120" w:after="120" w:line="240" w:lineRule="auto"/>
              <w:ind w:left="319"/>
              <w:rPr>
                <w:sz w:val="19"/>
                <w:szCs w:val="19"/>
                <w:lang w:val="en-US"/>
              </w:rPr>
            </w:pPr>
            <w:r w:rsidRPr="00F62AD3">
              <w:rPr>
                <w:sz w:val="19"/>
                <w:szCs w:val="19"/>
                <w:lang w:val="en-US"/>
              </w:rPr>
              <w:t>6+</w:t>
            </w:r>
          </w:p>
        </w:tc>
        <w:tc>
          <w:tcPr>
            <w:tcW w:w="284" w:type="dxa"/>
            <w:noWrap/>
          </w:tcPr>
          <w:p w14:paraId="2BDCFF36"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58378253"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127 (22.9)</w:t>
            </w:r>
          </w:p>
        </w:tc>
        <w:tc>
          <w:tcPr>
            <w:tcW w:w="1991" w:type="dxa"/>
            <w:vAlign w:val="center"/>
          </w:tcPr>
          <w:p w14:paraId="648F7D78"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119 (23.3)</w:t>
            </w:r>
          </w:p>
        </w:tc>
        <w:tc>
          <w:tcPr>
            <w:tcW w:w="1695" w:type="dxa"/>
            <w:vAlign w:val="center"/>
          </w:tcPr>
          <w:p w14:paraId="6FCD6432"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103 (44.2)</w:t>
            </w:r>
          </w:p>
        </w:tc>
        <w:tc>
          <w:tcPr>
            <w:tcW w:w="1701" w:type="dxa"/>
            <w:vAlign w:val="center"/>
          </w:tcPr>
          <w:p w14:paraId="3589B8D1"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163 (47.1)</w:t>
            </w:r>
          </w:p>
        </w:tc>
        <w:tc>
          <w:tcPr>
            <w:tcW w:w="1701" w:type="dxa"/>
            <w:vAlign w:val="center"/>
          </w:tcPr>
          <w:p w14:paraId="7F83FE11"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83 (48.0)</w:t>
            </w:r>
          </w:p>
        </w:tc>
        <w:tc>
          <w:tcPr>
            <w:tcW w:w="1985" w:type="dxa"/>
            <w:vAlign w:val="center"/>
          </w:tcPr>
          <w:p w14:paraId="05B6D1B5"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80 (46.2)</w:t>
            </w:r>
          </w:p>
        </w:tc>
      </w:tr>
      <w:tr w:rsidR="00F62AD3" w:rsidRPr="00F62AD3" w14:paraId="65D31F84" w14:textId="77777777">
        <w:trPr>
          <w:trHeight w:val="222"/>
        </w:trPr>
        <w:tc>
          <w:tcPr>
            <w:tcW w:w="3402" w:type="dxa"/>
            <w:noWrap/>
            <w:vAlign w:val="center"/>
          </w:tcPr>
          <w:p w14:paraId="469C5EC2" w14:textId="77777777" w:rsidR="00F62AD3" w:rsidRPr="00F62AD3" w:rsidRDefault="00F62AD3" w:rsidP="00F62AD3">
            <w:pPr>
              <w:spacing w:before="120" w:after="120" w:line="240" w:lineRule="auto"/>
              <w:rPr>
                <w:sz w:val="19"/>
                <w:szCs w:val="19"/>
                <w:lang w:val="en-US"/>
              </w:rPr>
            </w:pPr>
            <w:r w:rsidRPr="00F62AD3">
              <w:rPr>
                <w:sz w:val="19"/>
                <w:szCs w:val="19"/>
                <w:lang w:val="en-US"/>
              </w:rPr>
              <w:lastRenderedPageBreak/>
              <w:t xml:space="preserve">Anemia diagnosis, </w:t>
            </w:r>
            <w:r w:rsidRPr="00F62AD3">
              <w:rPr>
                <w:i/>
                <w:iCs/>
                <w:sz w:val="19"/>
                <w:szCs w:val="19"/>
                <w:lang w:val="en-US"/>
              </w:rPr>
              <w:t>n</w:t>
            </w:r>
            <w:r w:rsidRPr="00F62AD3">
              <w:rPr>
                <w:sz w:val="19"/>
                <w:szCs w:val="19"/>
                <w:lang w:val="en-US"/>
              </w:rPr>
              <w:t xml:space="preserve"> (%)</w:t>
            </w:r>
          </w:p>
        </w:tc>
        <w:tc>
          <w:tcPr>
            <w:tcW w:w="284" w:type="dxa"/>
            <w:noWrap/>
          </w:tcPr>
          <w:p w14:paraId="77EC2173"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38CC24F9"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254 (45.8)</w:t>
            </w:r>
          </w:p>
        </w:tc>
        <w:tc>
          <w:tcPr>
            <w:tcW w:w="1991" w:type="dxa"/>
            <w:vAlign w:val="center"/>
          </w:tcPr>
          <w:p w14:paraId="0AB34964"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233 (45.7)</w:t>
            </w:r>
          </w:p>
        </w:tc>
        <w:tc>
          <w:tcPr>
            <w:tcW w:w="1695" w:type="dxa"/>
            <w:vAlign w:val="center"/>
          </w:tcPr>
          <w:p w14:paraId="1B132825"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203 (87.1)</w:t>
            </w:r>
          </w:p>
        </w:tc>
        <w:tc>
          <w:tcPr>
            <w:tcW w:w="1701" w:type="dxa"/>
            <w:vAlign w:val="center"/>
          </w:tcPr>
          <w:p w14:paraId="48F7CA5D"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264 (76.3)</w:t>
            </w:r>
          </w:p>
        </w:tc>
        <w:tc>
          <w:tcPr>
            <w:tcW w:w="1701" w:type="dxa"/>
            <w:vAlign w:val="center"/>
          </w:tcPr>
          <w:p w14:paraId="651B3118"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98 (56.6)</w:t>
            </w:r>
          </w:p>
        </w:tc>
        <w:tc>
          <w:tcPr>
            <w:tcW w:w="1985" w:type="dxa"/>
            <w:vAlign w:val="center"/>
          </w:tcPr>
          <w:p w14:paraId="5F37415B"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166 (96.0)</w:t>
            </w:r>
          </w:p>
        </w:tc>
      </w:tr>
      <w:tr w:rsidR="00F62AD3" w:rsidRPr="00F62AD3" w14:paraId="7E5C5181" w14:textId="77777777">
        <w:trPr>
          <w:trHeight w:val="222"/>
        </w:trPr>
        <w:tc>
          <w:tcPr>
            <w:tcW w:w="3402" w:type="dxa"/>
            <w:noWrap/>
            <w:vAlign w:val="center"/>
          </w:tcPr>
          <w:p w14:paraId="6F6CF486" w14:textId="77777777" w:rsidR="00F62AD3" w:rsidRPr="00F62AD3" w:rsidRDefault="00F62AD3" w:rsidP="00F62AD3">
            <w:pPr>
              <w:spacing w:before="120" w:after="120" w:line="240" w:lineRule="auto"/>
              <w:rPr>
                <w:sz w:val="19"/>
                <w:szCs w:val="19"/>
                <w:lang w:val="en-US"/>
              </w:rPr>
            </w:pPr>
            <w:r w:rsidRPr="00F62AD3">
              <w:rPr>
                <w:sz w:val="19"/>
                <w:szCs w:val="19"/>
                <w:lang w:val="en-US"/>
              </w:rPr>
              <w:t xml:space="preserve">Thrombocytopenia, </w:t>
            </w:r>
            <w:r w:rsidRPr="00F62AD3">
              <w:rPr>
                <w:i/>
                <w:iCs/>
                <w:sz w:val="19"/>
                <w:szCs w:val="19"/>
                <w:lang w:val="en-US"/>
              </w:rPr>
              <w:t>n</w:t>
            </w:r>
            <w:r w:rsidRPr="00F62AD3">
              <w:rPr>
                <w:sz w:val="19"/>
                <w:szCs w:val="19"/>
                <w:lang w:val="en-US"/>
              </w:rPr>
              <w:t xml:space="preserve"> (%)</w:t>
            </w:r>
          </w:p>
        </w:tc>
        <w:tc>
          <w:tcPr>
            <w:tcW w:w="284" w:type="dxa"/>
            <w:noWrap/>
          </w:tcPr>
          <w:p w14:paraId="41EDB642"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5775EC4C"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91 (16.4)</w:t>
            </w:r>
          </w:p>
        </w:tc>
        <w:tc>
          <w:tcPr>
            <w:tcW w:w="1991" w:type="dxa"/>
            <w:vAlign w:val="center"/>
          </w:tcPr>
          <w:p w14:paraId="61F71625"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81 (15.9)</w:t>
            </w:r>
          </w:p>
        </w:tc>
        <w:tc>
          <w:tcPr>
            <w:tcW w:w="1695" w:type="dxa"/>
            <w:vAlign w:val="center"/>
          </w:tcPr>
          <w:p w14:paraId="5F1970EA"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70 (30.0)</w:t>
            </w:r>
          </w:p>
        </w:tc>
        <w:tc>
          <w:tcPr>
            <w:tcW w:w="1701" w:type="dxa"/>
            <w:vAlign w:val="center"/>
          </w:tcPr>
          <w:p w14:paraId="6E0DBB4A"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115.5 (33.4)</w:t>
            </w:r>
          </w:p>
        </w:tc>
        <w:tc>
          <w:tcPr>
            <w:tcW w:w="1701" w:type="dxa"/>
            <w:vAlign w:val="center"/>
          </w:tcPr>
          <w:p w14:paraId="1FD6F082"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56.5 (32.7)</w:t>
            </w:r>
          </w:p>
        </w:tc>
        <w:tc>
          <w:tcPr>
            <w:tcW w:w="1985" w:type="dxa"/>
            <w:vAlign w:val="center"/>
          </w:tcPr>
          <w:p w14:paraId="13D570FD"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59 (34.1)</w:t>
            </w:r>
          </w:p>
        </w:tc>
      </w:tr>
      <w:tr w:rsidR="00F62AD3" w:rsidRPr="00F62AD3" w14:paraId="0BCB8B63" w14:textId="77777777">
        <w:trPr>
          <w:trHeight w:val="222"/>
        </w:trPr>
        <w:tc>
          <w:tcPr>
            <w:tcW w:w="3402" w:type="dxa"/>
            <w:noWrap/>
            <w:vAlign w:val="center"/>
          </w:tcPr>
          <w:p w14:paraId="36AFB986" w14:textId="77777777" w:rsidR="00F62AD3" w:rsidRPr="00F62AD3" w:rsidRDefault="00F62AD3" w:rsidP="00F62AD3">
            <w:pPr>
              <w:spacing w:before="120" w:after="120" w:line="240" w:lineRule="auto"/>
              <w:rPr>
                <w:sz w:val="19"/>
                <w:szCs w:val="19"/>
                <w:lang w:val="en-US"/>
              </w:rPr>
            </w:pPr>
            <w:r w:rsidRPr="00F62AD3">
              <w:rPr>
                <w:sz w:val="19"/>
                <w:szCs w:val="19"/>
                <w:lang w:val="en-US"/>
              </w:rPr>
              <w:t xml:space="preserve">ET, </w:t>
            </w:r>
            <w:r w:rsidRPr="00F62AD3">
              <w:rPr>
                <w:i/>
                <w:iCs/>
                <w:sz w:val="19"/>
                <w:szCs w:val="19"/>
                <w:lang w:val="en-US"/>
              </w:rPr>
              <w:t>n</w:t>
            </w:r>
            <w:r w:rsidRPr="00F62AD3">
              <w:rPr>
                <w:sz w:val="19"/>
                <w:szCs w:val="19"/>
                <w:lang w:val="en-US"/>
              </w:rPr>
              <w:t xml:space="preserve"> (%)</w:t>
            </w:r>
          </w:p>
        </w:tc>
        <w:tc>
          <w:tcPr>
            <w:tcW w:w="284" w:type="dxa"/>
            <w:noWrap/>
          </w:tcPr>
          <w:p w14:paraId="0E6D26AB"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0C71318F"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14 (2.5)</w:t>
            </w:r>
          </w:p>
        </w:tc>
        <w:tc>
          <w:tcPr>
            <w:tcW w:w="1991" w:type="dxa"/>
            <w:vAlign w:val="center"/>
          </w:tcPr>
          <w:p w14:paraId="6D8700B4"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13 (2.5)</w:t>
            </w:r>
          </w:p>
        </w:tc>
        <w:tc>
          <w:tcPr>
            <w:tcW w:w="1695" w:type="dxa"/>
            <w:vAlign w:val="center"/>
          </w:tcPr>
          <w:p w14:paraId="6F32FDB6"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 (0.9)</w:t>
            </w:r>
          </w:p>
        </w:tc>
        <w:tc>
          <w:tcPr>
            <w:tcW w:w="1701" w:type="dxa"/>
            <w:vAlign w:val="center"/>
          </w:tcPr>
          <w:p w14:paraId="123C26EE"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2 (0.6)</w:t>
            </w:r>
          </w:p>
        </w:tc>
        <w:tc>
          <w:tcPr>
            <w:tcW w:w="1701" w:type="dxa"/>
            <w:vAlign w:val="center"/>
          </w:tcPr>
          <w:p w14:paraId="28AE3D06"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0 (0.0)</w:t>
            </w:r>
          </w:p>
        </w:tc>
        <w:tc>
          <w:tcPr>
            <w:tcW w:w="1985" w:type="dxa"/>
            <w:vAlign w:val="center"/>
          </w:tcPr>
          <w:p w14:paraId="3F67CA60"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2 (1.2)</w:t>
            </w:r>
          </w:p>
        </w:tc>
      </w:tr>
      <w:tr w:rsidR="00F62AD3" w:rsidRPr="00F62AD3" w14:paraId="4D608061" w14:textId="77777777">
        <w:trPr>
          <w:trHeight w:val="222"/>
        </w:trPr>
        <w:tc>
          <w:tcPr>
            <w:tcW w:w="3402" w:type="dxa"/>
            <w:noWrap/>
            <w:vAlign w:val="center"/>
          </w:tcPr>
          <w:p w14:paraId="1AAF0585" w14:textId="77777777" w:rsidR="00F62AD3" w:rsidRPr="00F62AD3" w:rsidRDefault="00F62AD3" w:rsidP="00F62AD3">
            <w:pPr>
              <w:spacing w:before="120" w:after="120" w:line="240" w:lineRule="auto"/>
              <w:rPr>
                <w:sz w:val="19"/>
                <w:szCs w:val="19"/>
                <w:lang w:val="en-US"/>
              </w:rPr>
            </w:pPr>
            <w:r w:rsidRPr="00F62AD3">
              <w:rPr>
                <w:sz w:val="19"/>
                <w:szCs w:val="19"/>
                <w:lang w:val="en-US"/>
              </w:rPr>
              <w:t xml:space="preserve">PV, </w:t>
            </w:r>
            <w:r w:rsidRPr="00F62AD3">
              <w:rPr>
                <w:i/>
                <w:iCs/>
                <w:sz w:val="19"/>
                <w:szCs w:val="19"/>
                <w:lang w:val="en-US"/>
              </w:rPr>
              <w:t>n</w:t>
            </w:r>
            <w:r w:rsidRPr="00F62AD3">
              <w:rPr>
                <w:sz w:val="19"/>
                <w:szCs w:val="19"/>
                <w:lang w:val="en-US"/>
              </w:rPr>
              <w:t xml:space="preserve"> (%)</w:t>
            </w:r>
          </w:p>
        </w:tc>
        <w:tc>
          <w:tcPr>
            <w:tcW w:w="284" w:type="dxa"/>
            <w:noWrap/>
          </w:tcPr>
          <w:p w14:paraId="47738DC4"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371278DD"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4 (0.7)</w:t>
            </w:r>
          </w:p>
        </w:tc>
        <w:tc>
          <w:tcPr>
            <w:tcW w:w="1991" w:type="dxa"/>
            <w:vAlign w:val="center"/>
          </w:tcPr>
          <w:p w14:paraId="5AB375E6"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4 (0.8)</w:t>
            </w:r>
          </w:p>
        </w:tc>
        <w:tc>
          <w:tcPr>
            <w:tcW w:w="1695" w:type="dxa"/>
            <w:vAlign w:val="center"/>
          </w:tcPr>
          <w:p w14:paraId="31BEDA90"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0 (0.0)</w:t>
            </w:r>
          </w:p>
        </w:tc>
        <w:tc>
          <w:tcPr>
            <w:tcW w:w="1701" w:type="dxa"/>
            <w:vAlign w:val="center"/>
          </w:tcPr>
          <w:p w14:paraId="01D39045"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0 (0.0)</w:t>
            </w:r>
          </w:p>
        </w:tc>
        <w:tc>
          <w:tcPr>
            <w:tcW w:w="1701" w:type="dxa"/>
            <w:vAlign w:val="center"/>
          </w:tcPr>
          <w:p w14:paraId="2C526542"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0 (0.0)</w:t>
            </w:r>
          </w:p>
        </w:tc>
        <w:tc>
          <w:tcPr>
            <w:tcW w:w="1985" w:type="dxa"/>
            <w:vAlign w:val="center"/>
          </w:tcPr>
          <w:p w14:paraId="700365AD"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0 (0.0)</w:t>
            </w:r>
          </w:p>
        </w:tc>
      </w:tr>
      <w:tr w:rsidR="00F62AD3" w:rsidRPr="00F62AD3" w14:paraId="1B2D29B2" w14:textId="77777777">
        <w:trPr>
          <w:trHeight w:val="222"/>
        </w:trPr>
        <w:tc>
          <w:tcPr>
            <w:tcW w:w="7519" w:type="dxa"/>
            <w:gridSpan w:val="4"/>
            <w:noWrap/>
            <w:vAlign w:val="center"/>
          </w:tcPr>
          <w:p w14:paraId="0A29DDB0" w14:textId="77777777" w:rsidR="00F62AD3" w:rsidRPr="00F62AD3" w:rsidRDefault="00F62AD3" w:rsidP="00F62AD3">
            <w:pPr>
              <w:spacing w:before="120" w:after="120" w:line="240" w:lineRule="auto"/>
              <w:rPr>
                <w:sz w:val="19"/>
                <w:szCs w:val="19"/>
                <w:lang w:val="en-US"/>
              </w:rPr>
            </w:pPr>
            <w:r w:rsidRPr="00F62AD3">
              <w:rPr>
                <w:b/>
                <w:bCs/>
                <w:sz w:val="19"/>
                <w:szCs w:val="19"/>
                <w:lang w:val="en-US"/>
              </w:rPr>
              <w:t>Baseline HCRU (365 days prior to landmark date to 1 day prior to landmark date)</w:t>
            </w:r>
          </w:p>
        </w:tc>
        <w:tc>
          <w:tcPr>
            <w:tcW w:w="1695" w:type="dxa"/>
          </w:tcPr>
          <w:p w14:paraId="032A5141" w14:textId="77777777" w:rsidR="00F62AD3" w:rsidRPr="00F62AD3" w:rsidRDefault="00F62AD3" w:rsidP="00F62AD3">
            <w:pPr>
              <w:spacing w:before="120" w:after="120" w:line="240" w:lineRule="auto"/>
              <w:rPr>
                <w:b/>
                <w:bCs/>
                <w:sz w:val="19"/>
                <w:szCs w:val="19"/>
                <w:lang w:val="en-US"/>
              </w:rPr>
            </w:pPr>
          </w:p>
        </w:tc>
        <w:tc>
          <w:tcPr>
            <w:tcW w:w="1701" w:type="dxa"/>
          </w:tcPr>
          <w:p w14:paraId="097BD374" w14:textId="77777777" w:rsidR="00F62AD3" w:rsidRPr="00F62AD3" w:rsidRDefault="00F62AD3" w:rsidP="00F62AD3">
            <w:pPr>
              <w:spacing w:before="120" w:after="120" w:line="240" w:lineRule="auto"/>
              <w:rPr>
                <w:b/>
                <w:bCs/>
                <w:sz w:val="19"/>
                <w:szCs w:val="19"/>
                <w:lang w:val="en-US"/>
              </w:rPr>
            </w:pPr>
          </w:p>
        </w:tc>
        <w:tc>
          <w:tcPr>
            <w:tcW w:w="1701" w:type="dxa"/>
          </w:tcPr>
          <w:p w14:paraId="6E6BBC64" w14:textId="77777777" w:rsidR="00F62AD3" w:rsidRPr="00F62AD3" w:rsidRDefault="00F62AD3" w:rsidP="00F62AD3">
            <w:pPr>
              <w:spacing w:before="120" w:after="120" w:line="240" w:lineRule="auto"/>
              <w:rPr>
                <w:b/>
                <w:bCs/>
                <w:sz w:val="19"/>
                <w:szCs w:val="19"/>
                <w:lang w:val="en-US"/>
              </w:rPr>
            </w:pPr>
          </w:p>
        </w:tc>
        <w:tc>
          <w:tcPr>
            <w:tcW w:w="1985" w:type="dxa"/>
          </w:tcPr>
          <w:p w14:paraId="36274274" w14:textId="77777777" w:rsidR="00F62AD3" w:rsidRPr="00F62AD3" w:rsidRDefault="00F62AD3" w:rsidP="00F62AD3">
            <w:pPr>
              <w:spacing w:before="120" w:after="120" w:line="240" w:lineRule="auto"/>
              <w:rPr>
                <w:b/>
                <w:bCs/>
                <w:sz w:val="19"/>
                <w:szCs w:val="19"/>
                <w:lang w:val="en-US"/>
              </w:rPr>
            </w:pPr>
          </w:p>
        </w:tc>
      </w:tr>
      <w:tr w:rsidR="00F62AD3" w:rsidRPr="00F62AD3" w14:paraId="0378BA45" w14:textId="77777777">
        <w:trPr>
          <w:trHeight w:val="222"/>
        </w:trPr>
        <w:tc>
          <w:tcPr>
            <w:tcW w:w="3402" w:type="dxa"/>
            <w:noWrap/>
            <w:vAlign w:val="center"/>
          </w:tcPr>
          <w:p w14:paraId="2EA54511" w14:textId="77777777" w:rsidR="00F62AD3" w:rsidRPr="00F62AD3" w:rsidRDefault="00F62AD3" w:rsidP="00F62AD3">
            <w:pPr>
              <w:spacing w:before="120" w:after="120" w:line="240" w:lineRule="auto"/>
              <w:rPr>
                <w:sz w:val="19"/>
                <w:szCs w:val="19"/>
                <w:lang w:val="en-US"/>
              </w:rPr>
            </w:pPr>
            <w:r w:rsidRPr="00F62AD3">
              <w:rPr>
                <w:sz w:val="19"/>
                <w:szCs w:val="19"/>
                <w:lang w:val="en-US"/>
              </w:rPr>
              <w:t xml:space="preserve">All-cause hospitalizations, </w:t>
            </w:r>
            <w:r w:rsidRPr="00F62AD3">
              <w:rPr>
                <w:i/>
                <w:iCs/>
                <w:sz w:val="19"/>
                <w:szCs w:val="19"/>
                <w:lang w:val="en-US"/>
              </w:rPr>
              <w:t>n</w:t>
            </w:r>
            <w:r w:rsidRPr="00F62AD3">
              <w:rPr>
                <w:sz w:val="19"/>
                <w:szCs w:val="19"/>
                <w:lang w:val="en-US"/>
              </w:rPr>
              <w:t xml:space="preserve"> (%)</w:t>
            </w:r>
          </w:p>
        </w:tc>
        <w:tc>
          <w:tcPr>
            <w:tcW w:w="284" w:type="dxa"/>
            <w:noWrap/>
          </w:tcPr>
          <w:p w14:paraId="155767E2"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5539003F"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318 (57.3)</w:t>
            </w:r>
          </w:p>
        </w:tc>
        <w:tc>
          <w:tcPr>
            <w:tcW w:w="1991" w:type="dxa"/>
            <w:vAlign w:val="center"/>
          </w:tcPr>
          <w:p w14:paraId="06CB651B"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291 (62.4)</w:t>
            </w:r>
          </w:p>
        </w:tc>
        <w:tc>
          <w:tcPr>
            <w:tcW w:w="1695" w:type="dxa"/>
            <w:vAlign w:val="center"/>
          </w:tcPr>
          <w:p w14:paraId="43F265B8"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210 (90.1)</w:t>
            </w:r>
          </w:p>
        </w:tc>
        <w:tc>
          <w:tcPr>
            <w:tcW w:w="1701" w:type="dxa"/>
            <w:vAlign w:val="center"/>
          </w:tcPr>
          <w:p w14:paraId="4535246D"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287 (82.8)</w:t>
            </w:r>
          </w:p>
        </w:tc>
        <w:tc>
          <w:tcPr>
            <w:tcW w:w="1701" w:type="dxa"/>
            <w:vAlign w:val="center"/>
          </w:tcPr>
          <w:p w14:paraId="22C3489C"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128 (73.7)</w:t>
            </w:r>
          </w:p>
        </w:tc>
        <w:tc>
          <w:tcPr>
            <w:tcW w:w="1985" w:type="dxa"/>
            <w:vAlign w:val="center"/>
          </w:tcPr>
          <w:p w14:paraId="38C54870"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158 (86.7)</w:t>
            </w:r>
          </w:p>
        </w:tc>
      </w:tr>
      <w:tr w:rsidR="00F62AD3" w:rsidRPr="00F62AD3" w14:paraId="5136C4E3" w14:textId="77777777">
        <w:trPr>
          <w:trHeight w:val="222"/>
        </w:trPr>
        <w:tc>
          <w:tcPr>
            <w:tcW w:w="3402" w:type="dxa"/>
            <w:noWrap/>
            <w:vAlign w:val="center"/>
          </w:tcPr>
          <w:p w14:paraId="498EAAC7" w14:textId="77777777" w:rsidR="00F62AD3" w:rsidRPr="00F62AD3" w:rsidRDefault="00F62AD3" w:rsidP="00F62AD3">
            <w:pPr>
              <w:spacing w:before="120" w:after="120" w:line="240" w:lineRule="auto"/>
              <w:ind w:left="320"/>
              <w:rPr>
                <w:sz w:val="19"/>
                <w:szCs w:val="19"/>
                <w:lang w:val="en-US"/>
              </w:rPr>
            </w:pPr>
            <w:r w:rsidRPr="00F62AD3">
              <w:rPr>
                <w:sz w:val="19"/>
                <w:szCs w:val="19"/>
                <w:lang w:val="en-US"/>
              </w:rPr>
              <w:t xml:space="preserve">Number of events, </w:t>
            </w:r>
            <w:proofErr w:type="gramStart"/>
            <w:r w:rsidRPr="00F62AD3">
              <w:rPr>
                <w:sz w:val="19"/>
                <w:szCs w:val="19"/>
                <w:lang w:val="en-US"/>
              </w:rPr>
              <w:t>mean</w:t>
            </w:r>
            <w:proofErr w:type="gramEnd"/>
            <w:r w:rsidRPr="00F62AD3">
              <w:rPr>
                <w:sz w:val="19"/>
                <w:szCs w:val="19"/>
                <w:lang w:val="en-US"/>
              </w:rPr>
              <w:t xml:space="preserve"> (SD)</w:t>
            </w:r>
          </w:p>
        </w:tc>
        <w:tc>
          <w:tcPr>
            <w:tcW w:w="284" w:type="dxa"/>
            <w:noWrap/>
          </w:tcPr>
          <w:p w14:paraId="013A799A"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3B57AC3D"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1.2 (1.8)</w:t>
            </w:r>
          </w:p>
        </w:tc>
        <w:tc>
          <w:tcPr>
            <w:tcW w:w="1991" w:type="dxa"/>
            <w:vAlign w:val="center"/>
          </w:tcPr>
          <w:p w14:paraId="2D7768D8"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2.1 (1.8)</w:t>
            </w:r>
          </w:p>
        </w:tc>
        <w:tc>
          <w:tcPr>
            <w:tcW w:w="1695" w:type="dxa"/>
            <w:vAlign w:val="center"/>
          </w:tcPr>
          <w:p w14:paraId="58FDECC0"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4.9 (5.8)</w:t>
            </w:r>
          </w:p>
        </w:tc>
        <w:tc>
          <w:tcPr>
            <w:tcW w:w="1701" w:type="dxa"/>
            <w:vAlign w:val="center"/>
          </w:tcPr>
          <w:p w14:paraId="20706A21"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2.7 (2.9)</w:t>
            </w:r>
          </w:p>
        </w:tc>
        <w:tc>
          <w:tcPr>
            <w:tcW w:w="1701" w:type="dxa"/>
            <w:vAlign w:val="center"/>
          </w:tcPr>
          <w:p w14:paraId="13A42871"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1.8 (1.7)</w:t>
            </w:r>
          </w:p>
        </w:tc>
        <w:tc>
          <w:tcPr>
            <w:tcW w:w="1985" w:type="dxa"/>
            <w:vAlign w:val="center"/>
          </w:tcPr>
          <w:p w14:paraId="1BB03039"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5.3 (6.3)</w:t>
            </w:r>
          </w:p>
        </w:tc>
      </w:tr>
      <w:tr w:rsidR="00F62AD3" w:rsidRPr="00F62AD3" w14:paraId="54A94DAC" w14:textId="77777777">
        <w:trPr>
          <w:trHeight w:val="222"/>
        </w:trPr>
        <w:tc>
          <w:tcPr>
            <w:tcW w:w="3402" w:type="dxa"/>
            <w:noWrap/>
            <w:vAlign w:val="center"/>
          </w:tcPr>
          <w:p w14:paraId="3D2C0B90" w14:textId="77777777" w:rsidR="00F62AD3" w:rsidRPr="00F62AD3" w:rsidRDefault="00F62AD3" w:rsidP="00F62AD3">
            <w:pPr>
              <w:spacing w:before="120" w:after="120" w:line="240" w:lineRule="auto"/>
              <w:rPr>
                <w:sz w:val="19"/>
                <w:szCs w:val="19"/>
                <w:lang w:val="en-US"/>
              </w:rPr>
            </w:pPr>
            <w:r w:rsidRPr="00F62AD3">
              <w:rPr>
                <w:sz w:val="19"/>
                <w:szCs w:val="19"/>
                <w:lang w:val="en-US"/>
              </w:rPr>
              <w:t xml:space="preserve">Oncologist/hematologist visits, </w:t>
            </w:r>
            <w:r w:rsidRPr="00F62AD3">
              <w:rPr>
                <w:i/>
                <w:iCs/>
                <w:sz w:val="19"/>
                <w:szCs w:val="19"/>
                <w:lang w:val="en-US"/>
              </w:rPr>
              <w:t>n</w:t>
            </w:r>
            <w:r w:rsidRPr="00F62AD3">
              <w:rPr>
                <w:sz w:val="19"/>
                <w:szCs w:val="19"/>
                <w:lang w:val="en-US"/>
              </w:rPr>
              <w:t xml:space="preserve"> (%)</w:t>
            </w:r>
          </w:p>
        </w:tc>
        <w:tc>
          <w:tcPr>
            <w:tcW w:w="284" w:type="dxa"/>
            <w:noWrap/>
          </w:tcPr>
          <w:p w14:paraId="5DC457A5"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506347F5"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126 (22.7)</w:t>
            </w:r>
          </w:p>
        </w:tc>
        <w:tc>
          <w:tcPr>
            <w:tcW w:w="1991" w:type="dxa"/>
            <w:vAlign w:val="center"/>
          </w:tcPr>
          <w:p w14:paraId="0BCC54E1"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115 (24.7)</w:t>
            </w:r>
          </w:p>
        </w:tc>
        <w:tc>
          <w:tcPr>
            <w:tcW w:w="1695" w:type="dxa"/>
            <w:vAlign w:val="center"/>
          </w:tcPr>
          <w:p w14:paraId="38E0EB2B"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146 (62.7)</w:t>
            </w:r>
          </w:p>
        </w:tc>
        <w:tc>
          <w:tcPr>
            <w:tcW w:w="1701" w:type="dxa"/>
            <w:vAlign w:val="center"/>
          </w:tcPr>
          <w:p w14:paraId="27AAA9A3"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223 (64.5)</w:t>
            </w:r>
          </w:p>
        </w:tc>
        <w:tc>
          <w:tcPr>
            <w:tcW w:w="1701" w:type="dxa"/>
            <w:vAlign w:val="center"/>
          </w:tcPr>
          <w:p w14:paraId="593AA3F6"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115 (66.5)</w:t>
            </w:r>
          </w:p>
        </w:tc>
        <w:tc>
          <w:tcPr>
            <w:tcW w:w="1985" w:type="dxa"/>
            <w:vAlign w:val="center"/>
          </w:tcPr>
          <w:p w14:paraId="39B0F4BA"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108 (62.4)</w:t>
            </w:r>
          </w:p>
        </w:tc>
      </w:tr>
      <w:tr w:rsidR="00F62AD3" w:rsidRPr="00F62AD3" w14:paraId="18514D44" w14:textId="77777777">
        <w:trPr>
          <w:trHeight w:val="222"/>
        </w:trPr>
        <w:tc>
          <w:tcPr>
            <w:tcW w:w="3402" w:type="dxa"/>
            <w:noWrap/>
            <w:vAlign w:val="center"/>
          </w:tcPr>
          <w:p w14:paraId="7E15B1F9" w14:textId="77777777" w:rsidR="00F62AD3" w:rsidRPr="00F62AD3" w:rsidRDefault="00F62AD3" w:rsidP="00F62AD3">
            <w:pPr>
              <w:spacing w:before="120" w:after="120" w:line="240" w:lineRule="auto"/>
              <w:ind w:left="320"/>
              <w:rPr>
                <w:sz w:val="19"/>
                <w:szCs w:val="19"/>
                <w:lang w:val="en-US"/>
              </w:rPr>
            </w:pPr>
            <w:r w:rsidRPr="00F62AD3">
              <w:rPr>
                <w:sz w:val="19"/>
                <w:szCs w:val="19"/>
                <w:lang w:val="en-US"/>
              </w:rPr>
              <w:t xml:space="preserve">Number of events, </w:t>
            </w:r>
            <w:proofErr w:type="gramStart"/>
            <w:r w:rsidRPr="00F62AD3">
              <w:rPr>
                <w:sz w:val="19"/>
                <w:szCs w:val="19"/>
                <w:lang w:val="en-US"/>
              </w:rPr>
              <w:t>mean</w:t>
            </w:r>
            <w:proofErr w:type="gramEnd"/>
            <w:r w:rsidRPr="00F62AD3">
              <w:rPr>
                <w:sz w:val="19"/>
                <w:szCs w:val="19"/>
                <w:lang w:val="en-US"/>
              </w:rPr>
              <w:t xml:space="preserve"> (SD)</w:t>
            </w:r>
          </w:p>
        </w:tc>
        <w:tc>
          <w:tcPr>
            <w:tcW w:w="284" w:type="dxa"/>
            <w:noWrap/>
          </w:tcPr>
          <w:p w14:paraId="21598C47"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03674C26"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1.7 (6.6)</w:t>
            </w:r>
          </w:p>
        </w:tc>
        <w:tc>
          <w:tcPr>
            <w:tcW w:w="1991" w:type="dxa"/>
            <w:vAlign w:val="center"/>
          </w:tcPr>
          <w:p w14:paraId="2CE104CE"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7.6 (12.5)</w:t>
            </w:r>
          </w:p>
        </w:tc>
        <w:tc>
          <w:tcPr>
            <w:tcW w:w="1695" w:type="dxa"/>
            <w:vAlign w:val="center"/>
          </w:tcPr>
          <w:p w14:paraId="4F8212C0"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6.7 (9.4)</w:t>
            </w:r>
          </w:p>
        </w:tc>
        <w:tc>
          <w:tcPr>
            <w:tcW w:w="1701" w:type="dxa"/>
            <w:vAlign w:val="center"/>
          </w:tcPr>
          <w:p w14:paraId="4C162744"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6.2 (8.5)</w:t>
            </w:r>
          </w:p>
        </w:tc>
        <w:tc>
          <w:tcPr>
            <w:tcW w:w="1701" w:type="dxa"/>
            <w:vAlign w:val="center"/>
          </w:tcPr>
          <w:p w14:paraId="08ED3B8A"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5.7 (7.4)</w:t>
            </w:r>
          </w:p>
        </w:tc>
        <w:tc>
          <w:tcPr>
            <w:tcW w:w="1985" w:type="dxa"/>
            <w:vAlign w:val="center"/>
          </w:tcPr>
          <w:p w14:paraId="1011DCD3"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6.8 (9.4)</w:t>
            </w:r>
          </w:p>
        </w:tc>
      </w:tr>
      <w:tr w:rsidR="00F62AD3" w:rsidRPr="00F62AD3" w14:paraId="6C78EEFE" w14:textId="77777777">
        <w:trPr>
          <w:trHeight w:val="222"/>
        </w:trPr>
        <w:tc>
          <w:tcPr>
            <w:tcW w:w="7519" w:type="dxa"/>
            <w:gridSpan w:val="4"/>
            <w:noWrap/>
            <w:vAlign w:val="center"/>
          </w:tcPr>
          <w:p w14:paraId="020DEF8A" w14:textId="77777777" w:rsidR="00F62AD3" w:rsidRPr="00F62AD3" w:rsidRDefault="00F62AD3" w:rsidP="00F62AD3">
            <w:pPr>
              <w:spacing w:before="120" w:after="120" w:line="240" w:lineRule="auto"/>
              <w:rPr>
                <w:sz w:val="19"/>
                <w:szCs w:val="19"/>
                <w:lang w:val="en-US"/>
              </w:rPr>
            </w:pPr>
            <w:r w:rsidRPr="00F62AD3">
              <w:rPr>
                <w:b/>
                <w:bCs/>
                <w:sz w:val="19"/>
                <w:szCs w:val="19"/>
                <w:lang w:val="en-US"/>
              </w:rPr>
              <w:t>Follow-up (landmark date to end of follow-up or censor)</w:t>
            </w:r>
          </w:p>
        </w:tc>
        <w:tc>
          <w:tcPr>
            <w:tcW w:w="1695" w:type="dxa"/>
          </w:tcPr>
          <w:p w14:paraId="6BAB3FB2" w14:textId="77777777" w:rsidR="00F62AD3" w:rsidRPr="00F62AD3" w:rsidRDefault="00F62AD3" w:rsidP="00F62AD3">
            <w:pPr>
              <w:spacing w:before="120" w:after="120" w:line="240" w:lineRule="auto"/>
              <w:rPr>
                <w:b/>
                <w:bCs/>
                <w:sz w:val="19"/>
                <w:szCs w:val="19"/>
                <w:lang w:val="en-US"/>
              </w:rPr>
            </w:pPr>
          </w:p>
        </w:tc>
        <w:tc>
          <w:tcPr>
            <w:tcW w:w="1701" w:type="dxa"/>
          </w:tcPr>
          <w:p w14:paraId="23B78335" w14:textId="77777777" w:rsidR="00F62AD3" w:rsidRPr="00F62AD3" w:rsidRDefault="00F62AD3" w:rsidP="00F62AD3">
            <w:pPr>
              <w:spacing w:before="120" w:after="120" w:line="240" w:lineRule="auto"/>
              <w:rPr>
                <w:b/>
                <w:bCs/>
                <w:sz w:val="19"/>
                <w:szCs w:val="19"/>
                <w:lang w:val="en-US"/>
              </w:rPr>
            </w:pPr>
          </w:p>
        </w:tc>
        <w:tc>
          <w:tcPr>
            <w:tcW w:w="1701" w:type="dxa"/>
          </w:tcPr>
          <w:p w14:paraId="52315641" w14:textId="77777777" w:rsidR="00F62AD3" w:rsidRPr="00F62AD3" w:rsidRDefault="00F62AD3" w:rsidP="00F62AD3">
            <w:pPr>
              <w:spacing w:before="120" w:after="120" w:line="240" w:lineRule="auto"/>
              <w:rPr>
                <w:b/>
                <w:bCs/>
                <w:sz w:val="19"/>
                <w:szCs w:val="19"/>
                <w:lang w:val="en-US"/>
              </w:rPr>
            </w:pPr>
          </w:p>
        </w:tc>
        <w:tc>
          <w:tcPr>
            <w:tcW w:w="1985" w:type="dxa"/>
          </w:tcPr>
          <w:p w14:paraId="49C6D8D3" w14:textId="77777777" w:rsidR="00F62AD3" w:rsidRPr="00F62AD3" w:rsidRDefault="00F62AD3" w:rsidP="00F62AD3">
            <w:pPr>
              <w:spacing w:before="120" w:after="120" w:line="240" w:lineRule="auto"/>
              <w:rPr>
                <w:b/>
                <w:bCs/>
                <w:sz w:val="19"/>
                <w:szCs w:val="19"/>
                <w:lang w:val="en-US"/>
              </w:rPr>
            </w:pPr>
          </w:p>
        </w:tc>
      </w:tr>
      <w:tr w:rsidR="00F62AD3" w:rsidRPr="00F62AD3" w14:paraId="79E8B2B0" w14:textId="77777777">
        <w:trPr>
          <w:trHeight w:val="222"/>
        </w:trPr>
        <w:tc>
          <w:tcPr>
            <w:tcW w:w="3402" w:type="dxa"/>
            <w:noWrap/>
            <w:vAlign w:val="center"/>
          </w:tcPr>
          <w:p w14:paraId="76756607" w14:textId="77777777" w:rsidR="00F62AD3" w:rsidRPr="00F62AD3" w:rsidRDefault="00F62AD3" w:rsidP="00F62AD3">
            <w:pPr>
              <w:spacing w:before="120" w:after="120" w:line="240" w:lineRule="auto"/>
              <w:rPr>
                <w:sz w:val="19"/>
                <w:szCs w:val="19"/>
                <w:lang w:val="en-US"/>
              </w:rPr>
            </w:pPr>
            <w:r w:rsidRPr="00F62AD3">
              <w:rPr>
                <w:sz w:val="19"/>
                <w:szCs w:val="19"/>
                <w:lang w:val="en-US"/>
              </w:rPr>
              <w:t>Follow-up time (months), mean (SD)</w:t>
            </w:r>
          </w:p>
        </w:tc>
        <w:tc>
          <w:tcPr>
            <w:tcW w:w="284" w:type="dxa"/>
            <w:noWrap/>
          </w:tcPr>
          <w:p w14:paraId="10D82025" w14:textId="77777777" w:rsidR="00F62AD3" w:rsidRPr="00F62AD3" w:rsidRDefault="00F62AD3" w:rsidP="00F62AD3">
            <w:pPr>
              <w:spacing w:before="120" w:after="120" w:line="240" w:lineRule="auto"/>
              <w:jc w:val="center"/>
              <w:rPr>
                <w:sz w:val="19"/>
                <w:szCs w:val="19"/>
                <w:lang w:val="en-US"/>
              </w:rPr>
            </w:pPr>
          </w:p>
        </w:tc>
        <w:tc>
          <w:tcPr>
            <w:tcW w:w="1842" w:type="dxa"/>
            <w:vAlign w:val="center"/>
          </w:tcPr>
          <w:p w14:paraId="4E55D9D2"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38.5 (32.3)</w:t>
            </w:r>
          </w:p>
        </w:tc>
        <w:tc>
          <w:tcPr>
            <w:tcW w:w="1991" w:type="dxa"/>
            <w:vAlign w:val="center"/>
          </w:tcPr>
          <w:p w14:paraId="4E9237D6"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39.0 (32.2)</w:t>
            </w:r>
          </w:p>
        </w:tc>
        <w:tc>
          <w:tcPr>
            <w:tcW w:w="1695" w:type="dxa"/>
            <w:vAlign w:val="center"/>
          </w:tcPr>
          <w:p w14:paraId="5A74F1D2"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29.9 (26.3)</w:t>
            </w:r>
          </w:p>
        </w:tc>
        <w:tc>
          <w:tcPr>
            <w:tcW w:w="1701" w:type="dxa"/>
            <w:vAlign w:val="center"/>
          </w:tcPr>
          <w:p w14:paraId="536DE067"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32.4 (27.2)</w:t>
            </w:r>
          </w:p>
        </w:tc>
        <w:tc>
          <w:tcPr>
            <w:tcW w:w="1701" w:type="dxa"/>
            <w:vAlign w:val="center"/>
          </w:tcPr>
          <w:p w14:paraId="3946A476"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36.6 (28.4)</w:t>
            </w:r>
          </w:p>
        </w:tc>
        <w:tc>
          <w:tcPr>
            <w:tcW w:w="1985" w:type="dxa"/>
            <w:vAlign w:val="center"/>
          </w:tcPr>
          <w:p w14:paraId="662022EC"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28.3 (25.5)</w:t>
            </w:r>
          </w:p>
        </w:tc>
      </w:tr>
      <w:tr w:rsidR="00F62AD3" w:rsidRPr="00F62AD3" w14:paraId="6ACF7AC1" w14:textId="77777777">
        <w:trPr>
          <w:trHeight w:val="222"/>
        </w:trPr>
        <w:tc>
          <w:tcPr>
            <w:tcW w:w="3402" w:type="dxa"/>
            <w:tcBorders>
              <w:bottom w:val="single" w:sz="4" w:space="0" w:color="auto"/>
            </w:tcBorders>
            <w:noWrap/>
            <w:vAlign w:val="center"/>
          </w:tcPr>
          <w:p w14:paraId="6F1C0CE9" w14:textId="77777777" w:rsidR="00F62AD3" w:rsidRPr="00F62AD3" w:rsidRDefault="00F62AD3" w:rsidP="00F62AD3">
            <w:pPr>
              <w:spacing w:before="120" w:after="120" w:line="240" w:lineRule="auto"/>
              <w:rPr>
                <w:sz w:val="19"/>
                <w:szCs w:val="19"/>
                <w:lang w:val="en-US"/>
              </w:rPr>
            </w:pPr>
            <w:r w:rsidRPr="00F62AD3">
              <w:rPr>
                <w:sz w:val="19"/>
                <w:szCs w:val="19"/>
                <w:lang w:val="en-US"/>
              </w:rPr>
              <w:t xml:space="preserve">AML transformation during follow-up, </w:t>
            </w:r>
            <w:r w:rsidRPr="00F62AD3">
              <w:rPr>
                <w:i/>
                <w:iCs/>
                <w:sz w:val="19"/>
                <w:szCs w:val="19"/>
                <w:lang w:val="en-US"/>
              </w:rPr>
              <w:t>n</w:t>
            </w:r>
            <w:r w:rsidRPr="00F62AD3">
              <w:rPr>
                <w:sz w:val="19"/>
                <w:szCs w:val="19"/>
                <w:lang w:val="en-US"/>
              </w:rPr>
              <w:t xml:space="preserve"> (%)</w:t>
            </w:r>
          </w:p>
        </w:tc>
        <w:tc>
          <w:tcPr>
            <w:tcW w:w="284" w:type="dxa"/>
            <w:tcBorders>
              <w:bottom w:val="single" w:sz="4" w:space="0" w:color="auto"/>
            </w:tcBorders>
            <w:noWrap/>
          </w:tcPr>
          <w:p w14:paraId="222833F8" w14:textId="77777777" w:rsidR="00F62AD3" w:rsidRPr="00F62AD3" w:rsidRDefault="00F62AD3" w:rsidP="00F62AD3">
            <w:pPr>
              <w:spacing w:before="120" w:after="120" w:line="240" w:lineRule="auto"/>
              <w:jc w:val="center"/>
              <w:rPr>
                <w:sz w:val="19"/>
                <w:szCs w:val="19"/>
                <w:lang w:val="en-US"/>
              </w:rPr>
            </w:pPr>
          </w:p>
        </w:tc>
        <w:tc>
          <w:tcPr>
            <w:tcW w:w="1842" w:type="dxa"/>
            <w:tcBorders>
              <w:bottom w:val="single" w:sz="4" w:space="0" w:color="auto"/>
            </w:tcBorders>
            <w:vAlign w:val="center"/>
          </w:tcPr>
          <w:p w14:paraId="7B5E652A"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67 (12.1)</w:t>
            </w:r>
          </w:p>
        </w:tc>
        <w:tc>
          <w:tcPr>
            <w:tcW w:w="1991" w:type="dxa"/>
            <w:tcBorders>
              <w:bottom w:val="single" w:sz="4" w:space="0" w:color="auto"/>
            </w:tcBorders>
            <w:vAlign w:val="center"/>
          </w:tcPr>
          <w:p w14:paraId="6F5C05AC"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46 (9.0)</w:t>
            </w:r>
          </w:p>
        </w:tc>
        <w:tc>
          <w:tcPr>
            <w:tcW w:w="1695" w:type="dxa"/>
            <w:tcBorders>
              <w:bottom w:val="single" w:sz="4" w:space="0" w:color="auto"/>
            </w:tcBorders>
            <w:vAlign w:val="center"/>
          </w:tcPr>
          <w:p w14:paraId="38529CC8" w14:textId="77777777" w:rsidR="00F62AD3" w:rsidRPr="00F62AD3" w:rsidRDefault="00F62AD3" w:rsidP="00F62AD3">
            <w:pPr>
              <w:spacing w:before="120" w:after="120" w:line="240" w:lineRule="auto"/>
              <w:jc w:val="center"/>
              <w:rPr>
                <w:sz w:val="19"/>
                <w:szCs w:val="19"/>
                <w:lang w:val="en-US"/>
              </w:rPr>
            </w:pPr>
            <w:r w:rsidRPr="00F62AD3">
              <w:rPr>
                <w:sz w:val="19"/>
                <w:szCs w:val="19"/>
                <w:lang w:val="en-US"/>
              </w:rPr>
              <w:t>10 (4.3)</w:t>
            </w:r>
          </w:p>
        </w:tc>
        <w:tc>
          <w:tcPr>
            <w:tcW w:w="1701" w:type="dxa"/>
            <w:tcBorders>
              <w:bottom w:val="single" w:sz="4" w:space="0" w:color="auto"/>
            </w:tcBorders>
            <w:vAlign w:val="center"/>
          </w:tcPr>
          <w:p w14:paraId="545583E4"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10 (2.9)</w:t>
            </w:r>
          </w:p>
        </w:tc>
        <w:tc>
          <w:tcPr>
            <w:tcW w:w="1701" w:type="dxa"/>
            <w:tcBorders>
              <w:bottom w:val="single" w:sz="4" w:space="0" w:color="auto"/>
            </w:tcBorders>
            <w:vAlign w:val="center"/>
          </w:tcPr>
          <w:p w14:paraId="6FB1967F"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0 (0.0)</w:t>
            </w:r>
          </w:p>
        </w:tc>
        <w:tc>
          <w:tcPr>
            <w:tcW w:w="1985" w:type="dxa"/>
            <w:tcBorders>
              <w:bottom w:val="single" w:sz="4" w:space="0" w:color="auto"/>
            </w:tcBorders>
            <w:vAlign w:val="center"/>
          </w:tcPr>
          <w:p w14:paraId="0AE769B8" w14:textId="77777777" w:rsidR="00F62AD3" w:rsidRPr="00F62AD3" w:rsidRDefault="00F62AD3" w:rsidP="00F62AD3">
            <w:pPr>
              <w:spacing w:before="120" w:after="120" w:line="240" w:lineRule="auto"/>
              <w:jc w:val="center"/>
              <w:rPr>
                <w:sz w:val="19"/>
                <w:szCs w:val="19"/>
                <w:lang w:val="en-US"/>
              </w:rPr>
            </w:pPr>
            <w:r w:rsidRPr="00F62AD3">
              <w:rPr>
                <w:color w:val="000000"/>
                <w:kern w:val="24"/>
                <w:sz w:val="19"/>
                <w:szCs w:val="19"/>
                <w:lang w:val="en-US"/>
              </w:rPr>
              <w:t>10 (5.8)</w:t>
            </w:r>
          </w:p>
        </w:tc>
      </w:tr>
    </w:tbl>
    <w:p w14:paraId="34A51FD2" w14:textId="77777777" w:rsidR="00F62AD3" w:rsidRPr="00F62AD3" w:rsidRDefault="00F62AD3" w:rsidP="00F62AD3">
      <w:pPr>
        <w:tabs>
          <w:tab w:val="center" w:pos="4507"/>
          <w:tab w:val="right" w:pos="9029"/>
        </w:tabs>
        <w:spacing w:after="120" w:line="240" w:lineRule="auto"/>
        <w:rPr>
          <w:sz w:val="18"/>
          <w:szCs w:val="18"/>
          <w:lang w:val="en-US"/>
        </w:rPr>
      </w:pPr>
      <w:proofErr w:type="spellStart"/>
      <w:r w:rsidRPr="00F62AD3">
        <w:rPr>
          <w:sz w:val="18"/>
          <w:szCs w:val="18"/>
          <w:vertAlign w:val="superscript"/>
          <w:lang w:val="en-US"/>
        </w:rPr>
        <w:t>a</w:t>
      </w:r>
      <w:r w:rsidRPr="00F62AD3">
        <w:rPr>
          <w:sz w:val="18"/>
          <w:szCs w:val="18"/>
          <w:lang w:val="en-US"/>
        </w:rPr>
        <w:t>Propensity</w:t>
      </w:r>
      <w:proofErr w:type="spellEnd"/>
      <w:r w:rsidRPr="00F62AD3">
        <w:rPr>
          <w:sz w:val="18"/>
          <w:szCs w:val="18"/>
          <w:lang w:val="en-US"/>
        </w:rPr>
        <w:t>-score matching was performed with 1:2 matching of non-TI to TI patients. Weights were assigned to the TI group to adjust for the fact that each non-TI patient was matched with two TI patients</w:t>
      </w:r>
    </w:p>
    <w:p w14:paraId="3DC28FBC" w14:textId="77777777" w:rsidR="00F62AD3" w:rsidRPr="00F62AD3" w:rsidRDefault="00F62AD3" w:rsidP="00F62AD3">
      <w:pPr>
        <w:tabs>
          <w:tab w:val="center" w:pos="4507"/>
          <w:tab w:val="right" w:pos="9029"/>
        </w:tabs>
        <w:spacing w:after="120" w:line="240" w:lineRule="auto"/>
        <w:rPr>
          <w:sz w:val="18"/>
          <w:szCs w:val="18"/>
          <w:vertAlign w:val="superscript"/>
          <w:lang w:val="en-US"/>
        </w:rPr>
      </w:pPr>
      <w:proofErr w:type="spellStart"/>
      <w:r w:rsidRPr="00F62AD3">
        <w:rPr>
          <w:sz w:val="18"/>
          <w:szCs w:val="18"/>
          <w:vertAlign w:val="superscript"/>
          <w:lang w:val="en-US"/>
        </w:rPr>
        <w:t>b</w:t>
      </w:r>
      <w:r w:rsidRPr="00F62AD3">
        <w:rPr>
          <w:sz w:val="18"/>
          <w:szCs w:val="18"/>
          <w:lang w:val="en-US"/>
        </w:rPr>
        <w:t>Age</w:t>
      </w:r>
      <w:proofErr w:type="spellEnd"/>
      <w:r w:rsidRPr="00F62AD3">
        <w:rPr>
          <w:sz w:val="18"/>
          <w:szCs w:val="18"/>
          <w:lang w:val="en-US"/>
        </w:rPr>
        <w:t xml:space="preserve"> at MF index date</w:t>
      </w:r>
    </w:p>
    <w:p w14:paraId="6C10EDF8" w14:textId="77777777" w:rsidR="00F62AD3" w:rsidRPr="00F62AD3" w:rsidRDefault="00F62AD3" w:rsidP="00F62AD3">
      <w:pPr>
        <w:tabs>
          <w:tab w:val="center" w:pos="4507"/>
          <w:tab w:val="right" w:pos="9029"/>
        </w:tabs>
        <w:spacing w:after="120" w:line="240" w:lineRule="auto"/>
        <w:rPr>
          <w:sz w:val="18"/>
          <w:lang w:val="en-US"/>
        </w:rPr>
      </w:pPr>
      <w:proofErr w:type="spellStart"/>
      <w:r w:rsidRPr="00F62AD3">
        <w:rPr>
          <w:sz w:val="18"/>
          <w:vertAlign w:val="superscript"/>
          <w:lang w:val="en-US"/>
        </w:rPr>
        <w:t>c</w:t>
      </w:r>
      <w:r w:rsidRPr="00F62AD3">
        <w:rPr>
          <w:sz w:val="18"/>
          <w:lang w:val="en-US"/>
        </w:rPr>
        <w:t>CCI</w:t>
      </w:r>
      <w:proofErr w:type="spellEnd"/>
      <w:r w:rsidRPr="00F62AD3">
        <w:rPr>
          <w:sz w:val="18"/>
          <w:lang w:val="en-US"/>
        </w:rPr>
        <w:t xml:space="preserve"> unadjusted for age</w:t>
      </w:r>
    </w:p>
    <w:p w14:paraId="608638A8" w14:textId="77777777" w:rsidR="00F62AD3" w:rsidRPr="00F62AD3" w:rsidRDefault="00F62AD3" w:rsidP="00F62AD3">
      <w:pPr>
        <w:tabs>
          <w:tab w:val="center" w:pos="4507"/>
          <w:tab w:val="right" w:pos="9029"/>
        </w:tabs>
        <w:spacing w:after="120" w:line="240" w:lineRule="auto"/>
        <w:rPr>
          <w:sz w:val="18"/>
          <w:lang w:val="en-US"/>
        </w:rPr>
      </w:pPr>
      <w:r w:rsidRPr="00F62AD3">
        <w:rPr>
          <w:sz w:val="18"/>
          <w:lang w:val="en-US"/>
        </w:rPr>
        <w:t>AML: acute myeloid leukemia; CCI: Charlson Comorbidity Index; ET: essential thrombocythemia; HCRU: healthcare resource utilization; MF: myelofibrosis; OS: overall survival; PV: polycythemia vera; SD: standard deviation; TI: transfusion-independent</w:t>
      </w:r>
      <w:r w:rsidRPr="00F62AD3">
        <w:rPr>
          <w:sz w:val="18"/>
          <w:lang w:val="en-US"/>
        </w:rPr>
        <w:br/>
      </w:r>
      <w:r w:rsidRPr="00F62AD3">
        <w:rPr>
          <w:sz w:val="18"/>
          <w:lang w:val="en-US"/>
        </w:rPr>
        <w:br/>
      </w:r>
    </w:p>
    <w:p w14:paraId="18385EB9" w14:textId="77777777" w:rsidR="00F62AD3" w:rsidRPr="00F62AD3" w:rsidRDefault="00F62AD3" w:rsidP="00F62AD3">
      <w:pPr>
        <w:pageBreakBefore/>
        <w:outlineLvl w:val="0"/>
        <w:rPr>
          <w:b/>
          <w:sz w:val="20"/>
          <w:lang w:val="en-US"/>
        </w:rPr>
        <w:sectPr w:rsidR="00F62AD3" w:rsidRPr="00F62AD3" w:rsidSect="00F62AD3">
          <w:headerReference w:type="default" r:id="rId11"/>
          <w:pgSz w:w="16838" w:h="11906" w:orient="landscape" w:code="9"/>
          <w:pgMar w:top="1440" w:right="1440" w:bottom="1440" w:left="1440" w:header="706" w:footer="706" w:gutter="0"/>
          <w:pgNumType w:start="0"/>
          <w:cols w:space="720"/>
          <w:docGrid w:linePitch="326"/>
        </w:sectPr>
      </w:pPr>
    </w:p>
    <w:p w14:paraId="4596A2F1" w14:textId="77777777" w:rsidR="00F62AD3" w:rsidRPr="00F62AD3" w:rsidRDefault="00F62AD3" w:rsidP="00F62AD3">
      <w:pPr>
        <w:pageBreakBefore/>
        <w:outlineLvl w:val="0"/>
        <w:rPr>
          <w:b/>
          <w:sz w:val="20"/>
          <w:lang w:val="en-US"/>
        </w:rPr>
      </w:pPr>
      <w:r w:rsidRPr="00F62AD3">
        <w:rPr>
          <w:b/>
          <w:sz w:val="20"/>
          <w:lang w:val="en-US"/>
        </w:rPr>
        <w:lastRenderedPageBreak/>
        <w:t xml:space="preserve">Fig. S1. </w:t>
      </w:r>
      <w:r w:rsidRPr="00F62AD3">
        <w:rPr>
          <w:bCs/>
          <w:sz w:val="20"/>
          <w:lang w:val="en-US"/>
        </w:rPr>
        <w:t>Study attrition.</w:t>
      </w:r>
    </w:p>
    <w:p w14:paraId="3EF5D92F" w14:textId="77777777" w:rsidR="00F62AD3" w:rsidRPr="00F62AD3" w:rsidRDefault="00F62AD3" w:rsidP="00F62AD3">
      <w:pPr>
        <w:rPr>
          <w:sz w:val="20"/>
          <w:lang w:val="en-US"/>
        </w:rPr>
      </w:pPr>
      <w:r w:rsidRPr="00F62AD3">
        <w:rPr>
          <w:noProof/>
          <w:sz w:val="20"/>
          <w:lang w:val="en-US"/>
        </w:rPr>
        <w:drawing>
          <wp:inline distT="0" distB="0" distL="0" distR="0" wp14:anchorId="3AA3CD05" wp14:editId="4BF2D25F">
            <wp:extent cx="5731510" cy="5142865"/>
            <wp:effectExtent l="0" t="0" r="2540" b="635"/>
            <wp:docPr id="1201429914" name="Picture 1" descr="A screenshot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29914" name="Picture 1" descr="A screenshot of a flowchart&#10;&#10;AI-generated content may be incorrect."/>
                    <pic:cNvPicPr/>
                  </pic:nvPicPr>
                  <pic:blipFill>
                    <a:blip r:embed="rId12"/>
                    <a:stretch>
                      <a:fillRect/>
                    </a:stretch>
                  </pic:blipFill>
                  <pic:spPr>
                    <a:xfrm>
                      <a:off x="0" y="0"/>
                      <a:ext cx="5731510" cy="5142865"/>
                    </a:xfrm>
                    <a:prstGeom prst="rect">
                      <a:avLst/>
                    </a:prstGeom>
                  </pic:spPr>
                </pic:pic>
              </a:graphicData>
            </a:graphic>
          </wp:inline>
        </w:drawing>
      </w:r>
    </w:p>
    <w:p w14:paraId="7899AD8C" w14:textId="77777777" w:rsidR="00F62AD3" w:rsidRPr="00F62AD3" w:rsidRDefault="00F62AD3" w:rsidP="00F62AD3">
      <w:pPr>
        <w:tabs>
          <w:tab w:val="center" w:pos="4507"/>
          <w:tab w:val="right" w:pos="9029"/>
        </w:tabs>
        <w:spacing w:after="120" w:line="240" w:lineRule="auto"/>
        <w:rPr>
          <w:sz w:val="18"/>
          <w:lang w:val="en-US"/>
        </w:rPr>
      </w:pPr>
      <w:proofErr w:type="spellStart"/>
      <w:r w:rsidRPr="00F62AD3">
        <w:rPr>
          <w:sz w:val="18"/>
          <w:lang w:val="en-US"/>
        </w:rPr>
        <w:t>allo</w:t>
      </w:r>
      <w:proofErr w:type="spellEnd"/>
      <w:r w:rsidRPr="00F62AD3">
        <w:rPr>
          <w:sz w:val="18"/>
          <w:lang w:val="en-US"/>
        </w:rPr>
        <w:t xml:space="preserve">-HSCT: allogeneic hematopoietic stem cell transplantation; AML: acute myeloid leukemia; ET: essential thrombocythemia; HCRU: healthcare resource utilization; </w:t>
      </w:r>
      <w:proofErr w:type="spellStart"/>
      <w:r w:rsidRPr="00F62AD3">
        <w:rPr>
          <w:sz w:val="18"/>
          <w:lang w:val="en-US"/>
        </w:rPr>
        <w:t>JAKi</w:t>
      </w:r>
      <w:proofErr w:type="spellEnd"/>
      <w:r w:rsidRPr="00F62AD3">
        <w:rPr>
          <w:sz w:val="18"/>
          <w:lang w:val="en-US"/>
        </w:rPr>
        <w:t>: Janus kinase inhibitor; MF: myelofibrosis; OS: overall survival; PV: polycythemia vera.</w:t>
      </w:r>
    </w:p>
    <w:p w14:paraId="3B96C3E4" w14:textId="77777777" w:rsidR="00F62AD3" w:rsidRDefault="00F62AD3"/>
    <w:p w14:paraId="0B0EF673" w14:textId="72C7109A" w:rsidR="00F62AD3" w:rsidRDefault="00F62AD3" w:rsidP="00F62AD3">
      <w:pPr>
        <w:pStyle w:val="Heading1"/>
      </w:pPr>
      <w:r>
        <w:lastRenderedPageBreak/>
        <w:t>Supplementary references</w:t>
      </w:r>
    </w:p>
    <w:p w14:paraId="5EE4FA91" w14:textId="2649E48A" w:rsidR="00107DCF" w:rsidRPr="00107DCF" w:rsidRDefault="00F62AD3" w:rsidP="00107DCF">
      <w:pPr>
        <w:pStyle w:val="EndNoteBibliography"/>
        <w:spacing w:after="360"/>
        <w:ind w:left="720" w:hanging="720"/>
      </w:pPr>
      <w:r>
        <w:fldChar w:fldCharType="begin"/>
      </w:r>
      <w:r>
        <w:instrText xml:space="preserve"> ADDIN EN.REFLIST </w:instrText>
      </w:r>
      <w:r>
        <w:fldChar w:fldCharType="separate"/>
      </w:r>
      <w:r w:rsidR="00107DCF" w:rsidRPr="00107DCF">
        <w:t>1.</w:t>
      </w:r>
      <w:r w:rsidR="00107DCF" w:rsidRPr="00107DCF">
        <w:tab/>
        <w:t xml:space="preserve">AOK Plus AOK Plus contribution, benefits and service. </w:t>
      </w:r>
      <w:hyperlink r:id="rId13" w:history="1">
        <w:r w:rsidR="00107DCF" w:rsidRPr="00107DCF">
          <w:rPr>
            <w:rStyle w:val="Hyperlink"/>
          </w:rPr>
          <w:t>https://www.health-insurance.de/statutory-health-insurance/list/245-AOK-PLUS.html</w:t>
        </w:r>
      </w:hyperlink>
      <w:r w:rsidR="00107DCF" w:rsidRPr="00107DCF">
        <w:t>. Accessed 6 May 2025</w:t>
      </w:r>
    </w:p>
    <w:p w14:paraId="7B71C6AA" w14:textId="77777777" w:rsidR="00107DCF" w:rsidRPr="00107DCF" w:rsidRDefault="00107DCF" w:rsidP="00107DCF">
      <w:pPr>
        <w:pStyle w:val="EndNoteBibliography"/>
        <w:spacing w:after="360"/>
        <w:ind w:left="720" w:hanging="720"/>
      </w:pPr>
      <w:r w:rsidRPr="00107DCF">
        <w:t>2.</w:t>
      </w:r>
      <w:r w:rsidRPr="00107DCF">
        <w:tab/>
        <w:t>Slowley A, Weinmann S, d'Estrube T, Phiri K, Karl FM, Gleißner E, Mueller S, Junker S, Göthert JR (2024) Myelofibrosis and anemia: A German claims data analysis to describe epidemiology and current treatment. Eur J Haematol 113 (5):704-715. doi:10.1111/ejh.14284</w:t>
      </w:r>
    </w:p>
    <w:p w14:paraId="497C9E81" w14:textId="32340512" w:rsidR="00107DCF" w:rsidRPr="00107DCF" w:rsidRDefault="00107DCF" w:rsidP="00107DCF">
      <w:pPr>
        <w:pStyle w:val="EndNoteBibliography"/>
        <w:ind w:left="720" w:hanging="720"/>
      </w:pPr>
      <w:r w:rsidRPr="00107DCF">
        <w:t>3.</w:t>
      </w:r>
      <w:r w:rsidRPr="00107DCF">
        <w:tab/>
        <w:t xml:space="preserve">Federal Ministry of Justice and Consumer Protection Book Ten of the Social Code - Social Administrative Procedures and Social Data Protection - (SGB X). Section 75 Transmission of Social Data for Research and Planning. </w:t>
      </w:r>
      <w:hyperlink r:id="rId14" w:history="1">
        <w:r w:rsidRPr="00107DCF">
          <w:rPr>
            <w:rStyle w:val="Hyperlink"/>
          </w:rPr>
          <w:t>https://www.gesetze-im-internet.de/sgb_10/__75.html</w:t>
        </w:r>
      </w:hyperlink>
      <w:r w:rsidRPr="00107DCF">
        <w:t>. Accessed 13 May 2025</w:t>
      </w:r>
    </w:p>
    <w:p w14:paraId="7D73446A" w14:textId="55842497" w:rsidR="00F62AD3" w:rsidRDefault="00F62AD3" w:rsidP="00F62AD3">
      <w:pPr>
        <w:pStyle w:val="Referencelist"/>
      </w:pPr>
      <w:r>
        <w:fldChar w:fldCharType="end"/>
      </w:r>
    </w:p>
    <w:sectPr w:rsidR="00F62AD3" w:rsidSect="006B3EA9">
      <w:pgSz w:w="11906" w:h="16838" w:code="9"/>
      <w:pgMar w:top="1440" w:right="1440" w:bottom="1440" w:left="1440" w:header="709" w:footer="709"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8B53A" w14:textId="77777777" w:rsidR="008C1A56" w:rsidRDefault="008C1A56">
      <w:pPr>
        <w:spacing w:after="0" w:line="240" w:lineRule="auto"/>
      </w:pPr>
      <w:r>
        <w:separator/>
      </w:r>
    </w:p>
  </w:endnote>
  <w:endnote w:type="continuationSeparator" w:id="0">
    <w:p w14:paraId="232E6B2B" w14:textId="77777777" w:rsidR="008C1A56" w:rsidRDefault="008C1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296C" w14:textId="40C60911" w:rsidR="00932502" w:rsidRPr="00932502" w:rsidRDefault="00932502">
    <w:pPr>
      <w:pStyle w:val="Footer"/>
      <w:rPr>
        <w:lang w:val="en-US"/>
      </w:rPr>
    </w:pPr>
    <w:r>
      <w:rPr>
        <w:lang w:val="en-US"/>
      </w:rPr>
      <w:tab/>
    </w:r>
    <w:r>
      <w:rPr>
        <w:lang w:val="en-US"/>
      </w:rPr>
      <w:tab/>
      <w:t xml:space="preserve">Page </w:t>
    </w:r>
    <w:r w:rsidRPr="00932502">
      <w:rPr>
        <w:lang w:val="en-US"/>
      </w:rPr>
      <w:fldChar w:fldCharType="begin"/>
    </w:r>
    <w:r w:rsidRPr="00932502">
      <w:rPr>
        <w:lang w:val="en-US"/>
      </w:rPr>
      <w:instrText xml:space="preserve"> PAGE   \* MERGEFORMAT </w:instrText>
    </w:r>
    <w:r w:rsidRPr="00932502">
      <w:rPr>
        <w:lang w:val="en-US"/>
      </w:rPr>
      <w:fldChar w:fldCharType="separate"/>
    </w:r>
    <w:r w:rsidRPr="00932502">
      <w:rPr>
        <w:noProof/>
        <w:lang w:val="en-US"/>
      </w:rPr>
      <w:t>1</w:t>
    </w:r>
    <w:r w:rsidRPr="00932502">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CFF37" w14:textId="77777777" w:rsidR="008C1A56" w:rsidRDefault="008C1A56">
      <w:pPr>
        <w:spacing w:after="0" w:line="240" w:lineRule="auto"/>
      </w:pPr>
      <w:r>
        <w:separator/>
      </w:r>
    </w:p>
  </w:footnote>
  <w:footnote w:type="continuationSeparator" w:id="0">
    <w:p w14:paraId="20C23C3E" w14:textId="77777777" w:rsidR="008C1A56" w:rsidRDefault="008C1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DB95" w14:textId="77777777" w:rsidR="00F62AD3" w:rsidRDefault="00F62AD3">
    <w:pPr>
      <w:pStyle w:val="Header"/>
      <w:pBdr>
        <w:bottom w:val="single" w:sz="4" w:space="1" w:color="auto"/>
      </w:pBdr>
      <w:tabs>
        <w:tab w:val="clear" w:pos="9029"/>
        <w:tab w:val="right" w:pos="13892"/>
      </w:tabs>
      <w:spacing w:after="120"/>
      <w:rPr>
        <w:sz w:val="10"/>
      </w:rPr>
    </w:pPr>
    <w:r>
      <w:t>Final draft</w:t>
    </w:r>
    <w:r>
      <w:tab/>
    </w:r>
    <w:r>
      <w:tab/>
      <w:t xml:space="preserve">German MF and </w:t>
    </w:r>
    <w:proofErr w:type="spellStart"/>
    <w:r>
      <w:t>anemia</w:t>
    </w:r>
    <w:proofErr w:type="spellEnd"/>
    <w:r>
      <w:t xml:space="preserve"> manuscript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C239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8C55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888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B8C2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905F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DAEE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F083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F866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6A7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84D5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023B3C"/>
    <w:multiLevelType w:val="hybridMultilevel"/>
    <w:tmpl w:val="69427D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4652D7E"/>
    <w:multiLevelType w:val="hybridMultilevel"/>
    <w:tmpl w:val="930CB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AA30E0"/>
    <w:multiLevelType w:val="hybridMultilevel"/>
    <w:tmpl w:val="ACF2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934D5"/>
    <w:multiLevelType w:val="hybridMultilevel"/>
    <w:tmpl w:val="11262F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F356CA"/>
    <w:multiLevelType w:val="singleLevel"/>
    <w:tmpl w:val="27DC7BBE"/>
    <w:lvl w:ilvl="0">
      <w:numFmt w:val="none"/>
      <w:pStyle w:val="bullet1"/>
      <w:lvlText w:val=""/>
      <w:lvlJc w:val="left"/>
      <w:pPr>
        <w:tabs>
          <w:tab w:val="num" w:pos="360"/>
        </w:tabs>
        <w:ind w:left="0" w:firstLine="0"/>
      </w:pPr>
      <w:rPr>
        <w:rFonts w:ascii="Symbol" w:hAnsi="Symbol" w:hint="default"/>
        <w:sz w:val="20"/>
      </w:rPr>
    </w:lvl>
  </w:abstractNum>
  <w:abstractNum w:abstractNumId="15" w15:restartNumberingAfterBreak="0">
    <w:nsid w:val="3DC15106"/>
    <w:multiLevelType w:val="singleLevel"/>
    <w:tmpl w:val="B114E9F4"/>
    <w:lvl w:ilvl="0">
      <w:numFmt w:val="bullet"/>
      <w:pStyle w:val="bullet2"/>
      <w:lvlText w:val="–"/>
      <w:lvlJc w:val="left"/>
      <w:pPr>
        <w:tabs>
          <w:tab w:val="num" w:pos="728"/>
        </w:tabs>
        <w:ind w:left="728" w:hanging="368"/>
      </w:pPr>
      <w:rPr>
        <w:rFonts w:ascii="Arial" w:hAnsi="Arial" w:hint="default"/>
      </w:rPr>
    </w:lvl>
  </w:abstractNum>
  <w:abstractNum w:abstractNumId="16" w15:restartNumberingAfterBreak="0">
    <w:nsid w:val="43D03775"/>
    <w:multiLevelType w:val="singleLevel"/>
    <w:tmpl w:val="A2843690"/>
    <w:lvl w:ilvl="0">
      <w:start w:val="1"/>
      <w:numFmt w:val="bullet"/>
      <w:lvlText w:val=""/>
      <w:lvlJc w:val="left"/>
      <w:pPr>
        <w:tabs>
          <w:tab w:val="num" w:pos="445"/>
        </w:tabs>
        <w:ind w:left="360" w:hanging="275"/>
      </w:pPr>
      <w:rPr>
        <w:rFonts w:ascii="Symbol" w:hAnsi="Symbol" w:hint="default"/>
        <w:sz w:val="20"/>
      </w:rPr>
    </w:lvl>
  </w:abstractNum>
  <w:num w:numId="1" w16cid:durableId="268896241">
    <w:abstractNumId w:val="10"/>
  </w:num>
  <w:num w:numId="2" w16cid:durableId="1233469945">
    <w:abstractNumId w:val="13"/>
  </w:num>
  <w:num w:numId="3" w16cid:durableId="34160197">
    <w:abstractNumId w:val="12"/>
  </w:num>
  <w:num w:numId="4" w16cid:durableId="1702441146">
    <w:abstractNumId w:val="11"/>
  </w:num>
  <w:num w:numId="5" w16cid:durableId="1071268196">
    <w:abstractNumId w:val="16"/>
  </w:num>
  <w:num w:numId="6" w16cid:durableId="2018382646">
    <w:abstractNumId w:val="14"/>
  </w:num>
  <w:num w:numId="7" w16cid:durableId="1431047940">
    <w:abstractNumId w:val="15"/>
  </w:num>
  <w:num w:numId="8" w16cid:durableId="1828547945">
    <w:abstractNumId w:val="9"/>
  </w:num>
  <w:num w:numId="9" w16cid:durableId="1957439911">
    <w:abstractNumId w:val="7"/>
  </w:num>
  <w:num w:numId="10" w16cid:durableId="181894466">
    <w:abstractNumId w:val="6"/>
  </w:num>
  <w:num w:numId="11" w16cid:durableId="915554138">
    <w:abstractNumId w:val="5"/>
  </w:num>
  <w:num w:numId="12" w16cid:durableId="667634077">
    <w:abstractNumId w:val="4"/>
  </w:num>
  <w:num w:numId="13" w16cid:durableId="1416392028">
    <w:abstractNumId w:val="8"/>
  </w:num>
  <w:num w:numId="14" w16cid:durableId="736245074">
    <w:abstractNumId w:val="3"/>
  </w:num>
  <w:num w:numId="15" w16cid:durableId="1277718433">
    <w:abstractNumId w:val="2"/>
  </w:num>
  <w:num w:numId="16" w16cid:durableId="1757750715">
    <w:abstractNumId w:val="1"/>
  </w:num>
  <w:num w:numId="17" w16cid:durableId="710148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als Hemat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1&lt;/LineSpacing&gt;&lt;SpaceAfter&gt;2&lt;/SpaceAfter&gt;&lt;HyperlinksEnabled&gt;0&lt;/HyperlinksEnabled&gt;&lt;HyperlinksVisible&gt;0&lt;/HyperlinksVisible&gt;&lt;EnableBibliographyCategories&gt;0&lt;/EnableBibliographyCategories&gt;&lt;/ENLayout&gt;"/>
    <w:docVar w:name="EN.Libraries" w:val="&lt;Libraries&gt;&lt;item db-id=&quot;ppwawsert9rfw7e0v945txs80waed0x9wtr9&quot;&gt;endnote-GSKMomelotinib@primeglobalpeople.com&lt;record-ids&gt;&lt;item&gt;14&lt;/item&gt;&lt;item&gt;45&lt;/item&gt;&lt;item&gt;46&lt;/item&gt;&lt;/record-ids&gt;&lt;/item&gt;&lt;/Libraries&gt;"/>
    <w:docVar w:name="EN.UseJSCitationFormat" w:val="False"/>
  </w:docVars>
  <w:rsids>
    <w:rsidRoot w:val="00F62AD3"/>
    <w:rsid w:val="0002179E"/>
    <w:rsid w:val="00036411"/>
    <w:rsid w:val="00093A81"/>
    <w:rsid w:val="000B48FD"/>
    <w:rsid w:val="000D0D04"/>
    <w:rsid w:val="00107DCF"/>
    <w:rsid w:val="0016650A"/>
    <w:rsid w:val="00175C16"/>
    <w:rsid w:val="00213633"/>
    <w:rsid w:val="00224C50"/>
    <w:rsid w:val="003431EF"/>
    <w:rsid w:val="00370B2F"/>
    <w:rsid w:val="003A59FE"/>
    <w:rsid w:val="003D67EA"/>
    <w:rsid w:val="00493AEA"/>
    <w:rsid w:val="00505837"/>
    <w:rsid w:val="00543DC2"/>
    <w:rsid w:val="005522F5"/>
    <w:rsid w:val="00554C81"/>
    <w:rsid w:val="00565B46"/>
    <w:rsid w:val="00646B0E"/>
    <w:rsid w:val="00674031"/>
    <w:rsid w:val="006B3EA9"/>
    <w:rsid w:val="00734520"/>
    <w:rsid w:val="00746A9C"/>
    <w:rsid w:val="00747873"/>
    <w:rsid w:val="008B2317"/>
    <w:rsid w:val="008C0D30"/>
    <w:rsid w:val="008C1A56"/>
    <w:rsid w:val="008D2D84"/>
    <w:rsid w:val="008D6A28"/>
    <w:rsid w:val="008F7BCE"/>
    <w:rsid w:val="00914B2C"/>
    <w:rsid w:val="00932502"/>
    <w:rsid w:val="009863AB"/>
    <w:rsid w:val="009A31FB"/>
    <w:rsid w:val="00B366A3"/>
    <w:rsid w:val="00B577B6"/>
    <w:rsid w:val="00C97F97"/>
    <w:rsid w:val="00CD7120"/>
    <w:rsid w:val="00D016D1"/>
    <w:rsid w:val="00D02F58"/>
    <w:rsid w:val="00D218DD"/>
    <w:rsid w:val="00D33FAB"/>
    <w:rsid w:val="00F124F5"/>
    <w:rsid w:val="00F22A47"/>
    <w:rsid w:val="00F62AD3"/>
    <w:rsid w:val="00F76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31C5"/>
  <w15:chartTrackingRefBased/>
  <w15:docId w15:val="{F0892BDE-460B-423B-B092-64B36208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AD3"/>
    <w:pPr>
      <w:spacing w:after="240" w:line="48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F62AD3"/>
    <w:pPr>
      <w:keepNext/>
      <w:pageBreakBefore/>
      <w:spacing w:after="120"/>
      <w:outlineLvl w:val="0"/>
    </w:pPr>
    <w:rPr>
      <w:b/>
      <w:kern w:val="28"/>
      <w:sz w:val="30"/>
    </w:rPr>
  </w:style>
  <w:style w:type="paragraph" w:styleId="Heading2">
    <w:name w:val="heading 2"/>
    <w:basedOn w:val="Normal"/>
    <w:next w:val="Normal"/>
    <w:link w:val="Heading2Char"/>
    <w:qFormat/>
    <w:rsid w:val="00F62AD3"/>
    <w:pPr>
      <w:keepNext/>
      <w:spacing w:before="240" w:after="60"/>
      <w:outlineLvl w:val="1"/>
    </w:pPr>
    <w:rPr>
      <w:b/>
    </w:rPr>
  </w:style>
  <w:style w:type="paragraph" w:styleId="Heading3">
    <w:name w:val="heading 3"/>
    <w:basedOn w:val="Normal"/>
    <w:next w:val="Normal"/>
    <w:link w:val="Heading3Char"/>
    <w:qFormat/>
    <w:rsid w:val="00F62AD3"/>
    <w:pPr>
      <w:keepNext/>
      <w:spacing w:before="240" w:after="60"/>
      <w:outlineLvl w:val="2"/>
    </w:pPr>
    <w:rPr>
      <w:b/>
      <w:i/>
    </w:rPr>
  </w:style>
  <w:style w:type="paragraph" w:styleId="Heading4">
    <w:name w:val="heading 4"/>
    <w:basedOn w:val="Normal"/>
    <w:next w:val="Normal"/>
    <w:link w:val="Heading4Char"/>
    <w:qFormat/>
    <w:rsid w:val="00F62AD3"/>
    <w:pPr>
      <w:keepNext/>
      <w:spacing w:before="240"/>
      <w:outlineLvl w:val="3"/>
    </w:pPr>
    <w:rPr>
      <w:i/>
    </w:rPr>
  </w:style>
  <w:style w:type="paragraph" w:styleId="Heading5">
    <w:name w:val="heading 5"/>
    <w:basedOn w:val="Normal"/>
    <w:next w:val="Normal"/>
    <w:link w:val="Heading5Char"/>
    <w:uiPriority w:val="9"/>
    <w:semiHidden/>
    <w:unhideWhenUsed/>
    <w:qFormat/>
    <w:rsid w:val="00F62A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2AD3"/>
    <w:rPr>
      <w:rFonts w:ascii="Arial" w:eastAsia="Times New Roman" w:hAnsi="Arial" w:cs="Times New Roman"/>
      <w:b/>
      <w:kern w:val="28"/>
      <w:sz w:val="30"/>
      <w:szCs w:val="20"/>
      <w14:ligatures w14:val="none"/>
    </w:rPr>
  </w:style>
  <w:style w:type="character" w:customStyle="1" w:styleId="Heading2Char">
    <w:name w:val="Heading 2 Char"/>
    <w:basedOn w:val="DefaultParagraphFont"/>
    <w:link w:val="Heading2"/>
    <w:rsid w:val="00F62AD3"/>
    <w:rPr>
      <w:rFonts w:ascii="Arial" w:eastAsia="Times New Roman" w:hAnsi="Arial" w:cs="Times New Roman"/>
      <w:b/>
      <w:kern w:val="0"/>
      <w:szCs w:val="20"/>
      <w14:ligatures w14:val="none"/>
    </w:rPr>
  </w:style>
  <w:style w:type="character" w:customStyle="1" w:styleId="Heading3Char">
    <w:name w:val="Heading 3 Char"/>
    <w:basedOn w:val="DefaultParagraphFont"/>
    <w:link w:val="Heading3"/>
    <w:rsid w:val="00F62AD3"/>
    <w:rPr>
      <w:rFonts w:ascii="Arial" w:eastAsia="Times New Roman" w:hAnsi="Arial" w:cs="Times New Roman"/>
      <w:b/>
      <w:i/>
      <w:kern w:val="0"/>
      <w:szCs w:val="20"/>
      <w14:ligatures w14:val="none"/>
    </w:rPr>
  </w:style>
  <w:style w:type="character" w:customStyle="1" w:styleId="Heading4Char">
    <w:name w:val="Heading 4 Char"/>
    <w:basedOn w:val="DefaultParagraphFont"/>
    <w:link w:val="Heading4"/>
    <w:rsid w:val="00F62AD3"/>
    <w:rPr>
      <w:rFonts w:ascii="Arial" w:eastAsia="Times New Roman" w:hAnsi="Arial" w:cs="Times New Roman"/>
      <w:i/>
      <w:kern w:val="0"/>
      <w:szCs w:val="20"/>
      <w14:ligatures w14:val="none"/>
    </w:rPr>
  </w:style>
  <w:style w:type="character" w:customStyle="1" w:styleId="Heading5Char">
    <w:name w:val="Heading 5 Char"/>
    <w:basedOn w:val="DefaultParagraphFont"/>
    <w:link w:val="Heading5"/>
    <w:uiPriority w:val="9"/>
    <w:semiHidden/>
    <w:rsid w:val="00F62A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AD3"/>
    <w:rPr>
      <w:rFonts w:eastAsiaTheme="majorEastAsia" w:cstheme="majorBidi"/>
      <w:color w:val="272727" w:themeColor="text1" w:themeTint="D8"/>
    </w:rPr>
  </w:style>
  <w:style w:type="paragraph" w:styleId="Title">
    <w:name w:val="Title"/>
    <w:basedOn w:val="Normal"/>
    <w:next w:val="Normal"/>
    <w:link w:val="TitleChar"/>
    <w:qFormat/>
    <w:rsid w:val="00F62AD3"/>
    <w:pPr>
      <w:jc w:val="center"/>
      <w:outlineLvl w:val="0"/>
    </w:pPr>
    <w:rPr>
      <w:b/>
      <w:kern w:val="28"/>
      <w:sz w:val="32"/>
    </w:rPr>
  </w:style>
  <w:style w:type="character" w:customStyle="1" w:styleId="TitleChar">
    <w:name w:val="Title Char"/>
    <w:basedOn w:val="DefaultParagraphFont"/>
    <w:link w:val="Title"/>
    <w:rsid w:val="00F62AD3"/>
    <w:rPr>
      <w:rFonts w:ascii="Arial" w:eastAsia="Times New Roman" w:hAnsi="Arial" w:cs="Times New Roman"/>
      <w:b/>
      <w:kern w:val="28"/>
      <w:sz w:val="32"/>
      <w:szCs w:val="20"/>
      <w14:ligatures w14:val="none"/>
    </w:rPr>
  </w:style>
  <w:style w:type="paragraph" w:styleId="Subtitle">
    <w:name w:val="Subtitle"/>
    <w:basedOn w:val="Normal"/>
    <w:next w:val="Normal"/>
    <w:link w:val="SubtitleChar"/>
    <w:uiPriority w:val="11"/>
    <w:qFormat/>
    <w:rsid w:val="00F62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AD3"/>
    <w:pPr>
      <w:spacing w:before="160"/>
      <w:jc w:val="center"/>
    </w:pPr>
    <w:rPr>
      <w:i/>
      <w:iCs/>
      <w:color w:val="404040" w:themeColor="text1" w:themeTint="BF"/>
    </w:rPr>
  </w:style>
  <w:style w:type="character" w:customStyle="1" w:styleId="QuoteChar">
    <w:name w:val="Quote Char"/>
    <w:basedOn w:val="DefaultParagraphFont"/>
    <w:link w:val="Quote"/>
    <w:uiPriority w:val="29"/>
    <w:rsid w:val="00F62AD3"/>
    <w:rPr>
      <w:i/>
      <w:iCs/>
      <w:color w:val="404040" w:themeColor="text1" w:themeTint="BF"/>
    </w:rPr>
  </w:style>
  <w:style w:type="paragraph" w:styleId="ListParagraph">
    <w:name w:val="List Paragraph"/>
    <w:basedOn w:val="Normal"/>
    <w:uiPriority w:val="34"/>
    <w:qFormat/>
    <w:rsid w:val="00F62AD3"/>
    <w:pPr>
      <w:ind w:left="720"/>
      <w:contextualSpacing/>
    </w:pPr>
  </w:style>
  <w:style w:type="character" w:styleId="IntenseEmphasis">
    <w:name w:val="Intense Emphasis"/>
    <w:basedOn w:val="DefaultParagraphFont"/>
    <w:uiPriority w:val="21"/>
    <w:qFormat/>
    <w:rsid w:val="00F62AD3"/>
    <w:rPr>
      <w:i/>
      <w:iCs/>
      <w:color w:val="0F4761" w:themeColor="accent1" w:themeShade="BF"/>
    </w:rPr>
  </w:style>
  <w:style w:type="paragraph" w:styleId="IntenseQuote">
    <w:name w:val="Intense Quote"/>
    <w:basedOn w:val="Normal"/>
    <w:next w:val="Normal"/>
    <w:link w:val="IntenseQuoteChar"/>
    <w:uiPriority w:val="30"/>
    <w:qFormat/>
    <w:rsid w:val="00F62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AD3"/>
    <w:rPr>
      <w:i/>
      <w:iCs/>
      <w:color w:val="0F4761" w:themeColor="accent1" w:themeShade="BF"/>
    </w:rPr>
  </w:style>
  <w:style w:type="character" w:styleId="IntenseReference">
    <w:name w:val="Intense Reference"/>
    <w:basedOn w:val="DefaultParagraphFont"/>
    <w:uiPriority w:val="32"/>
    <w:qFormat/>
    <w:rsid w:val="00F62AD3"/>
    <w:rPr>
      <w:b/>
      <w:bCs/>
      <w:smallCaps/>
      <w:color w:val="0F4761" w:themeColor="accent1" w:themeShade="BF"/>
      <w:spacing w:val="5"/>
    </w:rPr>
  </w:style>
  <w:style w:type="paragraph" w:styleId="Header">
    <w:name w:val="header"/>
    <w:basedOn w:val="Normal"/>
    <w:link w:val="HeaderChar"/>
    <w:rsid w:val="00F62AD3"/>
    <w:pPr>
      <w:tabs>
        <w:tab w:val="center" w:pos="4507"/>
        <w:tab w:val="right" w:pos="9029"/>
      </w:tabs>
      <w:spacing w:line="240" w:lineRule="auto"/>
    </w:pPr>
    <w:rPr>
      <w:sz w:val="18"/>
    </w:rPr>
  </w:style>
  <w:style w:type="character" w:customStyle="1" w:styleId="HeaderChar">
    <w:name w:val="Header Char"/>
    <w:basedOn w:val="DefaultParagraphFont"/>
    <w:link w:val="Header"/>
    <w:rsid w:val="00F62AD3"/>
    <w:rPr>
      <w:rFonts w:ascii="Arial" w:eastAsia="Times New Roman" w:hAnsi="Arial" w:cs="Times New Roman"/>
      <w:kern w:val="0"/>
      <w:sz w:val="18"/>
      <w:szCs w:val="20"/>
      <w14:ligatures w14:val="none"/>
    </w:rPr>
  </w:style>
  <w:style w:type="paragraph" w:customStyle="1" w:styleId="EndNoteBibliographyTitle">
    <w:name w:val="EndNote Bibliography Title"/>
    <w:basedOn w:val="Normal"/>
    <w:link w:val="EndNoteBibliographyTitleChar"/>
    <w:rsid w:val="00F62AD3"/>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F62AD3"/>
    <w:rPr>
      <w:rFonts w:ascii="Arial" w:eastAsia="Times New Roman" w:hAnsi="Arial" w:cs="Arial"/>
      <w:noProof/>
      <w:kern w:val="0"/>
      <w:szCs w:val="20"/>
      <w:lang w:val="en-US"/>
      <w14:ligatures w14:val="none"/>
    </w:rPr>
  </w:style>
  <w:style w:type="paragraph" w:customStyle="1" w:styleId="EndNoteBibliography">
    <w:name w:val="EndNote Bibliography"/>
    <w:basedOn w:val="Normal"/>
    <w:link w:val="EndNoteBibliographyChar"/>
    <w:rsid w:val="00F62AD3"/>
    <w:pPr>
      <w:spacing w:line="360" w:lineRule="auto"/>
    </w:pPr>
    <w:rPr>
      <w:rFonts w:cs="Arial"/>
      <w:noProof/>
      <w:lang w:val="en-US"/>
    </w:rPr>
  </w:style>
  <w:style w:type="character" w:customStyle="1" w:styleId="EndNoteBibliographyChar">
    <w:name w:val="EndNote Bibliography Char"/>
    <w:basedOn w:val="DefaultParagraphFont"/>
    <w:link w:val="EndNoteBibliography"/>
    <w:rsid w:val="00F62AD3"/>
    <w:rPr>
      <w:rFonts w:ascii="Arial" w:eastAsia="Times New Roman" w:hAnsi="Arial" w:cs="Arial"/>
      <w:noProof/>
      <w:kern w:val="0"/>
      <w:szCs w:val="20"/>
      <w:lang w:val="en-US"/>
      <w14:ligatures w14:val="none"/>
    </w:rPr>
  </w:style>
  <w:style w:type="character" w:styleId="Hyperlink">
    <w:name w:val="Hyperlink"/>
    <w:unhideWhenUsed/>
    <w:rsid w:val="00F62AD3"/>
    <w:rPr>
      <w:color w:val="0563C1"/>
      <w:u w:val="single"/>
    </w:rPr>
  </w:style>
  <w:style w:type="character" w:styleId="UnresolvedMention">
    <w:name w:val="Unresolved Mention"/>
    <w:uiPriority w:val="99"/>
    <w:semiHidden/>
    <w:unhideWhenUsed/>
    <w:rsid w:val="00F62AD3"/>
    <w:rPr>
      <w:color w:val="605E5C"/>
      <w:shd w:val="clear" w:color="auto" w:fill="E1DFDD"/>
    </w:rPr>
  </w:style>
  <w:style w:type="paragraph" w:styleId="Footer">
    <w:name w:val="footer"/>
    <w:basedOn w:val="Normal"/>
    <w:link w:val="FooterChar"/>
    <w:rsid w:val="00F62AD3"/>
    <w:pPr>
      <w:tabs>
        <w:tab w:val="center" w:pos="4507"/>
        <w:tab w:val="right" w:pos="9029"/>
      </w:tabs>
    </w:pPr>
    <w:rPr>
      <w:sz w:val="18"/>
    </w:rPr>
  </w:style>
  <w:style w:type="character" w:customStyle="1" w:styleId="FooterChar">
    <w:name w:val="Footer Char"/>
    <w:basedOn w:val="DefaultParagraphFont"/>
    <w:link w:val="Footer"/>
    <w:rsid w:val="00F62AD3"/>
    <w:rPr>
      <w:rFonts w:ascii="Arial" w:eastAsia="Times New Roman" w:hAnsi="Arial" w:cs="Times New Roman"/>
      <w:kern w:val="0"/>
      <w:sz w:val="18"/>
      <w:szCs w:val="20"/>
      <w14:ligatures w14:val="none"/>
    </w:rPr>
  </w:style>
  <w:style w:type="character" w:styleId="PageNumber">
    <w:name w:val="page number"/>
    <w:rsid w:val="00F62AD3"/>
    <w:rPr>
      <w:rFonts w:ascii="Arial" w:hAnsi="Arial"/>
      <w:color w:val="auto"/>
      <w:sz w:val="18"/>
    </w:rPr>
  </w:style>
  <w:style w:type="paragraph" w:customStyle="1" w:styleId="bullet1">
    <w:name w:val="bullet 1"/>
    <w:basedOn w:val="Normal"/>
    <w:rsid w:val="00F62AD3"/>
    <w:pPr>
      <w:widowControl w:val="0"/>
      <w:numPr>
        <w:numId w:val="6"/>
      </w:numPr>
      <w:tabs>
        <w:tab w:val="clear" w:pos="360"/>
      </w:tabs>
      <w:ind w:left="284" w:hanging="284"/>
    </w:pPr>
  </w:style>
  <w:style w:type="paragraph" w:customStyle="1" w:styleId="Tabletext">
    <w:name w:val="Table text"/>
    <w:basedOn w:val="Normal"/>
    <w:rsid w:val="00F62AD3"/>
    <w:pPr>
      <w:spacing w:before="120" w:after="120" w:line="240" w:lineRule="auto"/>
    </w:pPr>
    <w:rPr>
      <w:sz w:val="20"/>
    </w:rPr>
  </w:style>
  <w:style w:type="paragraph" w:customStyle="1" w:styleId="Figurelegend">
    <w:name w:val="Figure legend"/>
    <w:basedOn w:val="Normal"/>
    <w:next w:val="Normal"/>
    <w:link w:val="FigurelegendChar"/>
    <w:rsid w:val="00F62AD3"/>
    <w:pPr>
      <w:pageBreakBefore/>
      <w:outlineLvl w:val="0"/>
    </w:pPr>
    <w:rPr>
      <w:b/>
    </w:rPr>
  </w:style>
  <w:style w:type="paragraph" w:customStyle="1" w:styleId="bullet2">
    <w:name w:val="bullet2"/>
    <w:basedOn w:val="bullet1"/>
    <w:rsid w:val="00F62AD3"/>
    <w:pPr>
      <w:numPr>
        <w:numId w:val="7"/>
      </w:numPr>
      <w:tabs>
        <w:tab w:val="clear" w:pos="728"/>
      </w:tabs>
      <w:ind w:left="284" w:hanging="284"/>
    </w:pPr>
  </w:style>
  <w:style w:type="paragraph" w:styleId="BalloonText">
    <w:name w:val="Balloon Text"/>
    <w:basedOn w:val="Normal"/>
    <w:link w:val="BalloonTextChar"/>
    <w:semiHidden/>
    <w:rsid w:val="00F62AD3"/>
    <w:rPr>
      <w:rFonts w:ascii="Tahoma" w:hAnsi="Tahoma" w:cs="Tahoma"/>
      <w:sz w:val="16"/>
      <w:szCs w:val="16"/>
    </w:rPr>
  </w:style>
  <w:style w:type="character" w:customStyle="1" w:styleId="BalloonTextChar">
    <w:name w:val="Balloon Text Char"/>
    <w:basedOn w:val="DefaultParagraphFont"/>
    <w:link w:val="BalloonText"/>
    <w:semiHidden/>
    <w:rsid w:val="00F62AD3"/>
    <w:rPr>
      <w:rFonts w:ascii="Tahoma" w:eastAsia="Times New Roman" w:hAnsi="Tahoma" w:cs="Tahoma"/>
      <w:kern w:val="0"/>
      <w:sz w:val="16"/>
      <w:szCs w:val="16"/>
      <w14:ligatures w14:val="none"/>
    </w:rPr>
  </w:style>
  <w:style w:type="paragraph" w:customStyle="1" w:styleId="Referencelist">
    <w:name w:val="Reference list"/>
    <w:basedOn w:val="Normal"/>
    <w:rsid w:val="00F62AD3"/>
  </w:style>
  <w:style w:type="paragraph" w:customStyle="1" w:styleId="Cover">
    <w:name w:val="Cover"/>
    <w:basedOn w:val="Normal"/>
    <w:rsid w:val="00F62AD3"/>
    <w:pPr>
      <w:spacing w:before="120" w:after="120" w:line="240" w:lineRule="auto"/>
    </w:pPr>
    <w:rPr>
      <w:b/>
    </w:rPr>
  </w:style>
  <w:style w:type="paragraph" w:styleId="NormalIndent">
    <w:name w:val="Normal Indent"/>
    <w:basedOn w:val="Normal"/>
    <w:rsid w:val="00F62AD3"/>
    <w:pPr>
      <w:ind w:firstLine="450"/>
    </w:pPr>
  </w:style>
  <w:style w:type="table" w:styleId="TableGrid">
    <w:name w:val="Table Grid"/>
    <w:basedOn w:val="TableNormal"/>
    <w:rsid w:val="00F62AD3"/>
    <w:pPr>
      <w:spacing w:after="240" w:line="48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Tabletext"/>
    <w:next w:val="Normal"/>
    <w:rsid w:val="00F62AD3"/>
    <w:rPr>
      <w:b/>
    </w:rPr>
  </w:style>
  <w:style w:type="paragraph" w:customStyle="1" w:styleId="Authortext">
    <w:name w:val="Author text"/>
    <w:basedOn w:val="Normal"/>
    <w:next w:val="Normal"/>
    <w:rsid w:val="00F62AD3"/>
    <w:rPr>
      <w:b/>
    </w:rPr>
  </w:style>
  <w:style w:type="paragraph" w:customStyle="1" w:styleId="Authoraffiliation">
    <w:name w:val="Author affiliation"/>
    <w:basedOn w:val="Normal"/>
    <w:rsid w:val="00F62AD3"/>
    <w:rPr>
      <w:i/>
    </w:rPr>
  </w:style>
  <w:style w:type="character" w:styleId="Emphasis">
    <w:name w:val="Emphasis"/>
    <w:qFormat/>
    <w:rsid w:val="00F62AD3"/>
    <w:rPr>
      <w:b/>
      <w:bCs/>
      <w:i w:val="0"/>
      <w:iCs w:val="0"/>
    </w:rPr>
  </w:style>
  <w:style w:type="paragraph" w:customStyle="1" w:styleId="Figurefooter">
    <w:name w:val="Figure footer"/>
    <w:basedOn w:val="Footer"/>
    <w:next w:val="Normal"/>
    <w:qFormat/>
    <w:rsid w:val="00F62AD3"/>
    <w:pPr>
      <w:spacing w:after="120" w:line="240" w:lineRule="auto"/>
    </w:pPr>
  </w:style>
  <w:style w:type="paragraph" w:customStyle="1" w:styleId="Tablefooter">
    <w:name w:val="Table footer"/>
    <w:basedOn w:val="Figurefooter"/>
    <w:next w:val="Normal"/>
    <w:qFormat/>
    <w:rsid w:val="00F62AD3"/>
  </w:style>
  <w:style w:type="paragraph" w:customStyle="1" w:styleId="Tablelegend">
    <w:name w:val="Table legend"/>
    <w:basedOn w:val="Figurelegend"/>
    <w:next w:val="Normal"/>
    <w:link w:val="TablelegendChar"/>
    <w:qFormat/>
    <w:rsid w:val="00F62AD3"/>
  </w:style>
  <w:style w:type="paragraph" w:customStyle="1" w:styleId="Normalbold">
    <w:name w:val="Normal bold"/>
    <w:basedOn w:val="Normal"/>
    <w:next w:val="Normal"/>
    <w:qFormat/>
    <w:rsid w:val="00F62AD3"/>
    <w:rPr>
      <w:b/>
    </w:rPr>
  </w:style>
  <w:style w:type="character" w:customStyle="1" w:styleId="FigurelegendChar">
    <w:name w:val="Figure legend Char"/>
    <w:link w:val="Figurelegend"/>
    <w:rsid w:val="00F62AD3"/>
    <w:rPr>
      <w:rFonts w:ascii="Arial" w:eastAsia="Times New Roman" w:hAnsi="Arial" w:cs="Times New Roman"/>
      <w:b/>
      <w:kern w:val="0"/>
      <w:szCs w:val="20"/>
      <w14:ligatures w14:val="none"/>
    </w:rPr>
  </w:style>
  <w:style w:type="character" w:customStyle="1" w:styleId="TablelegendChar">
    <w:name w:val="Table legend Char"/>
    <w:link w:val="Tablelegend"/>
    <w:rsid w:val="00F62AD3"/>
    <w:rPr>
      <w:rFonts w:ascii="Arial" w:eastAsia="Times New Roman" w:hAnsi="Arial" w:cs="Times New Roman"/>
      <w:b/>
      <w:kern w:val="0"/>
      <w:szCs w:val="20"/>
      <w14:ligatures w14:val="none"/>
    </w:rPr>
  </w:style>
  <w:style w:type="paragraph" w:styleId="Revision">
    <w:name w:val="Revision"/>
    <w:hidden/>
    <w:uiPriority w:val="99"/>
    <w:semiHidden/>
    <w:rsid w:val="0016650A"/>
    <w:pPr>
      <w:spacing w:after="0" w:line="240" w:lineRule="auto"/>
    </w:pPr>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insurance.de/statutory-health-insurance/list/245-AOK-PLU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esetze-im-internet.de/sgb_10/__7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Ward\Prime%20Medica%20Ltd\Prime%20Group%20-%20Prime%20Template%20Library\Prime%20General\Editorial\Manuscri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9c97ab-5c56-4d0f-b378-ddc668906f2a">
      <Terms xmlns="http://schemas.microsoft.com/office/infopath/2007/PartnerControls"/>
    </lcf76f155ced4ddcb4097134ff3c332f>
    <TaxCatchAll xmlns="816b058e-8bee-4f2a-9827-d1f6923075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1698AEB944D744970BAE626FBA8C73" ma:contentTypeVersion="18" ma:contentTypeDescription="Create a new document." ma:contentTypeScope="" ma:versionID="71f225e12d21b3ed3aa80468f9b8d4ce">
  <xsd:schema xmlns:xsd="http://www.w3.org/2001/XMLSchema" xmlns:xs="http://www.w3.org/2001/XMLSchema" xmlns:p="http://schemas.microsoft.com/office/2006/metadata/properties" xmlns:ns2="a69c97ab-5c56-4d0f-b378-ddc668906f2a" xmlns:ns3="816b058e-8bee-4f2a-9827-d1f692307545" targetNamespace="http://schemas.microsoft.com/office/2006/metadata/properties" ma:root="true" ma:fieldsID="d09bcae9f694f583aef94784e2095638" ns2:_="" ns3:_="">
    <xsd:import namespace="a69c97ab-5c56-4d0f-b378-ddc668906f2a"/>
    <xsd:import namespace="816b058e-8bee-4f2a-9827-d1f6923075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c97ab-5c56-4d0f-b378-ddc668906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e078bdb-18a8-4b38-96d3-955d15450c4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6b058e-8bee-4f2a-9827-d1f6923075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c0f163c-ca8a-41fd-98e5-f0c2f80fc28c}" ma:internalName="TaxCatchAll" ma:showField="CatchAllData" ma:web="816b058e-8bee-4f2a-9827-d1f69230754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7A52C5-CE7B-4BB8-BAC6-0E52AF05E223}">
  <ds:schemaRefs>
    <ds:schemaRef ds:uri="http://schemas.microsoft.com/sharepoint/v3/contenttype/forms"/>
  </ds:schemaRefs>
</ds:datastoreItem>
</file>

<file path=customXml/itemProps2.xml><?xml version="1.0" encoding="utf-8"?>
<ds:datastoreItem xmlns:ds="http://schemas.openxmlformats.org/officeDocument/2006/customXml" ds:itemID="{0C29EC55-80B1-4EAD-A4BD-9A580929FDD7}">
  <ds:schemaRefs>
    <ds:schemaRef ds:uri="http://schemas.microsoft.com/office/2006/metadata/properties"/>
    <ds:schemaRef ds:uri="http://schemas.microsoft.com/office/infopath/2007/PartnerControls"/>
    <ds:schemaRef ds:uri="a69c97ab-5c56-4d0f-b378-ddc668906f2a"/>
    <ds:schemaRef ds:uri="816b058e-8bee-4f2a-9827-d1f692307545"/>
  </ds:schemaRefs>
</ds:datastoreItem>
</file>

<file path=customXml/itemProps3.xml><?xml version="1.0" encoding="utf-8"?>
<ds:datastoreItem xmlns:ds="http://schemas.openxmlformats.org/officeDocument/2006/customXml" ds:itemID="{3638C168-F429-4A62-B8E2-89E2767D2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c97ab-5c56-4d0f-b378-ddc668906f2a"/>
    <ds:schemaRef ds:uri="816b058e-8bee-4f2a-9827-d1f692307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Manuscript</Template>
  <TotalTime>1</TotalTime>
  <Pages>13</Pages>
  <Words>2695</Words>
  <Characters>15849</Characters>
  <Application>Microsoft Office Word</Application>
  <DocSecurity>0</DocSecurity>
  <Lines>587</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Ward</dc:creator>
  <cp:keywords/>
  <dc:description/>
  <cp:lastModifiedBy>Lisa Tatler</cp:lastModifiedBy>
  <cp:revision>3</cp:revision>
  <dcterms:created xsi:type="dcterms:W3CDTF">2026-04-14T14:27:00Z</dcterms:created>
  <dcterms:modified xsi:type="dcterms:W3CDTF">2026-04-14T14:27:00Z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0x010100F71698AEB944D744970BAE626FBA8C73</vt:lpwstr>
  </property>
  <property fmtid="{D5CDD505-2E9C-101B-9397-08002B2CF9AE}" pid="3" name="MediaServiceImageTags">
    <vt:lpwstr/>
  </property>
  <property fmtid="{D5CDD505-2E9C-101B-9397-08002B2CF9AE}" pid="4" name="docLang">
    <vt:lpwstr>en</vt:lpwstr>
  </property>
</Properties>
</file>