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35DE8" w14:textId="078D7E0C" w:rsidR="004D7AF7" w:rsidRPr="00FE4EDA" w:rsidRDefault="004D7AF7" w:rsidP="004D7AF7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FE4EDA">
        <w:rPr>
          <w:rFonts w:ascii="Times New Roman" w:hAnsi="Times New Roman" w:cs="Times New Roman"/>
          <w:b/>
          <w:bCs/>
          <w:sz w:val="20"/>
          <w:szCs w:val="20"/>
        </w:rPr>
        <w:t>Supplementary Table 1 CTCAE grading for taste changes, and AEs associated with these changes reported in MonumenTAL-1</w:t>
      </w:r>
    </w:p>
    <w:tbl>
      <w:tblPr>
        <w:tblStyle w:val="Tabel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9"/>
        <w:gridCol w:w="2789"/>
        <w:gridCol w:w="2790"/>
        <w:gridCol w:w="2790"/>
        <w:gridCol w:w="2790"/>
      </w:tblGrid>
      <w:tr w:rsidR="004D7AF7" w:rsidRPr="00FE4EDA" w14:paraId="54E3D0F7" w14:textId="77777777" w:rsidTr="00E6232F">
        <w:tc>
          <w:tcPr>
            <w:tcW w:w="2789" w:type="dxa"/>
            <w:shd w:val="clear" w:color="auto" w:fill="auto"/>
          </w:tcPr>
          <w:p w14:paraId="1C362F3A" w14:textId="77777777" w:rsidR="004D7AF7" w:rsidRPr="00FE4EDA" w:rsidRDefault="004D7AF7" w:rsidP="00E623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Type of event</w:t>
            </w:r>
          </w:p>
        </w:tc>
        <w:tc>
          <w:tcPr>
            <w:tcW w:w="2789" w:type="dxa"/>
            <w:shd w:val="clear" w:color="auto" w:fill="auto"/>
          </w:tcPr>
          <w:p w14:paraId="65BE8269" w14:textId="77777777" w:rsidR="004D7AF7" w:rsidRPr="00FE4EDA" w:rsidRDefault="004D7AF7" w:rsidP="00E623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Grade 1</w:t>
            </w:r>
          </w:p>
        </w:tc>
        <w:tc>
          <w:tcPr>
            <w:tcW w:w="2790" w:type="dxa"/>
            <w:shd w:val="clear" w:color="auto" w:fill="auto"/>
          </w:tcPr>
          <w:p w14:paraId="589DE29A" w14:textId="77777777" w:rsidR="004D7AF7" w:rsidRPr="00FE4EDA" w:rsidRDefault="004D7AF7" w:rsidP="00E623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Grade 2</w:t>
            </w:r>
          </w:p>
        </w:tc>
        <w:tc>
          <w:tcPr>
            <w:tcW w:w="2790" w:type="dxa"/>
            <w:shd w:val="clear" w:color="auto" w:fill="auto"/>
          </w:tcPr>
          <w:p w14:paraId="3C0B180B" w14:textId="77777777" w:rsidR="004D7AF7" w:rsidRPr="00FE4EDA" w:rsidRDefault="004D7AF7" w:rsidP="00E623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Grade 3</w:t>
            </w:r>
          </w:p>
        </w:tc>
        <w:tc>
          <w:tcPr>
            <w:tcW w:w="2790" w:type="dxa"/>
            <w:shd w:val="clear" w:color="auto" w:fill="auto"/>
          </w:tcPr>
          <w:p w14:paraId="10A63FA2" w14:textId="77777777" w:rsidR="004D7AF7" w:rsidRPr="00FE4EDA" w:rsidRDefault="004D7AF7" w:rsidP="00E623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Grade 4</w:t>
            </w:r>
          </w:p>
        </w:tc>
      </w:tr>
      <w:tr w:rsidR="004D7AF7" w:rsidRPr="00FE4EDA" w14:paraId="64086C35" w14:textId="77777777" w:rsidTr="00E6232F">
        <w:tc>
          <w:tcPr>
            <w:tcW w:w="2789" w:type="dxa"/>
          </w:tcPr>
          <w:p w14:paraId="42D46687" w14:textId="77777777" w:rsidR="004D7AF7" w:rsidRPr="00FE4EDA" w:rsidRDefault="004D7AF7" w:rsidP="00E623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Dysgeusia</w:t>
            </w:r>
          </w:p>
        </w:tc>
        <w:tc>
          <w:tcPr>
            <w:tcW w:w="2789" w:type="dxa"/>
          </w:tcPr>
          <w:p w14:paraId="696E17DE" w14:textId="77777777" w:rsidR="004D7AF7" w:rsidRPr="00FE4EDA" w:rsidRDefault="004D7AF7" w:rsidP="00E623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Altered taste but no change in diet</w:t>
            </w:r>
          </w:p>
        </w:tc>
        <w:tc>
          <w:tcPr>
            <w:tcW w:w="2790" w:type="dxa"/>
          </w:tcPr>
          <w:p w14:paraId="3F967CC9" w14:textId="77777777" w:rsidR="004D7AF7" w:rsidRPr="00FE4EDA" w:rsidRDefault="004D7AF7" w:rsidP="00E623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Altered taste with change in diet (e.g., oral supplements); noxious or unpleasant taste; loss of taste</w:t>
            </w:r>
          </w:p>
        </w:tc>
        <w:tc>
          <w:tcPr>
            <w:tcW w:w="5580" w:type="dxa"/>
            <w:gridSpan w:val="2"/>
            <w:vAlign w:val="center"/>
          </w:tcPr>
          <w:p w14:paraId="0B3DFC65" w14:textId="77777777" w:rsidR="004D7AF7" w:rsidRPr="00FE4EDA" w:rsidRDefault="004D7AF7" w:rsidP="00E623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There is no CTCAE grade 3 or 4 grading available for dysgeusia</w:t>
            </w:r>
          </w:p>
        </w:tc>
      </w:tr>
      <w:tr w:rsidR="004D7AF7" w:rsidRPr="00FE4EDA" w14:paraId="719E0303" w14:textId="77777777" w:rsidTr="00E6232F">
        <w:tc>
          <w:tcPr>
            <w:tcW w:w="2789" w:type="dxa"/>
          </w:tcPr>
          <w:p w14:paraId="322C0BF7" w14:textId="77777777" w:rsidR="004D7AF7" w:rsidRPr="00FE4EDA" w:rsidRDefault="004D7AF7" w:rsidP="00E623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Dysphagia</w:t>
            </w:r>
          </w:p>
        </w:tc>
        <w:tc>
          <w:tcPr>
            <w:tcW w:w="2789" w:type="dxa"/>
          </w:tcPr>
          <w:p w14:paraId="5ED3CCFC" w14:textId="77777777" w:rsidR="004D7AF7" w:rsidRPr="00FE4EDA" w:rsidRDefault="004D7AF7" w:rsidP="00E623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Symptomatic, able to eat regular diet</w:t>
            </w:r>
          </w:p>
        </w:tc>
        <w:tc>
          <w:tcPr>
            <w:tcW w:w="2790" w:type="dxa"/>
          </w:tcPr>
          <w:p w14:paraId="7E6BB99B" w14:textId="77777777" w:rsidR="004D7AF7" w:rsidRPr="00FE4EDA" w:rsidRDefault="004D7AF7" w:rsidP="00E623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Symptomatic and altered eating/swallowing</w:t>
            </w:r>
          </w:p>
        </w:tc>
        <w:tc>
          <w:tcPr>
            <w:tcW w:w="2790" w:type="dxa"/>
          </w:tcPr>
          <w:p w14:paraId="05BC7C41" w14:textId="77777777" w:rsidR="004D7AF7" w:rsidRPr="00FE4EDA" w:rsidRDefault="004D7AF7" w:rsidP="00E623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Severely altered eating/swallowing; tube feeding, TPN or hospitalisation indicated</w:t>
            </w:r>
          </w:p>
        </w:tc>
        <w:tc>
          <w:tcPr>
            <w:tcW w:w="2790" w:type="dxa"/>
          </w:tcPr>
          <w:p w14:paraId="2AF7705A" w14:textId="77777777" w:rsidR="004D7AF7" w:rsidRPr="00FE4EDA" w:rsidRDefault="004D7AF7" w:rsidP="00E623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Life-threatening consequences; urgent intervention indicated</w:t>
            </w:r>
          </w:p>
        </w:tc>
      </w:tr>
      <w:tr w:rsidR="004D7AF7" w:rsidRPr="00FE4EDA" w14:paraId="288F8BBC" w14:textId="77777777" w:rsidTr="00E6232F">
        <w:tc>
          <w:tcPr>
            <w:tcW w:w="2789" w:type="dxa"/>
          </w:tcPr>
          <w:p w14:paraId="55E66D85" w14:textId="77777777" w:rsidR="004D7AF7" w:rsidRPr="00FE4EDA" w:rsidRDefault="004D7AF7" w:rsidP="00E623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Dry mouth</w:t>
            </w:r>
          </w:p>
        </w:tc>
        <w:tc>
          <w:tcPr>
            <w:tcW w:w="2789" w:type="dxa"/>
          </w:tcPr>
          <w:p w14:paraId="040462A8" w14:textId="77777777" w:rsidR="004D7AF7" w:rsidRPr="00FE4EDA" w:rsidRDefault="004D7AF7" w:rsidP="00E623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Symptomatic (e.g., dry or thick saliva) without significant dietary alteration; unstimulated saliva flow &gt;0.2 ml/min</w:t>
            </w:r>
          </w:p>
        </w:tc>
        <w:tc>
          <w:tcPr>
            <w:tcW w:w="2790" w:type="dxa"/>
          </w:tcPr>
          <w:p w14:paraId="37498A9E" w14:textId="77777777" w:rsidR="004D7AF7" w:rsidRPr="00FE4EDA" w:rsidRDefault="004D7AF7" w:rsidP="00E623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Moderate symptoms; altered oral intake (e.g., copious water, other lubricants, diet limited to purees or soft and moist foods); unstimulated saliva flow 0.1–0.2 ml/min</w:t>
            </w:r>
          </w:p>
        </w:tc>
        <w:tc>
          <w:tcPr>
            <w:tcW w:w="2790" w:type="dxa"/>
          </w:tcPr>
          <w:p w14:paraId="1B57A319" w14:textId="77777777" w:rsidR="004D7AF7" w:rsidRPr="00FE4EDA" w:rsidRDefault="004D7AF7" w:rsidP="00E623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Inability to aliment adequately or orally; tube feeding or TPN indicated; unstimulated saliva flow &lt;0.1 ml/min</w:t>
            </w:r>
          </w:p>
        </w:tc>
        <w:tc>
          <w:tcPr>
            <w:tcW w:w="2790" w:type="dxa"/>
            <w:vMerge w:val="restart"/>
            <w:vAlign w:val="center"/>
          </w:tcPr>
          <w:p w14:paraId="0C18A571" w14:textId="77777777" w:rsidR="004D7AF7" w:rsidRPr="00FE4EDA" w:rsidRDefault="004D7AF7" w:rsidP="00E623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There is no CTCAE grade 4 grading available for dry mouth or weight loss</w:t>
            </w:r>
          </w:p>
        </w:tc>
      </w:tr>
      <w:tr w:rsidR="004D7AF7" w:rsidRPr="00FE4EDA" w14:paraId="026B105F" w14:textId="77777777" w:rsidTr="00E6232F">
        <w:tc>
          <w:tcPr>
            <w:tcW w:w="2789" w:type="dxa"/>
          </w:tcPr>
          <w:p w14:paraId="25F0812B" w14:textId="77777777" w:rsidR="004D7AF7" w:rsidRPr="00FE4EDA" w:rsidRDefault="004D7AF7" w:rsidP="00E623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Weight loss</w:t>
            </w:r>
          </w:p>
        </w:tc>
        <w:tc>
          <w:tcPr>
            <w:tcW w:w="2789" w:type="dxa"/>
          </w:tcPr>
          <w:p w14:paraId="1698083E" w14:textId="77777777" w:rsidR="004D7AF7" w:rsidRPr="00FE4EDA" w:rsidRDefault="004D7AF7" w:rsidP="00E623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5 to &lt;10% from baseline;</w:t>
            </w:r>
            <w:r w:rsidRPr="00FE4EDA">
              <w:rPr>
                <w:rFonts w:ascii="Times New Roman" w:hAnsi="Times New Roman" w:cs="Times New Roman"/>
                <w:sz w:val="20"/>
                <w:szCs w:val="20"/>
              </w:rPr>
              <w:br/>
              <w:t>intervention not indicated</w:t>
            </w:r>
          </w:p>
        </w:tc>
        <w:tc>
          <w:tcPr>
            <w:tcW w:w="2790" w:type="dxa"/>
          </w:tcPr>
          <w:p w14:paraId="61810026" w14:textId="77777777" w:rsidR="004D7AF7" w:rsidRPr="00FE4EDA" w:rsidRDefault="004D7AF7" w:rsidP="00E623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10 to &lt;20% from baseline; nutritional support indicated</w:t>
            </w:r>
          </w:p>
        </w:tc>
        <w:tc>
          <w:tcPr>
            <w:tcW w:w="2790" w:type="dxa"/>
          </w:tcPr>
          <w:p w14:paraId="2CEF928A" w14:textId="77777777" w:rsidR="004D7AF7" w:rsidRPr="00FE4EDA" w:rsidRDefault="004D7AF7" w:rsidP="00E623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4EDA">
              <w:rPr>
                <w:rFonts w:ascii="Times New Roman" w:hAnsi="Times New Roman" w:cs="Times New Roman"/>
                <w:sz w:val="20"/>
                <w:szCs w:val="20"/>
              </w:rPr>
              <w:t>≥20% from baseline; tube feeding or TPN indicated</w:t>
            </w:r>
          </w:p>
        </w:tc>
        <w:tc>
          <w:tcPr>
            <w:tcW w:w="2790" w:type="dxa"/>
            <w:vMerge/>
          </w:tcPr>
          <w:p w14:paraId="7DD57EB6" w14:textId="77777777" w:rsidR="004D7AF7" w:rsidRPr="00FE4EDA" w:rsidRDefault="004D7AF7" w:rsidP="00E623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05FB08D" w14:textId="77777777" w:rsidR="004D7AF7" w:rsidRPr="00FE4EDA" w:rsidRDefault="004D7AF7" w:rsidP="004D7AF7">
      <w:pPr>
        <w:pStyle w:val="C-Footnote"/>
        <w:rPr>
          <w:lang w:val="en-GB"/>
        </w:rPr>
      </w:pPr>
      <w:r w:rsidRPr="00FE4EDA">
        <w:rPr>
          <w:lang w:val="en-GB"/>
        </w:rPr>
        <w:t>CTCAE= Common Terminology Criteria for Adverse Events; TPN=total parenteral nutrition</w:t>
      </w:r>
    </w:p>
    <w:p w14:paraId="780E0307" w14:textId="444DC549" w:rsidR="009A2BD1" w:rsidRPr="008511E2" w:rsidRDefault="008511E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Adapted from: </w:t>
      </w:r>
      <w:r w:rsidRPr="008511E2">
        <w:rPr>
          <w:rFonts w:ascii="Times New Roman" w:hAnsi="Times New Roman" w:cs="Times New Roman"/>
          <w:sz w:val="20"/>
          <w:szCs w:val="20"/>
        </w:rPr>
        <w:t>National Cancer Institute (2017). Common Terminology Criteria for Adverse Events (CTCAE) Version 5.0. https://ctep.cancer.gov/protocoldevelopment/electronic_applications/docs/ctcae_v5_quick_reference_5x7.pdf. Accessed: December 2024</w:t>
      </w:r>
    </w:p>
    <w:sectPr w:rsidR="009A2BD1" w:rsidRPr="008511E2" w:rsidSect="004D7AF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AF7"/>
    <w:rsid w:val="00065DAC"/>
    <w:rsid w:val="004D7AF7"/>
    <w:rsid w:val="0064340E"/>
    <w:rsid w:val="008511E2"/>
    <w:rsid w:val="009A2BD1"/>
    <w:rsid w:val="00F0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48BAE"/>
  <w15:chartTrackingRefBased/>
  <w15:docId w15:val="{BE75385D-0ADB-4743-9CB3-2E87478F1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D7AF7"/>
    <w:pPr>
      <w:spacing w:line="259" w:lineRule="auto"/>
    </w:pPr>
    <w:rPr>
      <w:sz w:val="22"/>
      <w:szCs w:val="22"/>
      <w:lang w:val="en-GB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4D7AF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nl-BE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D7AF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l-BE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D7AF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nl-BE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D7AF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nl-BE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D7AF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nl-BE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D7AF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nl-BE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D7AF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nl-BE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D7AF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nl-BE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D7AF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nl-BE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D7A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D7A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D7A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D7AF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D7AF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D7AF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D7AF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D7AF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D7AF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D7A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BE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4D7A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D7AF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nl-BE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D7A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D7AF7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nl-BE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4D7AF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D7AF7"/>
    <w:pPr>
      <w:spacing w:line="278" w:lineRule="auto"/>
      <w:ind w:left="720"/>
      <w:contextualSpacing/>
    </w:pPr>
    <w:rPr>
      <w:sz w:val="24"/>
      <w:szCs w:val="24"/>
      <w:lang w:val="nl-BE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4D7AF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D7A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nl-BE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D7AF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D7AF7"/>
    <w:rPr>
      <w:b/>
      <w:bCs/>
      <w:smallCaps/>
      <w:color w:val="0F4761" w:themeColor="accent1" w:themeShade="BF"/>
      <w:spacing w:val="5"/>
    </w:rPr>
  </w:style>
  <w:style w:type="paragraph" w:customStyle="1" w:styleId="C-Footnote">
    <w:name w:val="C-Footnote"/>
    <w:basedOn w:val="Standaard"/>
    <w:qFormat/>
    <w:rsid w:val="004D7AF7"/>
    <w:pPr>
      <w:tabs>
        <w:tab w:val="left" w:pos="144"/>
      </w:tabs>
      <w:spacing w:after="0" w:line="240" w:lineRule="auto"/>
    </w:pPr>
    <w:rPr>
      <w:rFonts w:ascii="Times New Roman" w:eastAsia="Times New Roman" w:hAnsi="Times New Roman" w:cs="Arial"/>
      <w:kern w:val="0"/>
      <w:sz w:val="20"/>
      <w:szCs w:val="20"/>
      <w:lang w:val="en-US"/>
    </w:rPr>
  </w:style>
  <w:style w:type="table" w:styleId="Tabelraster">
    <w:name w:val="Table Grid"/>
    <w:basedOn w:val="Standaardtabel"/>
    <w:uiPriority w:val="39"/>
    <w:rsid w:val="004D7AF7"/>
    <w:pPr>
      <w:spacing w:after="0" w:line="240" w:lineRule="auto"/>
    </w:pPr>
    <w:rPr>
      <w:sz w:val="22"/>
      <w:szCs w:val="22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30BC43E2C1041A8D5A7927232A6FB" ma:contentTypeVersion="0" ma:contentTypeDescription="Een nieuw document maken." ma:contentTypeScope="" ma:versionID="aff5cd9e31310703e1cd7d7beaa9084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98adb93c73fc5186880c7c53b9861c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C298042-A1BD-412D-81E5-768C52F599D1}"/>
</file>

<file path=customXml/itemProps2.xml><?xml version="1.0" encoding="utf-8"?>
<ds:datastoreItem xmlns:ds="http://schemas.openxmlformats.org/officeDocument/2006/customXml" ds:itemID="{07276211-C87E-4011-A004-F7464821B11B}"/>
</file>

<file path=customXml/itemProps3.xml><?xml version="1.0" encoding="utf-8"?>
<ds:datastoreItem xmlns:ds="http://schemas.openxmlformats.org/officeDocument/2006/customXml" ds:itemID="{9B2B9A68-D924-47A8-B752-A9A371AC6F1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 Voorde</dc:creator>
  <cp:keywords/>
  <dc:description/>
  <cp:lastModifiedBy>Sara Van de Voorde</cp:lastModifiedBy>
  <cp:revision>3</cp:revision>
  <dcterms:created xsi:type="dcterms:W3CDTF">2025-06-17T08:20:00Z</dcterms:created>
  <dcterms:modified xsi:type="dcterms:W3CDTF">2025-06-17T08:28:00Z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0x01010082D30BC43E2C1041A8D5A7927232A6FB</vt:lpwstr>
  </property>
</Properties>
</file>