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1B0" w:rsidRDefault="008B51B0" w:rsidP="008B51B0">
      <w:pPr>
        <w:kinsoku w:val="0"/>
        <w:overflowPunct w:val="0"/>
        <w:autoSpaceDE w:val="0"/>
        <w:autoSpaceDN w:val="0"/>
        <w:adjustRightInd w:val="0"/>
        <w:snapToGrid w:val="0"/>
        <w:spacing w:line="480" w:lineRule="auto"/>
        <w:contextualSpacing/>
        <w:rPr>
          <w:rFonts w:ascii="Times New Roman" w:hAnsi="Times New Roman" w:cs="Times New Roman"/>
          <w:b/>
          <w:bCs/>
          <w:sz w:val="24"/>
        </w:rPr>
      </w:pPr>
      <w:r>
        <w:rPr>
          <w:rFonts w:ascii="Times New Roman" w:hAnsi="Times New Roman" w:cs="Times New Roman"/>
          <w:b/>
          <w:bCs/>
          <w:sz w:val="24"/>
        </w:rPr>
        <w:t>Figure S1. Bioinformatics analysis of differential gene expression in DLBCL.</w:t>
      </w:r>
    </w:p>
    <w:p w:rsidR="008B51B0" w:rsidRDefault="008B51B0" w:rsidP="008B51B0">
      <w:pPr>
        <w:topLinePunct/>
        <w:adjustRightInd w:val="0"/>
        <w:snapToGrid w:val="0"/>
        <w:spacing w:line="480" w:lineRule="auto"/>
        <w:contextualSpacing/>
        <w:rPr>
          <w:rFonts w:ascii="Times New Roman" w:hAnsi="Times New Roman" w:cs="Times New Roman"/>
          <w:sz w:val="24"/>
        </w:rPr>
      </w:pPr>
      <w:r>
        <w:rPr>
          <w:rFonts w:ascii="Times New Roman" w:hAnsi="Times New Roman" w:cs="Times New Roman"/>
          <w:sz w:val="24"/>
        </w:rPr>
        <w:t>(A) The GEPIA database revealed differential expression of seven genes between tumor and normal tissues. (B-C) PXDN and PLVAP expression in the low- and high-predicted-LEN-IC50 groups. (D-F) Gene-significance and module-membership scatter plots for the blue, brown, and turquoise modules. (G-H) Expression differences of the three genes between OCI-LY3 and SU-DHL-2 cell lines treated with and without LEN in RNA-seq.</w:t>
      </w:r>
    </w:p>
    <w:p w:rsidR="008B51B0" w:rsidRDefault="008B51B0" w:rsidP="008B51B0">
      <w:pPr>
        <w:kinsoku w:val="0"/>
        <w:overflowPunct w:val="0"/>
        <w:autoSpaceDE w:val="0"/>
        <w:autoSpaceDN w:val="0"/>
        <w:adjustRightInd w:val="0"/>
        <w:snapToGrid w:val="0"/>
        <w:spacing w:line="480" w:lineRule="auto"/>
        <w:contextualSpacing/>
        <w:rPr>
          <w:rFonts w:ascii="Times New Roman" w:hAnsi="Times New Roman" w:cs="Times New Roman"/>
          <w:b/>
          <w:bCs/>
          <w:sz w:val="24"/>
        </w:rPr>
      </w:pPr>
      <w:r>
        <w:rPr>
          <w:rFonts w:ascii="Times New Roman" w:hAnsi="Times New Roman" w:cs="Times New Roman"/>
          <w:b/>
          <w:bCs/>
          <w:sz w:val="24"/>
        </w:rPr>
        <w:t>Figure S2. Effects of RAB13 and PI3K inhibition on migration, and invasion in DLBCL cells</w:t>
      </w:r>
    </w:p>
    <w:p w:rsidR="008B51B0" w:rsidRDefault="008B51B0" w:rsidP="008B51B0">
      <w:pPr>
        <w:pStyle w:val="CommentText"/>
        <w:adjustRightInd w:val="0"/>
        <w:snapToGrid w:val="0"/>
        <w:spacing w:line="480" w:lineRule="auto"/>
        <w:contextualSpacing/>
        <w:rPr>
          <w:rFonts w:ascii="Times New Roman" w:eastAsia="SimSun" w:hAnsi="Times New Roman" w:cs="Times New Roman"/>
          <w:sz w:val="24"/>
          <w:szCs w:val="24"/>
        </w:rPr>
      </w:pPr>
      <w:r>
        <w:rPr>
          <w:rFonts w:ascii="Times New Roman" w:hAnsi="Times New Roman" w:cs="Times New Roman"/>
          <w:sz w:val="24"/>
          <w:szCs w:val="24"/>
        </w:rPr>
        <w:t>(A-B) Images showing the ability of migration and invasion after</w:t>
      </w:r>
      <w:r w:rsidRPr="008B51B0">
        <w:rPr>
          <w:rFonts w:ascii="Times New Roman" w:hAnsi="Times New Roman" w:cs="Times New Roman"/>
          <w:sz w:val="24"/>
        </w:rPr>
        <w:t xml:space="preserve"> </w:t>
      </w:r>
      <w:r>
        <w:rPr>
          <w:rFonts w:ascii="Times New Roman" w:hAnsi="Times New Roman" w:cs="Times New Roman"/>
          <w:sz w:val="24"/>
          <w:szCs w:val="24"/>
        </w:rPr>
        <w:t>RAB13 overexpression and knockdown in cell lines, respectively. (C-F) Statistical analysis of the impact of RAB13 overexpression or knockdown on migration (C, E) and invasion (D, F).</w:t>
      </w:r>
    </w:p>
    <w:p w:rsidR="008B51B0" w:rsidRDefault="008B51B0" w:rsidP="008B51B0">
      <w:pPr>
        <w:kinsoku w:val="0"/>
        <w:overflowPunct w:val="0"/>
        <w:autoSpaceDE w:val="0"/>
        <w:autoSpaceDN w:val="0"/>
        <w:adjustRightInd w:val="0"/>
        <w:snapToGrid w:val="0"/>
        <w:spacing w:line="480" w:lineRule="auto"/>
        <w:contextualSpacing/>
        <w:rPr>
          <w:rFonts w:ascii="Times New Roman" w:hAnsi="Times New Roman" w:cs="Times New Roman"/>
          <w:sz w:val="24"/>
        </w:rPr>
      </w:pPr>
    </w:p>
    <w:p w:rsidR="008B51B0" w:rsidRDefault="008B51B0" w:rsidP="008B51B0">
      <w:pPr>
        <w:kinsoku w:val="0"/>
        <w:overflowPunct w:val="0"/>
        <w:autoSpaceDE w:val="0"/>
        <w:autoSpaceDN w:val="0"/>
        <w:adjustRightInd w:val="0"/>
        <w:snapToGrid w:val="0"/>
        <w:spacing w:line="480" w:lineRule="auto"/>
        <w:contextualSpacing/>
        <w:rPr>
          <w:rFonts w:ascii="Times New Roman" w:hAnsi="Times New Roman" w:cs="Times New Roman"/>
          <w:b/>
          <w:bCs/>
          <w:sz w:val="24"/>
        </w:rPr>
      </w:pPr>
      <w:r>
        <w:rPr>
          <w:rFonts w:ascii="Times New Roman" w:hAnsi="Times New Roman" w:cs="Times New Roman"/>
          <w:b/>
          <w:bCs/>
          <w:sz w:val="24"/>
        </w:rPr>
        <w:t>Figure S3. Analysis of DEGs and pathways in DLBCL cell lines with RAB13 overexpression and knockdown</w:t>
      </w:r>
    </w:p>
    <w:p w:rsidR="008B51B0" w:rsidRDefault="008B51B0" w:rsidP="008B51B0">
      <w:pPr>
        <w:numPr>
          <w:ilvl w:val="255"/>
          <w:numId w:val="0"/>
        </w:numPr>
        <w:kinsoku w:val="0"/>
        <w:overflowPunct w:val="0"/>
        <w:autoSpaceDE w:val="0"/>
        <w:autoSpaceDN w:val="0"/>
        <w:adjustRightInd w:val="0"/>
        <w:snapToGrid w:val="0"/>
        <w:spacing w:line="480" w:lineRule="auto"/>
        <w:contextualSpacing/>
        <w:rPr>
          <w:rFonts w:ascii="Times New Roman" w:hAnsi="Times New Roman" w:cs="Times New Roman"/>
          <w:sz w:val="24"/>
        </w:rPr>
      </w:pPr>
      <w:r>
        <w:rPr>
          <w:rFonts w:ascii="Times New Roman" w:hAnsi="Times New Roman" w:cs="Times New Roman"/>
          <w:sz w:val="24"/>
        </w:rPr>
        <w:t xml:space="preserve">(A-B) Volcano plot illustrating the distribution of </w:t>
      </w:r>
      <w:r>
        <w:rPr>
          <w:rFonts w:ascii="Times New Roman" w:eastAsia="SimSun" w:hAnsi="Times New Roman" w:cs="Times New Roman"/>
          <w:sz w:val="24"/>
        </w:rPr>
        <w:t>differentially expressed genes (DEGs) (|log</w:t>
      </w:r>
      <w:r>
        <w:rPr>
          <w:rFonts w:ascii="Times New Roman" w:eastAsia="SimSun" w:hAnsi="Times New Roman" w:cs="Times New Roman"/>
          <w:sz w:val="24"/>
          <w:vertAlign w:val="subscript"/>
        </w:rPr>
        <w:t>2</w:t>
      </w:r>
      <w:r>
        <w:rPr>
          <w:rFonts w:ascii="Times New Roman" w:eastAsia="SimSun" w:hAnsi="Times New Roman" w:cs="Times New Roman"/>
          <w:sz w:val="24"/>
        </w:rPr>
        <w:t xml:space="preserve">FC| ≥ 1, adjusted </w:t>
      </w:r>
      <w:r>
        <w:rPr>
          <w:rFonts w:ascii="Times New Roman" w:eastAsia="SimSun" w:hAnsi="Times New Roman" w:cs="Times New Roman"/>
          <w:i/>
          <w:iCs/>
          <w:sz w:val="24"/>
        </w:rPr>
        <w:t>P</w:t>
      </w:r>
      <w:r>
        <w:rPr>
          <w:rFonts w:ascii="Times New Roman" w:eastAsia="SimSun" w:hAnsi="Times New Roman" w:cs="Times New Roman"/>
          <w:sz w:val="24"/>
        </w:rPr>
        <w:t xml:space="preserve"> &lt; 0.05)</w:t>
      </w:r>
      <w:r>
        <w:rPr>
          <w:rFonts w:ascii="Times New Roman" w:hAnsi="Times New Roman" w:cs="Times New Roman"/>
          <w:sz w:val="24"/>
        </w:rPr>
        <w:t xml:space="preserve"> in SU-DHL-2 (A) and OCI-LY3 (B) cell lines. (C-D) Gene Ontology (GO) enrichment results for cellular component (CC), biological process (BP), and molecular function (MF).</w:t>
      </w:r>
    </w:p>
    <w:p w:rsidR="008B51B0" w:rsidRDefault="008B51B0" w:rsidP="008B51B0">
      <w:pPr>
        <w:kinsoku w:val="0"/>
        <w:overflowPunct w:val="0"/>
        <w:autoSpaceDE w:val="0"/>
        <w:autoSpaceDN w:val="0"/>
        <w:adjustRightInd w:val="0"/>
        <w:snapToGrid w:val="0"/>
        <w:spacing w:line="480" w:lineRule="auto"/>
        <w:contextualSpacing/>
        <w:rPr>
          <w:rFonts w:ascii="Times New Roman" w:hAnsi="Times New Roman" w:cs="Times New Roman"/>
          <w:sz w:val="24"/>
        </w:rPr>
      </w:pPr>
    </w:p>
    <w:p w:rsidR="008B51B0" w:rsidRDefault="008B51B0" w:rsidP="008B51B0">
      <w:pPr>
        <w:kinsoku w:val="0"/>
        <w:overflowPunct w:val="0"/>
        <w:autoSpaceDE w:val="0"/>
        <w:autoSpaceDN w:val="0"/>
        <w:adjustRightInd w:val="0"/>
        <w:snapToGrid w:val="0"/>
        <w:spacing w:line="480" w:lineRule="auto"/>
        <w:contextualSpacing/>
        <w:rPr>
          <w:rFonts w:ascii="Times New Roman" w:hAnsi="Times New Roman" w:cs="Times New Roman"/>
          <w:b/>
          <w:bCs/>
          <w:sz w:val="24"/>
        </w:rPr>
      </w:pPr>
      <w:r>
        <w:rPr>
          <w:rFonts w:ascii="Times New Roman" w:hAnsi="Times New Roman" w:cs="Times New Roman"/>
          <w:b/>
          <w:bCs/>
          <w:sz w:val="24"/>
        </w:rPr>
        <w:t>Figure S4. Comparative docking and supplementary validation of the RAB13–PIK3CA association</w:t>
      </w:r>
    </w:p>
    <w:p w:rsidR="008B51B0" w:rsidRDefault="008B51B0" w:rsidP="008B51B0">
      <w:pPr>
        <w:topLinePunct/>
        <w:adjustRightInd w:val="0"/>
        <w:snapToGrid w:val="0"/>
        <w:spacing w:line="480" w:lineRule="auto"/>
        <w:contextualSpacing/>
        <w:jc w:val="left"/>
        <w:rPr>
          <w:rFonts w:ascii="Times New Roman" w:hAnsi="Times New Roman" w:cs="Times New Roman"/>
          <w:sz w:val="24"/>
        </w:rPr>
      </w:pPr>
      <w:r>
        <w:rPr>
          <w:rFonts w:ascii="Times New Roman" w:hAnsi="Times New Roman" w:cs="Times New Roman"/>
          <w:sz w:val="24"/>
        </w:rPr>
        <w:t xml:space="preserve">(A-C) Predicted docking complexes of RAB13 with the class IA PI3K p85 regulatory subunit (A), PIK3CB/p110β (B), and PIK3CD/p110δ (C), with corresponding docking scores and interface residues. (D-E) Fluorescence-intensity line profiles showing the spatial overlap of </w:t>
      </w:r>
      <w:r>
        <w:rPr>
          <w:rFonts w:ascii="Times New Roman" w:hAnsi="Times New Roman" w:cs="Times New Roman"/>
          <w:sz w:val="24"/>
        </w:rPr>
        <w:lastRenderedPageBreak/>
        <w:t>RAB13 and PIK3CA in DLBCL tissues and OCI-LY3 cells. (F-G) Representative flow-cytometry analysis (F) and quantification (G) of apoptosis in RAB13-overexpressing SU-DHL-2 cells treated with LY294002. Data are shown as mean ± SD from three independent experiments.</w:t>
      </w:r>
    </w:p>
    <w:p w:rsidR="008B51B0" w:rsidRDefault="008B51B0" w:rsidP="008B51B0">
      <w:pPr>
        <w:kinsoku w:val="0"/>
        <w:overflowPunct w:val="0"/>
        <w:autoSpaceDE w:val="0"/>
        <w:autoSpaceDN w:val="0"/>
        <w:adjustRightInd w:val="0"/>
        <w:snapToGrid w:val="0"/>
        <w:spacing w:line="480" w:lineRule="auto"/>
        <w:contextualSpacing/>
        <w:rPr>
          <w:rFonts w:ascii="Times New Roman" w:hAnsi="Times New Roman" w:cs="Times New Roman"/>
          <w:b/>
          <w:bCs/>
          <w:sz w:val="24"/>
        </w:rPr>
      </w:pPr>
      <w:r>
        <w:rPr>
          <w:rFonts w:ascii="Times New Roman" w:hAnsi="Times New Roman" w:cs="Times New Roman"/>
          <w:b/>
          <w:bCs/>
          <w:sz w:val="24"/>
        </w:rPr>
        <w:t xml:space="preserve">Figure S5. </w:t>
      </w:r>
      <w:proofErr w:type="spellStart"/>
      <w:r>
        <w:rPr>
          <w:rFonts w:ascii="Times New Roman" w:hAnsi="Times New Roman" w:cs="Times New Roman"/>
          <w:b/>
          <w:bCs/>
          <w:sz w:val="24"/>
        </w:rPr>
        <w:t>Alpelisib</w:t>
      </w:r>
      <w:proofErr w:type="spellEnd"/>
      <w:r>
        <w:rPr>
          <w:rFonts w:ascii="Times New Roman" w:hAnsi="Times New Roman" w:cs="Times New Roman"/>
          <w:b/>
          <w:bCs/>
          <w:sz w:val="24"/>
        </w:rPr>
        <w:t xml:space="preserve"> enhances LEN-induced apoptosis in RAB13-overexpressing SU-DHL-2 cells</w:t>
      </w:r>
    </w:p>
    <w:p w:rsidR="008B51B0" w:rsidRDefault="008B51B0" w:rsidP="008B51B0">
      <w:pPr>
        <w:topLinePunct/>
        <w:adjustRightInd w:val="0"/>
        <w:snapToGrid w:val="0"/>
        <w:spacing w:line="480" w:lineRule="auto"/>
        <w:contextualSpacing/>
        <w:jc w:val="left"/>
        <w:rPr>
          <w:rFonts w:ascii="Times New Roman" w:hAnsi="Times New Roman" w:cs="Times New Roman"/>
          <w:sz w:val="24"/>
        </w:rPr>
      </w:pPr>
      <w:r>
        <w:rPr>
          <w:rFonts w:ascii="Times New Roman" w:hAnsi="Times New Roman" w:cs="Times New Roman"/>
          <w:sz w:val="24"/>
        </w:rPr>
        <w:t>(A) Representative Western blots of p-</w:t>
      </w:r>
      <w:proofErr w:type="spellStart"/>
      <w:r>
        <w:rPr>
          <w:rFonts w:ascii="Times New Roman" w:hAnsi="Times New Roman" w:cs="Times New Roman"/>
          <w:sz w:val="24"/>
        </w:rPr>
        <w:t>mTOR</w:t>
      </w:r>
      <w:proofErr w:type="spellEnd"/>
      <w:r>
        <w:rPr>
          <w:rFonts w:ascii="Times New Roman" w:hAnsi="Times New Roman" w:cs="Times New Roman"/>
          <w:sz w:val="24"/>
        </w:rPr>
        <w:t xml:space="preserve"> (Ser2448), </w:t>
      </w:r>
      <w:proofErr w:type="spellStart"/>
      <w:r>
        <w:rPr>
          <w:rFonts w:ascii="Times New Roman" w:hAnsi="Times New Roman" w:cs="Times New Roman"/>
          <w:sz w:val="24"/>
        </w:rPr>
        <w:t>mTOR</w:t>
      </w:r>
      <w:proofErr w:type="spellEnd"/>
      <w:r>
        <w:rPr>
          <w:rFonts w:ascii="Times New Roman" w:hAnsi="Times New Roman" w:cs="Times New Roman"/>
          <w:sz w:val="24"/>
        </w:rPr>
        <w:t xml:space="preserve">, p-AKT (Ser473), AKT, PIK3CA, Bcl2, and </w:t>
      </w:r>
      <w:proofErr w:type="spellStart"/>
      <w:r>
        <w:rPr>
          <w:rFonts w:ascii="Times New Roman" w:hAnsi="Times New Roman" w:cs="Times New Roman"/>
          <w:sz w:val="24"/>
        </w:rPr>
        <w:t>Bax</w:t>
      </w:r>
      <w:proofErr w:type="spellEnd"/>
      <w:r>
        <w:rPr>
          <w:rFonts w:ascii="Times New Roman" w:hAnsi="Times New Roman" w:cs="Times New Roman"/>
          <w:sz w:val="24"/>
        </w:rPr>
        <w:t xml:space="preserve"> in RAB13-overexpressing SU-DHL-2 cells treated with DMSO, LEN, </w:t>
      </w:r>
      <w:proofErr w:type="spellStart"/>
      <w:r>
        <w:rPr>
          <w:rFonts w:ascii="Times New Roman" w:hAnsi="Times New Roman" w:cs="Times New Roman"/>
          <w:sz w:val="24"/>
        </w:rPr>
        <w:t>alpelisib</w:t>
      </w:r>
      <w:proofErr w:type="spellEnd"/>
      <w:r>
        <w:rPr>
          <w:rFonts w:ascii="Times New Roman" w:hAnsi="Times New Roman" w:cs="Times New Roman"/>
          <w:sz w:val="24"/>
        </w:rPr>
        <w:t xml:space="preserve">, or LEN plus </w:t>
      </w:r>
      <w:proofErr w:type="spellStart"/>
      <w:r>
        <w:rPr>
          <w:rFonts w:ascii="Times New Roman" w:hAnsi="Times New Roman" w:cs="Times New Roman"/>
          <w:sz w:val="24"/>
        </w:rPr>
        <w:t>alpelisib</w:t>
      </w:r>
      <w:proofErr w:type="spellEnd"/>
      <w:r>
        <w:rPr>
          <w:rFonts w:ascii="Times New Roman" w:hAnsi="Times New Roman" w:cs="Times New Roman"/>
          <w:sz w:val="24"/>
        </w:rPr>
        <w:t xml:space="preserve">. </w:t>
      </w:r>
      <w:proofErr w:type="gramStart"/>
      <w:r>
        <w:rPr>
          <w:rFonts w:ascii="Times New Roman" w:hAnsi="Times New Roman" w:cs="Times New Roman"/>
          <w:sz w:val="24"/>
        </w:rPr>
        <w:t>β-Tubulin</w:t>
      </w:r>
      <w:proofErr w:type="gramEnd"/>
      <w:r>
        <w:rPr>
          <w:rFonts w:ascii="Times New Roman" w:hAnsi="Times New Roman" w:cs="Times New Roman"/>
          <w:sz w:val="24"/>
        </w:rPr>
        <w:t xml:space="preserve"> served as the loading control. (B-E) Quantification of p-</w:t>
      </w:r>
      <w:proofErr w:type="spellStart"/>
      <w:r>
        <w:rPr>
          <w:rFonts w:ascii="Times New Roman" w:hAnsi="Times New Roman" w:cs="Times New Roman"/>
          <w:sz w:val="24"/>
        </w:rPr>
        <w:t>mTOR</w:t>
      </w:r>
      <w:proofErr w:type="spellEnd"/>
      <w:r>
        <w:rPr>
          <w:rFonts w:ascii="Times New Roman" w:hAnsi="Times New Roman" w:cs="Times New Roman"/>
          <w:sz w:val="24"/>
        </w:rPr>
        <w:t>/</w:t>
      </w:r>
      <w:proofErr w:type="spellStart"/>
      <w:r>
        <w:rPr>
          <w:rFonts w:ascii="Times New Roman" w:hAnsi="Times New Roman" w:cs="Times New Roman"/>
          <w:sz w:val="24"/>
        </w:rPr>
        <w:t>mTOR</w:t>
      </w:r>
      <w:proofErr w:type="spellEnd"/>
      <w:r>
        <w:rPr>
          <w:rFonts w:ascii="Times New Roman" w:hAnsi="Times New Roman" w:cs="Times New Roman"/>
          <w:sz w:val="24"/>
        </w:rPr>
        <w:t xml:space="preserve"> (B), p-AKT/AKT (C), PIK3CA/β-tubulin (D), and Bcl2/</w:t>
      </w:r>
      <w:proofErr w:type="spellStart"/>
      <w:r>
        <w:rPr>
          <w:rFonts w:ascii="Times New Roman" w:hAnsi="Times New Roman" w:cs="Times New Roman"/>
          <w:sz w:val="24"/>
        </w:rPr>
        <w:t>Bax</w:t>
      </w:r>
      <w:proofErr w:type="spellEnd"/>
      <w:r>
        <w:rPr>
          <w:rFonts w:ascii="Times New Roman" w:hAnsi="Times New Roman" w:cs="Times New Roman"/>
          <w:sz w:val="24"/>
        </w:rPr>
        <w:t xml:space="preserve"> (E). (F-G) Representative </w:t>
      </w:r>
      <w:proofErr w:type="spellStart"/>
      <w:r>
        <w:rPr>
          <w:rFonts w:ascii="Times New Roman" w:hAnsi="Times New Roman" w:cs="Times New Roman"/>
          <w:sz w:val="24"/>
        </w:rPr>
        <w:t>Annexin</w:t>
      </w:r>
      <w:proofErr w:type="spellEnd"/>
      <w:r>
        <w:rPr>
          <w:rFonts w:ascii="Times New Roman" w:hAnsi="Times New Roman" w:cs="Times New Roman"/>
          <w:sz w:val="24"/>
        </w:rPr>
        <w:t xml:space="preserve"> V APC/7-AAD flow-cytometry plots (F) and quantification of the apoptotic rate (G). Data are shown as mean ± SD from three independent experiments (ns, not significant; *</w:t>
      </w:r>
      <w:r>
        <w:rPr>
          <w:rFonts w:ascii="Times New Roman" w:hAnsi="Times New Roman" w:cs="Times New Roman"/>
          <w:i/>
          <w:iCs/>
          <w:sz w:val="24"/>
        </w:rPr>
        <w:t>P</w:t>
      </w:r>
      <w:r>
        <w:rPr>
          <w:rFonts w:ascii="Times New Roman" w:hAnsi="Times New Roman" w:cs="Times New Roman"/>
          <w:sz w:val="24"/>
        </w:rPr>
        <w:t xml:space="preserve"> &lt; 0.05; **</w:t>
      </w:r>
      <w:r>
        <w:rPr>
          <w:rFonts w:ascii="Times New Roman" w:hAnsi="Times New Roman" w:cs="Times New Roman"/>
          <w:i/>
          <w:iCs/>
          <w:sz w:val="24"/>
        </w:rPr>
        <w:t xml:space="preserve">P </w:t>
      </w:r>
      <w:r>
        <w:rPr>
          <w:rFonts w:ascii="Times New Roman" w:hAnsi="Times New Roman" w:cs="Times New Roman"/>
          <w:sz w:val="24"/>
        </w:rPr>
        <w:t>&lt; 0.01; ***</w:t>
      </w:r>
      <w:r>
        <w:rPr>
          <w:rFonts w:ascii="Times New Roman" w:hAnsi="Times New Roman" w:cs="Times New Roman"/>
          <w:i/>
          <w:iCs/>
          <w:sz w:val="24"/>
        </w:rPr>
        <w:t>P</w:t>
      </w:r>
      <w:r>
        <w:rPr>
          <w:rFonts w:ascii="Times New Roman" w:hAnsi="Times New Roman" w:cs="Times New Roman"/>
          <w:sz w:val="24"/>
        </w:rPr>
        <w:t xml:space="preserve"> &lt; 0.001; ****</w:t>
      </w:r>
      <w:r>
        <w:rPr>
          <w:rFonts w:ascii="Times New Roman" w:hAnsi="Times New Roman" w:cs="Times New Roman"/>
          <w:i/>
          <w:iCs/>
          <w:sz w:val="24"/>
        </w:rPr>
        <w:t>P</w:t>
      </w:r>
      <w:r>
        <w:rPr>
          <w:rFonts w:ascii="Times New Roman" w:hAnsi="Times New Roman" w:cs="Times New Roman"/>
          <w:sz w:val="24"/>
        </w:rPr>
        <w:t xml:space="preserve"> &lt; 0.0001). </w:t>
      </w:r>
    </w:p>
    <w:p w:rsidR="008B51B0" w:rsidRDefault="008B51B0" w:rsidP="008B51B0">
      <w:pPr>
        <w:kinsoku w:val="0"/>
        <w:overflowPunct w:val="0"/>
        <w:autoSpaceDE w:val="0"/>
        <w:autoSpaceDN w:val="0"/>
        <w:adjustRightInd w:val="0"/>
        <w:snapToGrid w:val="0"/>
        <w:spacing w:line="480" w:lineRule="auto"/>
        <w:contextualSpacing/>
        <w:rPr>
          <w:rFonts w:ascii="Times New Roman" w:hAnsi="Times New Roman" w:cs="Times New Roman"/>
          <w:sz w:val="24"/>
        </w:rPr>
      </w:pPr>
      <w:bookmarkStart w:id="0" w:name="_GoBack"/>
      <w:bookmarkEnd w:id="0"/>
    </w:p>
    <w:p w:rsidR="008B51B0" w:rsidRDefault="008B51B0" w:rsidP="008B51B0">
      <w:pPr>
        <w:kinsoku w:val="0"/>
        <w:overflowPunct w:val="0"/>
        <w:autoSpaceDE w:val="0"/>
        <w:autoSpaceDN w:val="0"/>
        <w:adjustRightInd w:val="0"/>
        <w:snapToGrid w:val="0"/>
        <w:spacing w:line="480" w:lineRule="auto"/>
        <w:contextualSpacing/>
        <w:rPr>
          <w:rFonts w:ascii="Times New Roman" w:hAnsi="Times New Roman" w:cs="Times New Roman"/>
          <w:b/>
          <w:bCs/>
          <w:sz w:val="24"/>
        </w:rPr>
      </w:pPr>
      <w:r>
        <w:rPr>
          <w:rFonts w:ascii="Times New Roman" w:hAnsi="Times New Roman" w:cs="Times New Roman"/>
          <w:b/>
          <w:bCs/>
          <w:sz w:val="24"/>
        </w:rPr>
        <w:t xml:space="preserve">Figure S6. Overexpression of RAB13 </w:t>
      </w:r>
      <w:r>
        <w:rPr>
          <w:rFonts w:ascii="Times New Roman" w:hAnsi="Times New Roman" w:cs="Times New Roman"/>
          <w:b/>
          <w:bCs/>
          <w:i/>
          <w:iCs/>
          <w:sz w:val="24"/>
        </w:rPr>
        <w:t>in vivo</w:t>
      </w:r>
      <w:r>
        <w:rPr>
          <w:rFonts w:ascii="Times New Roman" w:hAnsi="Times New Roman" w:cs="Times New Roman"/>
          <w:b/>
          <w:bCs/>
          <w:sz w:val="24"/>
        </w:rPr>
        <w:t xml:space="preserve"> promotes the invasion and migration of DLBCL cells</w:t>
      </w:r>
    </w:p>
    <w:p w:rsidR="008B51B0" w:rsidRDefault="008B51B0" w:rsidP="008B51B0">
      <w:pPr>
        <w:kinsoku w:val="0"/>
        <w:overflowPunct w:val="0"/>
        <w:autoSpaceDE w:val="0"/>
        <w:autoSpaceDN w:val="0"/>
        <w:adjustRightInd w:val="0"/>
        <w:snapToGrid w:val="0"/>
        <w:spacing w:line="480" w:lineRule="auto"/>
        <w:contextualSpacing/>
        <w:rPr>
          <w:rFonts w:ascii="Times New Roman" w:hAnsi="Times New Roman" w:cs="Times New Roman"/>
          <w:b/>
          <w:bCs/>
          <w:sz w:val="24"/>
        </w:rPr>
      </w:pPr>
      <w:r>
        <w:rPr>
          <w:rFonts w:ascii="Times New Roman" w:eastAsia="SimSun" w:hAnsi="Times New Roman" w:cs="Times New Roman"/>
          <w:sz w:val="24"/>
        </w:rPr>
        <w:t>While the control group shows accumulation only in the liver, the overexpression group shows accumulation in the liver, lung, and kidney.</w:t>
      </w:r>
    </w:p>
    <w:p w:rsidR="008B51B0" w:rsidRDefault="008B51B0" w:rsidP="008B51B0">
      <w:pPr>
        <w:kinsoku w:val="0"/>
        <w:overflowPunct w:val="0"/>
        <w:autoSpaceDE w:val="0"/>
        <w:autoSpaceDN w:val="0"/>
        <w:adjustRightInd w:val="0"/>
        <w:snapToGrid w:val="0"/>
        <w:spacing w:line="480" w:lineRule="auto"/>
        <w:contextualSpacing/>
        <w:rPr>
          <w:rFonts w:ascii="Times New Roman" w:hAnsi="Times New Roman" w:cs="Times New Roman"/>
          <w:b/>
          <w:bCs/>
          <w:sz w:val="24"/>
        </w:rPr>
      </w:pPr>
    </w:p>
    <w:p w:rsidR="008B51B0" w:rsidRDefault="008B51B0" w:rsidP="008B51B0">
      <w:pPr>
        <w:kinsoku w:val="0"/>
        <w:overflowPunct w:val="0"/>
        <w:autoSpaceDE w:val="0"/>
        <w:autoSpaceDN w:val="0"/>
        <w:adjustRightInd w:val="0"/>
        <w:snapToGrid w:val="0"/>
        <w:spacing w:line="480" w:lineRule="auto"/>
        <w:contextualSpacing/>
        <w:rPr>
          <w:rFonts w:ascii="Times New Roman" w:hAnsi="Times New Roman" w:cs="Times New Roman"/>
          <w:b/>
          <w:bCs/>
          <w:sz w:val="24"/>
        </w:rPr>
      </w:pPr>
      <w:r>
        <w:rPr>
          <w:rFonts w:ascii="Times New Roman" w:hAnsi="Times New Roman" w:cs="Times New Roman"/>
          <w:b/>
          <w:bCs/>
          <w:sz w:val="24"/>
        </w:rPr>
        <w:t xml:space="preserve">Figure S7. </w:t>
      </w:r>
      <w:r>
        <w:rPr>
          <w:rFonts w:ascii="Times New Roman" w:hAnsi="Times New Roman" w:cs="Times New Roman"/>
          <w:b/>
          <w:bCs/>
          <w:i/>
          <w:iCs/>
          <w:sz w:val="24"/>
        </w:rPr>
        <w:t>In vitro</w:t>
      </w:r>
      <w:r>
        <w:rPr>
          <w:rFonts w:ascii="Times New Roman" w:hAnsi="Times New Roman" w:cs="Times New Roman"/>
          <w:b/>
          <w:bCs/>
          <w:sz w:val="24"/>
        </w:rPr>
        <w:t xml:space="preserve"> and </w:t>
      </w:r>
      <w:r>
        <w:rPr>
          <w:rFonts w:ascii="Times New Roman" w:hAnsi="Times New Roman" w:cs="Times New Roman"/>
          <w:b/>
          <w:bCs/>
          <w:i/>
          <w:iCs/>
          <w:sz w:val="24"/>
        </w:rPr>
        <w:t>in vivo</w:t>
      </w:r>
      <w:r>
        <w:rPr>
          <w:rFonts w:ascii="Times New Roman" w:hAnsi="Times New Roman" w:cs="Times New Roman"/>
          <w:b/>
          <w:bCs/>
          <w:sz w:val="24"/>
        </w:rPr>
        <w:t xml:space="preserve"> validation of LEN and the PI3K inhibitor LY294002 in RAB13-overexpressing SU-DHL-2 cells </w:t>
      </w:r>
    </w:p>
    <w:p w:rsidR="008B51B0" w:rsidRDefault="008B51B0" w:rsidP="008B51B0">
      <w:pPr>
        <w:topLinePunct/>
        <w:adjustRightInd w:val="0"/>
        <w:snapToGrid w:val="0"/>
        <w:spacing w:line="480" w:lineRule="auto"/>
        <w:contextualSpacing/>
        <w:jc w:val="left"/>
        <w:rPr>
          <w:rFonts w:ascii="Times New Roman" w:hAnsi="Times New Roman" w:cs="Times New Roman"/>
          <w:sz w:val="24"/>
        </w:rPr>
      </w:pPr>
      <w:r>
        <w:rPr>
          <w:rFonts w:ascii="Times New Roman" w:hAnsi="Times New Roman" w:cs="Times New Roman"/>
          <w:sz w:val="24"/>
        </w:rPr>
        <w:t>(A-B) Detection of the apoptosis rate of SU-DHL-2-NC and SU-DHL-2-OE cell lines treated with DMSO, LEN, or LEN combined with LY294002 using flow cytometry and its statistical analysis. A</w:t>
      </w:r>
      <w:r>
        <w:rPr>
          <w:rFonts w:ascii="Times New Roman" w:eastAsia="SimSun" w:hAnsi="Times New Roman" w:cs="Times New Roman"/>
          <w:sz w:val="24"/>
        </w:rPr>
        <w:t>n increase</w:t>
      </w:r>
      <w:r w:rsidRPr="008B51B0">
        <w:rPr>
          <w:rFonts w:ascii="Times New Roman" w:eastAsia="SimSun" w:hAnsi="Times New Roman" w:cs="Times New Roman"/>
          <w:sz w:val="24"/>
        </w:rPr>
        <w:t xml:space="preserve"> </w:t>
      </w:r>
      <w:r>
        <w:rPr>
          <w:rFonts w:ascii="Times New Roman" w:eastAsia="SimSun" w:hAnsi="Times New Roman" w:cs="Times New Roman"/>
          <w:sz w:val="24"/>
        </w:rPr>
        <w:t>in the apoptosis rate was noted after</w:t>
      </w:r>
      <w:r>
        <w:rPr>
          <w:rFonts w:ascii="Times New Roman" w:hAnsi="Times New Roman" w:cs="Times New Roman"/>
          <w:sz w:val="24"/>
        </w:rPr>
        <w:t xml:space="preserve"> treatment with LEN combined with </w:t>
      </w:r>
      <w:r>
        <w:rPr>
          <w:rFonts w:ascii="Times New Roman" w:hAnsi="Times New Roman" w:cs="Times New Roman"/>
          <w:sz w:val="24"/>
        </w:rPr>
        <w:lastRenderedPageBreak/>
        <w:t>LY294002 in the SU-DHL-2-OE cell line. (C) Representative images of xenograft tumors derived from SU-DHL-2-NC and SU-DHL-2-OE cells treated with DMSO, LEN, or LEN combined with LY294002. (D) Tumor growth curves showing significantly reduced tumor volume in the SU-DHL-2-OE + LEN and SU-DHL-2-OE + LEN + LY294002 groups compared with controls. (E) Tumor weight measurements confirmed the inhibitory effect of LEN, which was enhanced by the combination with LY294002. Statistical significance was determined by ANOVA. Data are shown as mean ± SD from three independent experiments (ns, not significant; *</w:t>
      </w:r>
      <w:r>
        <w:rPr>
          <w:rFonts w:ascii="Times New Roman" w:hAnsi="Times New Roman" w:cs="Times New Roman"/>
          <w:i/>
          <w:iCs/>
          <w:sz w:val="24"/>
        </w:rPr>
        <w:t>P</w:t>
      </w:r>
      <w:r>
        <w:rPr>
          <w:rFonts w:ascii="Times New Roman" w:hAnsi="Times New Roman" w:cs="Times New Roman"/>
          <w:sz w:val="24"/>
        </w:rPr>
        <w:t xml:space="preserve"> &lt; 0.05; **</w:t>
      </w:r>
      <w:r>
        <w:rPr>
          <w:rFonts w:ascii="Times New Roman" w:hAnsi="Times New Roman" w:cs="Times New Roman"/>
          <w:i/>
          <w:iCs/>
          <w:sz w:val="24"/>
        </w:rPr>
        <w:t xml:space="preserve">P </w:t>
      </w:r>
      <w:r>
        <w:rPr>
          <w:rFonts w:ascii="Times New Roman" w:hAnsi="Times New Roman" w:cs="Times New Roman"/>
          <w:sz w:val="24"/>
        </w:rPr>
        <w:t>&lt; 0.01; ***</w:t>
      </w:r>
      <w:r>
        <w:rPr>
          <w:rFonts w:ascii="Times New Roman" w:hAnsi="Times New Roman" w:cs="Times New Roman"/>
          <w:i/>
          <w:iCs/>
          <w:sz w:val="24"/>
        </w:rPr>
        <w:t>P</w:t>
      </w:r>
      <w:r>
        <w:rPr>
          <w:rFonts w:ascii="Times New Roman" w:hAnsi="Times New Roman" w:cs="Times New Roman"/>
          <w:sz w:val="24"/>
        </w:rPr>
        <w:t xml:space="preserve"> &lt; 0.001). </w:t>
      </w:r>
    </w:p>
    <w:p w:rsidR="008B51B0" w:rsidRDefault="008B51B0" w:rsidP="008B51B0">
      <w:pPr>
        <w:topLinePunct/>
        <w:adjustRightInd w:val="0"/>
        <w:snapToGrid w:val="0"/>
        <w:spacing w:line="480" w:lineRule="auto"/>
        <w:contextualSpacing/>
        <w:jc w:val="left"/>
        <w:rPr>
          <w:rFonts w:ascii="Times New Roman" w:hAnsi="Times New Roman" w:cs="Times New Roman"/>
          <w:sz w:val="24"/>
        </w:rPr>
      </w:pPr>
    </w:p>
    <w:p w:rsidR="00AA0AFD" w:rsidRPr="008B51B0" w:rsidRDefault="00AA0AFD" w:rsidP="008B51B0"/>
    <w:sectPr w:rsidR="00AA0AFD" w:rsidRPr="008B51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1B0"/>
    <w:rsid w:val="000D798D"/>
    <w:rsid w:val="00152DAA"/>
    <w:rsid w:val="008B51B0"/>
    <w:rsid w:val="00AA0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6F3289-91A4-4D66-AE8B-87781ACE8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8B51B0"/>
    <w:pPr>
      <w:widowControl w:val="0"/>
      <w:spacing w:after="0" w:line="240" w:lineRule="auto"/>
      <w:jc w:val="both"/>
    </w:pPr>
    <w:rPr>
      <w:rFonts w:eastAsiaTheme="minorEastAsia"/>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uiPriority w:val="99"/>
    <w:qFormat/>
    <w:rsid w:val="008B51B0"/>
    <w:rPr>
      <w:sz w:val="20"/>
      <w:szCs w:val="20"/>
    </w:rPr>
  </w:style>
  <w:style w:type="character" w:customStyle="1" w:styleId="CommentTextChar">
    <w:name w:val="Comment Text Char"/>
    <w:basedOn w:val="DefaultParagraphFont"/>
    <w:link w:val="CommentText"/>
    <w:uiPriority w:val="99"/>
    <w:qFormat/>
    <w:rsid w:val="008B51B0"/>
    <w:rPr>
      <w:rFonts w:eastAsiaTheme="minorEastAsia"/>
      <w:kern w:val="2"/>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567</Words>
  <Characters>3232</Characters>
  <Application>Microsoft Office Word</Application>
  <DocSecurity>0</DocSecurity>
  <Lines>26</Lines>
  <Paragraphs>7</Paragraphs>
  <ScaleCrop>false</ScaleCrop>
  <Company/>
  <LinksUpToDate>false</LinksUpToDate>
  <CharactersWithSpaces>3792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Jamaica Mae Acar</dc:creator>
  <cp:keywords/>
  <dc:description/>
  <cp:lastModifiedBy>Jamaica Mae Acar</cp:lastModifiedBy>
  <cp:revision>1</cp:revision>
  <dcterms:created xsi:type="dcterms:W3CDTF">2026-08-19T01:06:00Z</dcterms:created>
  <dcterms:modified xsi:type="dcterms:W3CDTF">2026-08-19T01:09:00Z</dcterms:modified>
</cp:coreProperties>
</file>