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741A4" w14:textId="211C1454" w:rsidR="00710F5D" w:rsidRDefault="00710F5D" w:rsidP="00710F5D">
      <w:pPr>
        <w:rPr>
          <w:rFonts w:ascii="Arial" w:hAnsi="Arial"/>
          <w:sz w:val="22"/>
          <w:szCs w:val="22"/>
        </w:rPr>
      </w:pPr>
      <w:bookmarkStart w:id="0" w:name="_GoBack"/>
      <w:bookmarkEnd w:id="0"/>
    </w:p>
    <w:p w14:paraId="79DDF403" w14:textId="3457A28A" w:rsidR="00710F5D" w:rsidRPr="00067CD3" w:rsidRDefault="002E67CE" w:rsidP="00710F5D">
      <w:pPr>
        <w:rPr>
          <w:rFonts w:ascii="Arial" w:hAnsi="Arial"/>
          <w:b/>
          <w:sz w:val="22"/>
          <w:szCs w:val="22"/>
        </w:rPr>
      </w:pPr>
      <w:proofErr w:type="gramStart"/>
      <w:r>
        <w:rPr>
          <w:rFonts w:ascii="Arial" w:hAnsi="Arial"/>
          <w:b/>
          <w:sz w:val="22"/>
          <w:szCs w:val="22"/>
        </w:rPr>
        <w:t>Supplementary Fig</w:t>
      </w:r>
      <w:r w:rsidR="006D7512">
        <w:rPr>
          <w:rFonts w:ascii="Arial" w:hAnsi="Arial"/>
          <w:b/>
          <w:sz w:val="22"/>
          <w:szCs w:val="22"/>
        </w:rPr>
        <w:t xml:space="preserve">ure </w:t>
      </w:r>
      <w:r w:rsidR="00710F5D" w:rsidRPr="00067CD3">
        <w:rPr>
          <w:rFonts w:ascii="Arial" w:hAnsi="Arial"/>
          <w:b/>
          <w:sz w:val="22"/>
          <w:szCs w:val="22"/>
        </w:rPr>
        <w:t>S1</w:t>
      </w:r>
      <w:r>
        <w:rPr>
          <w:rFonts w:ascii="Arial" w:hAnsi="Arial"/>
          <w:b/>
          <w:sz w:val="22"/>
          <w:szCs w:val="22"/>
        </w:rPr>
        <w:t>.</w:t>
      </w:r>
      <w:proofErr w:type="gramEnd"/>
      <w:r w:rsidR="00710F5D">
        <w:rPr>
          <w:rFonts w:ascii="Arial" w:hAnsi="Arial"/>
          <w:b/>
          <w:sz w:val="22"/>
          <w:szCs w:val="22"/>
        </w:rPr>
        <w:t xml:space="preserve"> </w:t>
      </w:r>
      <w:r w:rsidR="00710F5D" w:rsidRPr="00067CD3">
        <w:rPr>
          <w:rFonts w:ascii="Arial" w:hAnsi="Arial"/>
          <w:b/>
          <w:sz w:val="22"/>
          <w:szCs w:val="22"/>
        </w:rPr>
        <w:t>Results of luminescence assay for compounds tested against seven human AML cell lines</w:t>
      </w:r>
    </w:p>
    <w:p w14:paraId="52E70336" w14:textId="77777777" w:rsidR="00710F5D" w:rsidRDefault="00710F5D" w:rsidP="00710F5D">
      <w:pPr>
        <w:rPr>
          <w:rFonts w:ascii="Arial" w:hAnsi="Arial"/>
        </w:rPr>
      </w:pPr>
    </w:p>
    <w:p w14:paraId="03732396" w14:textId="21744B6E" w:rsidR="00710F5D" w:rsidRDefault="00710F5D" w:rsidP="00710F5D">
      <w:pPr>
        <w:rPr>
          <w:rFonts w:ascii="Arial" w:hAnsi="Arial"/>
        </w:rPr>
      </w:pPr>
    </w:p>
    <w:p w14:paraId="7328D35B" w14:textId="158882F7" w:rsidR="00710F5D" w:rsidRDefault="003803FF" w:rsidP="00710F5D">
      <w:pPr>
        <w:rPr>
          <w:rFonts w:ascii="Arial" w:hAnsi="Arial"/>
        </w:rPr>
      </w:pPr>
      <w:r w:rsidRPr="008F3E15">
        <w:rPr>
          <w:rFonts w:ascii="Arial" w:hAnsi="Arial"/>
          <w:noProof/>
        </w:rPr>
        <w:drawing>
          <wp:anchor distT="0" distB="0" distL="114300" distR="114300" simplePos="0" relativeHeight="251684864" behindDoc="1" locked="0" layoutInCell="1" allowOverlap="1" wp14:anchorId="35D28D7B" wp14:editId="18CDF38A">
            <wp:simplePos x="0" y="0"/>
            <wp:positionH relativeFrom="column">
              <wp:posOffset>-38450</wp:posOffset>
            </wp:positionH>
            <wp:positionV relativeFrom="paragraph">
              <wp:posOffset>4445</wp:posOffset>
            </wp:positionV>
            <wp:extent cx="6032938" cy="3657266"/>
            <wp:effectExtent l="0" t="0" r="635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938" cy="3657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414E29" w14:textId="77777777" w:rsidR="00710F5D" w:rsidRDefault="00710F5D" w:rsidP="00710F5D">
      <w:pPr>
        <w:rPr>
          <w:rFonts w:ascii="Arial" w:hAnsi="Arial"/>
        </w:rPr>
      </w:pPr>
    </w:p>
    <w:p w14:paraId="6460375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A38B4A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C77C9BB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A82DAF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916C28A" w14:textId="7070AEC1" w:rsidR="00710F5D" w:rsidRDefault="00710F5D" w:rsidP="00710F5D">
      <w:pPr>
        <w:rPr>
          <w:rFonts w:ascii="Arial" w:hAnsi="Arial"/>
          <w:sz w:val="22"/>
          <w:szCs w:val="22"/>
        </w:rPr>
      </w:pPr>
    </w:p>
    <w:p w14:paraId="79322AA8" w14:textId="57917560" w:rsidR="00710F5D" w:rsidRDefault="00710F5D" w:rsidP="00710F5D">
      <w:pPr>
        <w:rPr>
          <w:rFonts w:ascii="Arial" w:hAnsi="Arial"/>
          <w:sz w:val="22"/>
          <w:szCs w:val="22"/>
        </w:rPr>
      </w:pPr>
    </w:p>
    <w:p w14:paraId="149B58E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6AE8916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0CDCB7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202553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E8CDEE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D50F4C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5CC3A10" w14:textId="037673F9" w:rsidR="00710F5D" w:rsidRDefault="00710F5D" w:rsidP="00710F5D">
      <w:pPr>
        <w:rPr>
          <w:rFonts w:ascii="Arial" w:hAnsi="Arial"/>
          <w:sz w:val="22"/>
          <w:szCs w:val="22"/>
        </w:rPr>
      </w:pPr>
    </w:p>
    <w:p w14:paraId="56DC264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6B4F03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670754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350E676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1A60E76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A85BDA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7C9820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88D9ED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C1320E0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4E126DE" w14:textId="77777777" w:rsidR="00710F5D" w:rsidRDefault="00710F5D" w:rsidP="002E67CE">
      <w:pPr>
        <w:spacing w:line="480" w:lineRule="auto"/>
        <w:rPr>
          <w:rFonts w:ascii="Arial" w:hAnsi="Arial"/>
          <w:sz w:val="22"/>
          <w:szCs w:val="22"/>
        </w:rPr>
      </w:pPr>
    </w:p>
    <w:p w14:paraId="52AA067F" w14:textId="4B64569E" w:rsidR="00710F5D" w:rsidRPr="002E67CE" w:rsidRDefault="00710F5D" w:rsidP="002E67CE">
      <w:pPr>
        <w:spacing w:line="480" w:lineRule="auto"/>
        <w:rPr>
          <w:rFonts w:ascii="Arial" w:hAnsi="Arial"/>
          <w:b/>
          <w:sz w:val="22"/>
          <w:szCs w:val="22"/>
        </w:rPr>
      </w:pPr>
      <w:r w:rsidRPr="00790A04">
        <w:rPr>
          <w:rFonts w:ascii="Arial" w:hAnsi="Arial"/>
          <w:b/>
          <w:sz w:val="22"/>
          <w:szCs w:val="22"/>
        </w:rPr>
        <w:t xml:space="preserve">Supplementary </w:t>
      </w:r>
      <w:r w:rsidR="002E67CE">
        <w:rPr>
          <w:rFonts w:ascii="Arial" w:hAnsi="Arial"/>
          <w:b/>
          <w:sz w:val="22"/>
          <w:szCs w:val="22"/>
        </w:rPr>
        <w:t>Fig</w:t>
      </w:r>
      <w:r w:rsidR="006D7512">
        <w:rPr>
          <w:rFonts w:ascii="Arial" w:hAnsi="Arial"/>
          <w:b/>
          <w:sz w:val="22"/>
          <w:szCs w:val="22"/>
        </w:rPr>
        <w:t xml:space="preserve">ure </w:t>
      </w:r>
      <w:r w:rsidRPr="00790A04">
        <w:rPr>
          <w:rFonts w:ascii="Arial" w:hAnsi="Arial"/>
          <w:b/>
          <w:sz w:val="22"/>
          <w:szCs w:val="22"/>
        </w:rPr>
        <w:t>S1:</w:t>
      </w:r>
      <w:r w:rsidR="002E67CE">
        <w:rPr>
          <w:rFonts w:ascii="Arial" w:hAnsi="Arial"/>
          <w:b/>
          <w:sz w:val="22"/>
          <w:szCs w:val="22"/>
        </w:rPr>
        <w:t xml:space="preserve"> </w:t>
      </w:r>
      <w:r w:rsidR="00D570BF" w:rsidRPr="00A93216">
        <w:rPr>
          <w:rFonts w:ascii="Arial" w:hAnsi="Arial"/>
          <w:b/>
          <w:sz w:val="22"/>
          <w:szCs w:val="22"/>
        </w:rPr>
        <w:t>a</w:t>
      </w:r>
      <w:r w:rsidRPr="00790A04">
        <w:rPr>
          <w:rFonts w:ascii="Arial" w:hAnsi="Arial"/>
          <w:sz w:val="22"/>
          <w:szCs w:val="22"/>
        </w:rPr>
        <w:t xml:space="preserve">, AP-1060. </w:t>
      </w:r>
      <w:proofErr w:type="gramStart"/>
      <w:r w:rsidR="00D570BF" w:rsidRPr="00A93216">
        <w:rPr>
          <w:rFonts w:ascii="Arial" w:hAnsi="Arial"/>
          <w:b/>
          <w:sz w:val="22"/>
          <w:szCs w:val="22"/>
        </w:rPr>
        <w:t>b</w:t>
      </w:r>
      <w:proofErr w:type="gramEnd"/>
      <w:r w:rsidRPr="00790A04">
        <w:rPr>
          <w:rFonts w:ascii="Arial" w:hAnsi="Arial"/>
          <w:sz w:val="22"/>
          <w:szCs w:val="22"/>
        </w:rPr>
        <w:t>, OCI-AML5</w:t>
      </w:r>
      <w:r w:rsidR="009A5938" w:rsidRPr="00790A04">
        <w:rPr>
          <w:rFonts w:ascii="Arial" w:hAnsi="Arial"/>
          <w:sz w:val="22"/>
          <w:szCs w:val="22"/>
        </w:rPr>
        <w:t>.</w:t>
      </w:r>
      <w:r w:rsidRPr="00790A04">
        <w:rPr>
          <w:rFonts w:ascii="Arial" w:hAnsi="Arial"/>
          <w:sz w:val="22"/>
          <w:szCs w:val="22"/>
        </w:rPr>
        <w:t xml:space="preserve"> </w:t>
      </w:r>
      <w:proofErr w:type="gramStart"/>
      <w:r w:rsidR="00A93216" w:rsidRPr="00A93216">
        <w:rPr>
          <w:rFonts w:ascii="Arial" w:hAnsi="Arial"/>
          <w:b/>
          <w:sz w:val="22"/>
          <w:szCs w:val="22"/>
        </w:rPr>
        <w:t>c</w:t>
      </w:r>
      <w:proofErr w:type="gramEnd"/>
      <w:r w:rsidRPr="00790A04">
        <w:rPr>
          <w:rFonts w:ascii="Arial" w:hAnsi="Arial"/>
          <w:sz w:val="22"/>
          <w:szCs w:val="22"/>
        </w:rPr>
        <w:t xml:space="preserve">, FKH-1. </w:t>
      </w:r>
      <w:proofErr w:type="gramStart"/>
      <w:r w:rsidR="00D570BF" w:rsidRPr="00A93216">
        <w:rPr>
          <w:rFonts w:ascii="Arial" w:hAnsi="Arial"/>
          <w:b/>
          <w:sz w:val="22"/>
          <w:szCs w:val="22"/>
        </w:rPr>
        <w:t>d</w:t>
      </w:r>
      <w:proofErr w:type="gramEnd"/>
      <w:r w:rsidRPr="00790A04">
        <w:rPr>
          <w:rFonts w:ascii="Arial" w:hAnsi="Arial"/>
          <w:sz w:val="22"/>
          <w:szCs w:val="22"/>
        </w:rPr>
        <w:t xml:space="preserve">, MV4-11. </w:t>
      </w:r>
      <w:proofErr w:type="gramStart"/>
      <w:r w:rsidR="00D570BF" w:rsidRPr="00A93216">
        <w:rPr>
          <w:rFonts w:ascii="Arial" w:hAnsi="Arial"/>
          <w:b/>
          <w:sz w:val="22"/>
          <w:szCs w:val="22"/>
        </w:rPr>
        <w:t>e</w:t>
      </w:r>
      <w:proofErr w:type="gramEnd"/>
      <w:r w:rsidRPr="00790A04">
        <w:rPr>
          <w:rFonts w:ascii="Arial" w:hAnsi="Arial"/>
          <w:sz w:val="22"/>
          <w:szCs w:val="22"/>
        </w:rPr>
        <w:t>, MUTZ-2</w:t>
      </w:r>
      <w:r w:rsidR="009A5938" w:rsidRPr="00790A04">
        <w:rPr>
          <w:rFonts w:ascii="Arial" w:hAnsi="Arial"/>
          <w:sz w:val="22"/>
          <w:szCs w:val="22"/>
        </w:rPr>
        <w:t>.</w:t>
      </w:r>
      <w:r w:rsidRPr="00790A04">
        <w:rPr>
          <w:rFonts w:ascii="Arial" w:hAnsi="Arial"/>
          <w:sz w:val="22"/>
          <w:szCs w:val="22"/>
        </w:rPr>
        <w:t xml:space="preserve"> </w:t>
      </w:r>
      <w:proofErr w:type="gramStart"/>
      <w:r w:rsidR="00D570BF" w:rsidRPr="00A93216">
        <w:rPr>
          <w:rFonts w:ascii="Arial" w:hAnsi="Arial"/>
          <w:b/>
          <w:sz w:val="22"/>
          <w:szCs w:val="22"/>
        </w:rPr>
        <w:t>f</w:t>
      </w:r>
      <w:proofErr w:type="gramEnd"/>
      <w:r w:rsidRPr="00790A04">
        <w:rPr>
          <w:rFonts w:ascii="Arial" w:hAnsi="Arial"/>
          <w:sz w:val="22"/>
          <w:szCs w:val="22"/>
        </w:rPr>
        <w:t>, MOLM-14</w:t>
      </w:r>
      <w:r w:rsidR="009A5938" w:rsidRPr="00790A04">
        <w:rPr>
          <w:rFonts w:ascii="Arial" w:hAnsi="Arial"/>
          <w:sz w:val="22"/>
          <w:szCs w:val="22"/>
        </w:rPr>
        <w:t xml:space="preserve">. </w:t>
      </w:r>
      <w:proofErr w:type="gramStart"/>
      <w:r w:rsidR="00D570BF" w:rsidRPr="00A93216">
        <w:rPr>
          <w:rFonts w:ascii="Arial" w:hAnsi="Arial"/>
          <w:b/>
          <w:sz w:val="22"/>
          <w:szCs w:val="22"/>
        </w:rPr>
        <w:t>g</w:t>
      </w:r>
      <w:proofErr w:type="gramEnd"/>
      <w:r w:rsidRPr="00790A04">
        <w:rPr>
          <w:rFonts w:ascii="Arial" w:hAnsi="Arial"/>
          <w:sz w:val="22"/>
          <w:szCs w:val="22"/>
        </w:rPr>
        <w:t>, HL-60</w:t>
      </w:r>
      <w:r w:rsidR="009A5938" w:rsidRPr="00835F80">
        <w:rPr>
          <w:rFonts w:ascii="Arial" w:hAnsi="Arial"/>
          <w:sz w:val="22"/>
          <w:szCs w:val="22"/>
        </w:rPr>
        <w:t xml:space="preserve">. </w:t>
      </w:r>
      <w:r w:rsidRPr="00835F80">
        <w:rPr>
          <w:rFonts w:ascii="Arial" w:hAnsi="Arial"/>
          <w:sz w:val="22"/>
          <w:szCs w:val="22"/>
        </w:rPr>
        <w:t xml:space="preserve">Curves represent the average of two independent experiments. Luminescence at 0 </w:t>
      </w:r>
      <w:proofErr w:type="spellStart"/>
      <w:r w:rsidRPr="00835F80">
        <w:rPr>
          <w:rFonts w:ascii="Arial" w:hAnsi="Arial"/>
          <w:sz w:val="22"/>
          <w:szCs w:val="22"/>
        </w:rPr>
        <w:t>nM</w:t>
      </w:r>
      <w:proofErr w:type="spellEnd"/>
      <w:r w:rsidRPr="00835F80">
        <w:rPr>
          <w:rFonts w:ascii="Arial" w:hAnsi="Arial"/>
          <w:sz w:val="22"/>
          <w:szCs w:val="22"/>
        </w:rPr>
        <w:t xml:space="preserve"> drug concentration was determined by averaging five control wells. Luminescence units are reported as measured by a </w:t>
      </w:r>
      <w:proofErr w:type="spellStart"/>
      <w:r w:rsidRPr="00835F80">
        <w:rPr>
          <w:rFonts w:ascii="Arial" w:hAnsi="Arial"/>
          <w:sz w:val="22"/>
          <w:szCs w:val="22"/>
        </w:rPr>
        <w:t>luminometer</w:t>
      </w:r>
      <w:proofErr w:type="spellEnd"/>
      <w:r w:rsidRPr="00835F80">
        <w:rPr>
          <w:rFonts w:ascii="Arial" w:hAnsi="Arial"/>
          <w:sz w:val="22"/>
          <w:szCs w:val="22"/>
        </w:rPr>
        <w:t xml:space="preserve"> as part of the </w:t>
      </w:r>
      <w:proofErr w:type="spellStart"/>
      <w:r w:rsidRPr="00835F80">
        <w:rPr>
          <w:rFonts w:ascii="Arial" w:hAnsi="Arial"/>
          <w:sz w:val="22"/>
          <w:szCs w:val="22"/>
        </w:rPr>
        <w:t>CellTiter-Glo</w:t>
      </w:r>
      <w:proofErr w:type="spellEnd"/>
      <w:r w:rsidRPr="00835F80">
        <w:rPr>
          <w:rFonts w:ascii="Arial" w:hAnsi="Arial"/>
          <w:sz w:val="22"/>
          <w:szCs w:val="22"/>
        </w:rPr>
        <w:t xml:space="preserve"> assay.</w:t>
      </w:r>
      <w:r w:rsidR="009A5938" w:rsidRPr="00835F80">
        <w:rPr>
          <w:rFonts w:ascii="Arial" w:hAnsi="Arial"/>
          <w:sz w:val="22"/>
          <w:szCs w:val="22"/>
        </w:rPr>
        <w:t xml:space="preserve"> </w:t>
      </w:r>
      <w:r w:rsidR="009A5938" w:rsidRPr="00835F80">
        <w:rPr>
          <w:rFonts w:ascii="Arial" w:hAnsi="Arial" w:cs="Arial"/>
          <w:sz w:val="22"/>
          <w:szCs w:val="22"/>
        </w:rPr>
        <w:t xml:space="preserve">Cell lines are labeled by mechanism of MYC </w:t>
      </w:r>
      <w:r w:rsidR="009A5938" w:rsidRPr="00835F80">
        <w:rPr>
          <w:rFonts w:ascii="Arial" w:hAnsi="Arial" w:cs="Arial"/>
          <w:color w:val="000000" w:themeColor="text1"/>
          <w:sz w:val="22"/>
          <w:szCs w:val="22"/>
        </w:rPr>
        <w:t xml:space="preserve">overexpression: </w:t>
      </w:r>
      <w:r w:rsidR="009A5938" w:rsidRPr="00790A04">
        <w:rPr>
          <w:rFonts w:ascii="Arial" w:hAnsi="Arial" w:cs="Arial"/>
          <w:color w:val="000000" w:themeColor="text1"/>
          <w:sz w:val="22"/>
          <w:szCs w:val="22"/>
        </w:rPr>
        <w:t xml:space="preserve"> *no known MYC overexpression; **trisomy 8; ***FLT3-ITD and gain of chromosome 8; ****MYC amplification.</w:t>
      </w:r>
    </w:p>
    <w:p w14:paraId="5FC806C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7B82B6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7E05B40" w14:textId="62EEF3D1" w:rsidR="00612545" w:rsidRPr="00FC2E99" w:rsidRDefault="00612545">
      <w:pPr>
        <w:rPr>
          <w:rFonts w:ascii="Arial" w:hAnsi="Arial" w:cs="Arial"/>
          <w:sz w:val="22"/>
          <w:szCs w:val="22"/>
        </w:rPr>
      </w:pPr>
    </w:p>
    <w:sectPr w:rsidR="00612545" w:rsidRPr="00FC2E99" w:rsidSect="00CE0BC8">
      <w:headerReference w:type="default" r:id="rId8"/>
      <w:footerReference w:type="even" r:id="rId9"/>
      <w:footerReference w:type="default" r:id="rId10"/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D4C27" w14:textId="77777777" w:rsidR="009722EB" w:rsidRDefault="009722EB">
      <w:r>
        <w:separator/>
      </w:r>
    </w:p>
  </w:endnote>
  <w:endnote w:type="continuationSeparator" w:id="0">
    <w:p w14:paraId="1AFA3408" w14:textId="77777777" w:rsidR="009722EB" w:rsidRDefault="00972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60391" w14:textId="77777777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3BFE5" w14:textId="77777777" w:rsidR="00D12058" w:rsidRDefault="00D12058" w:rsidP="00CE0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6565E" w14:textId="77777777" w:rsidR="00D12058" w:rsidRDefault="00D12058" w:rsidP="00CE0B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ABA05" w14:textId="77777777" w:rsidR="009722EB" w:rsidRDefault="009722EB">
      <w:r>
        <w:separator/>
      </w:r>
    </w:p>
  </w:footnote>
  <w:footnote w:type="continuationSeparator" w:id="0">
    <w:p w14:paraId="2300A3EA" w14:textId="77777777" w:rsidR="009722EB" w:rsidRDefault="009722E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2AA57" w14:textId="53B4BD83" w:rsidR="00BA7D5E" w:rsidRDefault="003B2955" w:rsidP="00BA7D5E">
    <w:pPr>
      <w:pStyle w:val="Header"/>
      <w:jc w:val="right"/>
    </w:pPr>
    <w:r>
      <w:t>Brondfield-Kogan-2015-CCP</w:t>
    </w:r>
    <w:r w:rsidR="00BA7D5E">
      <w:t xml:space="preserve">-Supplementary </w:t>
    </w:r>
    <w:r w:rsidR="00505A2E">
      <w:t>Material</w:t>
    </w:r>
    <w:r w:rsidR="008B0E1E">
      <w:t>-Figure S1</w:t>
    </w:r>
  </w:p>
  <w:p w14:paraId="63EDF094" w14:textId="77777777" w:rsidR="00BA7D5E" w:rsidRDefault="00BA7D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65"/>
    <w:rsid w:val="0001157D"/>
    <w:rsid w:val="00033EE1"/>
    <w:rsid w:val="000446C6"/>
    <w:rsid w:val="000B60A4"/>
    <w:rsid w:val="000F15DA"/>
    <w:rsid w:val="00131C3B"/>
    <w:rsid w:val="00175EF1"/>
    <w:rsid w:val="001818A4"/>
    <w:rsid w:val="001B6FF2"/>
    <w:rsid w:val="001C548D"/>
    <w:rsid w:val="00205F0C"/>
    <w:rsid w:val="00276609"/>
    <w:rsid w:val="002943E4"/>
    <w:rsid w:val="002E67CE"/>
    <w:rsid w:val="003132A8"/>
    <w:rsid w:val="003507BF"/>
    <w:rsid w:val="003803FF"/>
    <w:rsid w:val="003B0429"/>
    <w:rsid w:val="003B2955"/>
    <w:rsid w:val="003F73AD"/>
    <w:rsid w:val="0041712B"/>
    <w:rsid w:val="004673BC"/>
    <w:rsid w:val="00475B64"/>
    <w:rsid w:val="004E033B"/>
    <w:rsid w:val="004E275D"/>
    <w:rsid w:val="00505A2E"/>
    <w:rsid w:val="00535E22"/>
    <w:rsid w:val="00586C89"/>
    <w:rsid w:val="005B0B93"/>
    <w:rsid w:val="00612545"/>
    <w:rsid w:val="00686403"/>
    <w:rsid w:val="006D7512"/>
    <w:rsid w:val="006F0C13"/>
    <w:rsid w:val="00710F5D"/>
    <w:rsid w:val="00746E53"/>
    <w:rsid w:val="00750DE5"/>
    <w:rsid w:val="00790A04"/>
    <w:rsid w:val="00835F80"/>
    <w:rsid w:val="008653DE"/>
    <w:rsid w:val="008B0E1E"/>
    <w:rsid w:val="008D6F65"/>
    <w:rsid w:val="008E3105"/>
    <w:rsid w:val="008F0873"/>
    <w:rsid w:val="008F3E15"/>
    <w:rsid w:val="0092135D"/>
    <w:rsid w:val="009722EB"/>
    <w:rsid w:val="0098704E"/>
    <w:rsid w:val="009A5938"/>
    <w:rsid w:val="009B2A04"/>
    <w:rsid w:val="009F5A86"/>
    <w:rsid w:val="00A00F23"/>
    <w:rsid w:val="00A93216"/>
    <w:rsid w:val="00A97318"/>
    <w:rsid w:val="00AF589D"/>
    <w:rsid w:val="00B61FD6"/>
    <w:rsid w:val="00BA7D5E"/>
    <w:rsid w:val="00BF5B75"/>
    <w:rsid w:val="00C13AAC"/>
    <w:rsid w:val="00CC35AA"/>
    <w:rsid w:val="00CE0BC8"/>
    <w:rsid w:val="00D010D5"/>
    <w:rsid w:val="00D12058"/>
    <w:rsid w:val="00D20ABD"/>
    <w:rsid w:val="00D570BF"/>
    <w:rsid w:val="00D608D9"/>
    <w:rsid w:val="00D822C0"/>
    <w:rsid w:val="00D95A29"/>
    <w:rsid w:val="00DC70F4"/>
    <w:rsid w:val="00DD0994"/>
    <w:rsid w:val="00DE0D25"/>
    <w:rsid w:val="00E55818"/>
    <w:rsid w:val="00EC17BD"/>
    <w:rsid w:val="00F633BE"/>
    <w:rsid w:val="00F661EA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125F8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559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References</vt:lpstr>
    </vt:vector>
  </TitlesOfParts>
  <Company>Harvard College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creator>Brondfield Sam</dc:creator>
  <cp:lastModifiedBy>coline gaillard</cp:lastModifiedBy>
  <cp:revision>4</cp:revision>
  <cp:lastPrinted>2015-04-07T01:04:00Z</cp:lastPrinted>
  <dcterms:created xsi:type="dcterms:W3CDTF">2015-04-03T19:19:00Z</dcterms:created>
  <dcterms:modified xsi:type="dcterms:W3CDTF">2015-04-07T01:04:00Z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3456</vt:lpwstr>
  </property>
  <property fmtid="{D5CDD505-2E9C-101B-9397-08002B2CF9AE}" pid="3" name="WnCSubscriberId">
    <vt:lpwstr>4453</vt:lpwstr>
  </property>
  <property fmtid="{D5CDD505-2E9C-101B-9397-08002B2CF9AE}" pid="4" name="WnCOutputStyleId">
    <vt:lpwstr>10355</vt:lpwstr>
  </property>
  <property fmtid="{D5CDD505-2E9C-101B-9397-08002B2CF9AE}" pid="5" name="WnCUser">
    <vt:lpwstr>sbrond_4453</vt:lpwstr>
  </property>
  <property fmtid="{D5CDD505-2E9C-101B-9397-08002B2CF9AE}" pid="6" name="WnC4Folder">
    <vt:lpwstr>Documents///Brondfield-Kogan-CCP-2015-SuppFig1-rev</vt:lpwstr>
  </property>
</Properties>
</file>