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19AA3" w14:textId="77777777" w:rsidR="00C253CA" w:rsidRDefault="00C253CA" w:rsidP="00C253CA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Supplementary Materials and Methods</w:t>
      </w:r>
    </w:p>
    <w:p w14:paraId="57562100" w14:textId="77777777" w:rsidR="00C253CA" w:rsidRDefault="00C253CA" w:rsidP="00C253CA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1E3CE946" w14:textId="77777777" w:rsidR="00C253CA" w:rsidRDefault="00C253CA" w:rsidP="00C253CA">
      <w:pPr>
        <w:tabs>
          <w:tab w:val="left" w:pos="3094"/>
        </w:tabs>
        <w:spacing w:line="480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</w:p>
    <w:p w14:paraId="21CDE7F7" w14:textId="77777777" w:rsidR="00C253CA" w:rsidRDefault="00C253CA" w:rsidP="00C253CA">
      <w:pPr>
        <w:spacing w:line="480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Constructs and bacterial </w:t>
      </w:r>
      <w:proofErr w:type="spellStart"/>
      <w:r>
        <w:rPr>
          <w:rFonts w:ascii="Arial" w:hAnsi="Arial" w:cs="Arial"/>
          <w:i/>
          <w:sz w:val="22"/>
          <w:szCs w:val="22"/>
        </w:rPr>
        <w:t>subcloning</w:t>
      </w:r>
      <w:proofErr w:type="spellEnd"/>
    </w:p>
    <w:p w14:paraId="7348B7C8" w14:textId="77777777" w:rsidR="00C253CA" w:rsidRDefault="00C253CA" w:rsidP="00C253CA">
      <w:pPr>
        <w:spacing w:line="480" w:lineRule="auto"/>
        <w:rPr>
          <w:rFonts w:ascii="Arial" w:hAnsi="Arial" w:cs="Arial"/>
          <w:i/>
          <w:sz w:val="22"/>
          <w:szCs w:val="22"/>
        </w:rPr>
      </w:pPr>
    </w:p>
    <w:p w14:paraId="47BF77AE" w14:textId="77777777" w:rsidR="00C253CA" w:rsidRDefault="00C253CA" w:rsidP="00C253CA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Bacterial plasmid constructs containing </w:t>
      </w:r>
      <w:proofErr w:type="spellStart"/>
      <w:r>
        <w:rPr>
          <w:rFonts w:ascii="Arial" w:hAnsi="Arial" w:cs="Arial"/>
          <w:sz w:val="22"/>
          <w:szCs w:val="22"/>
        </w:rPr>
        <w:t>shRNA</w:t>
      </w:r>
      <w:proofErr w:type="spellEnd"/>
      <w:r>
        <w:rPr>
          <w:rFonts w:ascii="Arial" w:hAnsi="Arial" w:cs="Arial"/>
          <w:sz w:val="22"/>
          <w:szCs w:val="22"/>
        </w:rPr>
        <w:t xml:space="preserve"> sequences were obtained from the laboratory of Dr. Scott W. Lowe at Cold Spring Harbor: pMSCV-miR30.1224-SV40-mCherry (MLC) vector containing the anti-Renilla.713 sequence, pMSCV-miR30.1224-SV40-GFP (MLS) vector containing the anti-RPA3.457 </w:t>
      </w:r>
      <w:proofErr w:type="spellStart"/>
      <w:r>
        <w:rPr>
          <w:rFonts w:ascii="Arial" w:hAnsi="Arial" w:cs="Arial"/>
          <w:sz w:val="22"/>
          <w:szCs w:val="22"/>
        </w:rPr>
        <w:t>shRNA</w:t>
      </w:r>
      <w:proofErr w:type="spellEnd"/>
      <w:r>
        <w:rPr>
          <w:rFonts w:ascii="Arial" w:hAnsi="Arial" w:cs="Arial"/>
          <w:sz w:val="22"/>
          <w:szCs w:val="22"/>
        </w:rPr>
        <w:t xml:space="preserve"> sequence, the anti-Myc.1888 sequence, or the anti-Myc.1891 sequence, and pMSCV-miR30-Puromycin-IRES-GFP (LMP) vector containing the anti-Myc.2105 sequence. These plasmids were transformed into DH5α. Individual colonies were mini-prepped (</w:t>
      </w:r>
      <w:proofErr w:type="spellStart"/>
      <w:r>
        <w:rPr>
          <w:rFonts w:ascii="Arial" w:hAnsi="Arial" w:cs="Arial"/>
          <w:sz w:val="22"/>
          <w:szCs w:val="22"/>
        </w:rPr>
        <w:t>Bioneer</w:t>
      </w:r>
      <w:proofErr w:type="spellEnd"/>
      <w:r>
        <w:rPr>
          <w:rFonts w:ascii="Arial" w:hAnsi="Arial" w:cs="Arial"/>
          <w:sz w:val="22"/>
          <w:szCs w:val="22"/>
        </w:rPr>
        <w:t xml:space="preserve"> cat#K-3030) and sequenced. After validation, </w:t>
      </w:r>
      <w:proofErr w:type="spellStart"/>
      <w:r>
        <w:rPr>
          <w:rFonts w:ascii="Arial" w:hAnsi="Arial" w:cs="Arial"/>
          <w:sz w:val="22"/>
          <w:szCs w:val="22"/>
        </w:rPr>
        <w:t>MaxiPreps</w:t>
      </w:r>
      <w:proofErr w:type="spellEnd"/>
      <w:r>
        <w:rPr>
          <w:rFonts w:ascii="Arial" w:hAnsi="Arial" w:cs="Arial"/>
          <w:sz w:val="22"/>
          <w:szCs w:val="22"/>
        </w:rPr>
        <w:t xml:space="preserve"> were prepared (</w:t>
      </w:r>
      <w:proofErr w:type="spellStart"/>
      <w:r>
        <w:rPr>
          <w:rFonts w:ascii="Arial" w:hAnsi="Arial" w:cs="Arial"/>
          <w:sz w:val="22"/>
          <w:szCs w:val="22"/>
        </w:rPr>
        <w:t>Qiagen</w:t>
      </w:r>
      <w:proofErr w:type="spellEnd"/>
      <w:r>
        <w:rPr>
          <w:rFonts w:ascii="Arial" w:hAnsi="Arial" w:cs="Arial"/>
          <w:sz w:val="22"/>
          <w:szCs w:val="22"/>
        </w:rPr>
        <w:t xml:space="preserve"> cat#12663) for </w:t>
      </w:r>
      <w:proofErr w:type="spellStart"/>
      <w:r>
        <w:rPr>
          <w:rFonts w:ascii="Arial" w:hAnsi="Arial" w:cs="Arial"/>
          <w:sz w:val="22"/>
          <w:szCs w:val="22"/>
        </w:rPr>
        <w:t>subcloning</w:t>
      </w:r>
      <w:proofErr w:type="spellEnd"/>
      <w:r>
        <w:rPr>
          <w:rFonts w:ascii="Arial" w:hAnsi="Arial" w:cs="Arial"/>
          <w:sz w:val="22"/>
          <w:szCs w:val="22"/>
        </w:rPr>
        <w:t xml:space="preserve">. To isolate the </w:t>
      </w:r>
      <w:proofErr w:type="spellStart"/>
      <w:r>
        <w:rPr>
          <w:rFonts w:ascii="Arial" w:hAnsi="Arial" w:cs="Arial"/>
          <w:sz w:val="22"/>
          <w:szCs w:val="22"/>
        </w:rPr>
        <w:t>shRNA</w:t>
      </w:r>
      <w:proofErr w:type="spellEnd"/>
      <w:r>
        <w:rPr>
          <w:rFonts w:ascii="Arial" w:hAnsi="Arial" w:cs="Arial"/>
          <w:sz w:val="22"/>
          <w:szCs w:val="22"/>
        </w:rPr>
        <w:t xml:space="preserve"> fragments, 20 μg of plasmid was digested with </w:t>
      </w:r>
      <w:proofErr w:type="spellStart"/>
      <w:r>
        <w:rPr>
          <w:rFonts w:ascii="Arial" w:hAnsi="Arial" w:cs="Arial"/>
          <w:sz w:val="22"/>
          <w:szCs w:val="22"/>
        </w:rPr>
        <w:t>XhoI</w:t>
      </w:r>
      <w:proofErr w:type="spellEnd"/>
      <w:r>
        <w:rPr>
          <w:rFonts w:ascii="Arial" w:hAnsi="Arial" w:cs="Arial"/>
          <w:sz w:val="22"/>
          <w:szCs w:val="22"/>
        </w:rPr>
        <w:t xml:space="preserve"> and </w:t>
      </w:r>
      <w:proofErr w:type="spellStart"/>
      <w:r>
        <w:rPr>
          <w:rFonts w:ascii="Arial" w:hAnsi="Arial" w:cs="Arial"/>
          <w:sz w:val="22"/>
          <w:szCs w:val="22"/>
        </w:rPr>
        <w:t>EcoRI</w:t>
      </w:r>
      <w:proofErr w:type="spellEnd"/>
      <w:r>
        <w:rPr>
          <w:rFonts w:ascii="Arial" w:hAnsi="Arial" w:cs="Arial"/>
          <w:sz w:val="22"/>
          <w:szCs w:val="22"/>
        </w:rPr>
        <w:t xml:space="preserve">, and gel purified. To isolate the </w:t>
      </w:r>
      <w:proofErr w:type="spellStart"/>
      <w:r>
        <w:rPr>
          <w:rFonts w:ascii="Arial" w:hAnsi="Arial" w:cs="Arial"/>
          <w:sz w:val="22"/>
          <w:szCs w:val="22"/>
        </w:rPr>
        <w:t>mCherry</w:t>
      </w:r>
      <w:proofErr w:type="spellEnd"/>
      <w:r>
        <w:rPr>
          <w:rFonts w:ascii="Arial" w:hAnsi="Arial" w:cs="Arial"/>
          <w:sz w:val="22"/>
          <w:szCs w:val="22"/>
        </w:rPr>
        <w:t xml:space="preserve">-containing backbone, 5 μg of MLC-Ren.713 plasmid was digested with </w:t>
      </w:r>
      <w:proofErr w:type="spellStart"/>
      <w:r>
        <w:rPr>
          <w:rFonts w:ascii="Arial" w:hAnsi="Arial" w:cs="Arial"/>
          <w:sz w:val="22"/>
          <w:szCs w:val="22"/>
        </w:rPr>
        <w:t>XhoI</w:t>
      </w:r>
      <w:proofErr w:type="spellEnd"/>
      <w:r>
        <w:rPr>
          <w:rFonts w:ascii="Arial" w:hAnsi="Arial" w:cs="Arial"/>
          <w:sz w:val="22"/>
          <w:szCs w:val="22"/>
        </w:rPr>
        <w:t xml:space="preserve"> and </w:t>
      </w:r>
      <w:proofErr w:type="spellStart"/>
      <w:r>
        <w:rPr>
          <w:rFonts w:ascii="Arial" w:hAnsi="Arial" w:cs="Arial"/>
          <w:sz w:val="22"/>
          <w:szCs w:val="22"/>
        </w:rPr>
        <w:t>EcoRI</w:t>
      </w:r>
      <w:proofErr w:type="spellEnd"/>
      <w:r>
        <w:rPr>
          <w:rFonts w:ascii="Arial" w:hAnsi="Arial" w:cs="Arial"/>
          <w:sz w:val="22"/>
          <w:szCs w:val="22"/>
        </w:rPr>
        <w:t xml:space="preserve">, and gel purified. Ligation was performed at 15°C overnight using the T4 DNA ligase in a 1:4 </w:t>
      </w:r>
      <w:proofErr w:type="spellStart"/>
      <w:r>
        <w:rPr>
          <w:rFonts w:ascii="Arial" w:hAnsi="Arial" w:cs="Arial"/>
          <w:sz w:val="22"/>
          <w:szCs w:val="22"/>
        </w:rPr>
        <w:t>backbone</w:t>
      </w:r>
      <w:proofErr w:type="gramStart"/>
      <w:r>
        <w:rPr>
          <w:rFonts w:ascii="Arial" w:hAnsi="Arial" w:cs="Arial"/>
          <w:sz w:val="22"/>
          <w:szCs w:val="22"/>
        </w:rPr>
        <w:t>:insert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ratio.</w:t>
      </w:r>
    </w:p>
    <w:p w14:paraId="175F2A27" w14:textId="77777777" w:rsidR="00C253CA" w:rsidRDefault="00C253CA" w:rsidP="00C253CA">
      <w:pPr>
        <w:spacing w:line="480" w:lineRule="auto"/>
        <w:rPr>
          <w:rFonts w:ascii="Arial" w:hAnsi="Arial" w:cs="Arial"/>
          <w:sz w:val="22"/>
          <w:szCs w:val="22"/>
        </w:rPr>
      </w:pPr>
    </w:p>
    <w:p w14:paraId="38E0C8C6" w14:textId="77777777" w:rsidR="00C253CA" w:rsidRDefault="00C253CA" w:rsidP="00C253CA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i/>
          <w:spacing w:val="3"/>
          <w:kern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pacing w:val="3"/>
          <w:kern w:val="2"/>
          <w:sz w:val="22"/>
          <w:szCs w:val="22"/>
        </w:rPr>
        <w:t>Western Blot Calculations</w:t>
      </w:r>
    </w:p>
    <w:p w14:paraId="22832D06" w14:textId="1759E844" w:rsidR="00C253CA" w:rsidRDefault="00C253CA" w:rsidP="00C253CA">
      <w:pPr>
        <w:spacing w:line="480" w:lineRule="auto"/>
        <w:ind w:firstLine="720"/>
        <w:rPr>
          <w:rFonts w:ascii="Arial" w:hAnsi="Arial" w:cs="Arial"/>
          <w:spacing w:val="3"/>
          <w:kern w:val="2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Chemiluminescent</w:t>
      </w:r>
      <w:proofErr w:type="spellEnd"/>
      <w:r>
        <w:rPr>
          <w:rFonts w:ascii="Arial" w:hAnsi="Arial" w:cs="Arial"/>
          <w:sz w:val="22"/>
          <w:szCs w:val="22"/>
        </w:rPr>
        <w:t xml:space="preserve"> Substrate by </w:t>
      </w:r>
      <w:proofErr w:type="spellStart"/>
      <w:r>
        <w:rPr>
          <w:rFonts w:ascii="Arial" w:hAnsi="Arial" w:cs="Arial"/>
          <w:sz w:val="22"/>
          <w:szCs w:val="22"/>
        </w:rPr>
        <w:t>Supersignal</w:t>
      </w:r>
      <w:proofErr w:type="spellEnd"/>
      <w:r>
        <w:rPr>
          <w:rFonts w:ascii="Arial" w:hAnsi="Arial" w:cs="Arial"/>
          <w:sz w:val="22"/>
          <w:szCs w:val="22"/>
        </w:rPr>
        <w:t xml:space="preserve"> West Pico and the Bio-Rad </w:t>
      </w:r>
      <w:proofErr w:type="spellStart"/>
      <w:r>
        <w:rPr>
          <w:rFonts w:ascii="Arial" w:hAnsi="Arial" w:cs="Arial"/>
          <w:sz w:val="22"/>
          <w:szCs w:val="22"/>
        </w:rPr>
        <w:t>Chemidoc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XRSplus</w:t>
      </w:r>
      <w:proofErr w:type="spellEnd"/>
      <w:r>
        <w:rPr>
          <w:rFonts w:ascii="Arial" w:hAnsi="Arial" w:cs="Arial"/>
          <w:sz w:val="22"/>
          <w:szCs w:val="22"/>
        </w:rPr>
        <w:t xml:space="preserve"> machine were used for imaging the blots, and the </w:t>
      </w:r>
      <w:proofErr w:type="spellStart"/>
      <w:r>
        <w:rPr>
          <w:rFonts w:ascii="Arial" w:hAnsi="Arial" w:cs="Arial"/>
          <w:sz w:val="22"/>
          <w:szCs w:val="22"/>
        </w:rPr>
        <w:t>Imagelab</w:t>
      </w:r>
      <w:proofErr w:type="spellEnd"/>
      <w:r>
        <w:rPr>
          <w:rFonts w:ascii="Arial" w:hAnsi="Arial" w:cs="Arial"/>
          <w:sz w:val="22"/>
          <w:szCs w:val="22"/>
        </w:rPr>
        <w:t xml:space="preserve"> 3. 0 software from Bio-Rad used for quantifying bands intensities. </w:t>
      </w:r>
      <w:r>
        <w:rPr>
          <w:rFonts w:ascii="Arial" w:hAnsi="Arial" w:cs="Arial"/>
          <w:spacing w:val="3"/>
          <w:kern w:val="2"/>
          <w:sz w:val="22"/>
          <w:szCs w:val="22"/>
        </w:rPr>
        <w:t>MYC</w:t>
      </w:r>
      <w:proofErr w:type="gramStart"/>
      <w:r>
        <w:rPr>
          <w:rFonts w:ascii="Arial" w:hAnsi="Arial" w:cs="Arial"/>
          <w:spacing w:val="3"/>
          <w:kern w:val="2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β</w:t>
      </w:r>
      <w:proofErr w:type="gramEnd"/>
      <w:r>
        <w:rPr>
          <w:rFonts w:ascii="Arial" w:hAnsi="Arial" w:cs="Arial"/>
          <w:spacing w:val="3"/>
          <w:kern w:val="2"/>
          <w:sz w:val="22"/>
          <w:szCs w:val="22"/>
        </w:rPr>
        <w:t>-actin ratio was calculated for each cell line. Values were normalized to the MYC</w:t>
      </w:r>
      <w:proofErr w:type="gramStart"/>
      <w:r>
        <w:rPr>
          <w:rFonts w:ascii="Arial" w:hAnsi="Arial" w:cs="Arial"/>
          <w:spacing w:val="3"/>
          <w:kern w:val="2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β</w:t>
      </w:r>
      <w:proofErr w:type="gramEnd"/>
      <w:r>
        <w:rPr>
          <w:rFonts w:ascii="Arial" w:hAnsi="Arial" w:cs="Arial"/>
          <w:spacing w:val="3"/>
          <w:kern w:val="2"/>
          <w:sz w:val="22"/>
          <w:szCs w:val="22"/>
        </w:rPr>
        <w:t>-actin ratio of AP-1060, the cell line with the lowest MYC:</w:t>
      </w:r>
      <w:r>
        <w:rPr>
          <w:rFonts w:ascii="Arial" w:hAnsi="Arial" w:cs="Arial"/>
          <w:sz w:val="22"/>
          <w:szCs w:val="22"/>
        </w:rPr>
        <w:t>β</w:t>
      </w:r>
      <w:r>
        <w:rPr>
          <w:rFonts w:ascii="Arial" w:hAnsi="Arial" w:cs="Arial"/>
          <w:spacing w:val="3"/>
          <w:kern w:val="2"/>
          <w:sz w:val="22"/>
          <w:szCs w:val="22"/>
        </w:rPr>
        <w:t>-actin ratio (</w:t>
      </w:r>
      <w:r>
        <w:rPr>
          <w:rFonts w:ascii="Arial" w:hAnsi="Arial" w:cs="Arial"/>
          <w:b/>
          <w:spacing w:val="3"/>
          <w:kern w:val="2"/>
          <w:sz w:val="22"/>
          <w:szCs w:val="22"/>
        </w:rPr>
        <w:t>Figure S3</w:t>
      </w:r>
      <w:r w:rsidR="00ED4231">
        <w:rPr>
          <w:rFonts w:ascii="Arial" w:hAnsi="Arial" w:cs="Arial"/>
          <w:b/>
          <w:spacing w:val="3"/>
          <w:kern w:val="2"/>
          <w:sz w:val="22"/>
          <w:szCs w:val="22"/>
        </w:rPr>
        <w:t>a</w:t>
      </w:r>
      <w:r w:rsidR="00ED4231" w:rsidRPr="00ED4231">
        <w:rPr>
          <w:rFonts w:ascii="Arial" w:hAnsi="Arial" w:cs="Arial"/>
          <w:b/>
          <w:sz w:val="22"/>
          <w:szCs w:val="22"/>
        </w:rPr>
        <w:t xml:space="preserve"> </w:t>
      </w:r>
      <w:r w:rsidR="00ED4231">
        <w:rPr>
          <w:rFonts w:ascii="Arial" w:hAnsi="Arial" w:cs="Arial"/>
          <w:b/>
          <w:sz w:val="22"/>
          <w:szCs w:val="22"/>
        </w:rPr>
        <w:t>in electronic supplementary material</w:t>
      </w:r>
      <w:r>
        <w:rPr>
          <w:rFonts w:ascii="Arial" w:hAnsi="Arial" w:cs="Arial"/>
          <w:spacing w:val="3"/>
          <w:kern w:val="2"/>
          <w:sz w:val="22"/>
          <w:szCs w:val="22"/>
        </w:rPr>
        <w:t>). For each cell line, the MYC</w:t>
      </w:r>
      <w:proofErr w:type="gramStart"/>
      <w:r>
        <w:rPr>
          <w:rFonts w:ascii="Arial" w:hAnsi="Arial" w:cs="Arial"/>
          <w:spacing w:val="3"/>
          <w:kern w:val="2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β</w:t>
      </w:r>
      <w:proofErr w:type="gramEnd"/>
      <w:r>
        <w:rPr>
          <w:rFonts w:ascii="Arial" w:hAnsi="Arial" w:cs="Arial"/>
          <w:spacing w:val="3"/>
          <w:kern w:val="2"/>
          <w:sz w:val="22"/>
          <w:szCs w:val="22"/>
        </w:rPr>
        <w:t>-actin ratio from the control blot (</w:t>
      </w:r>
      <w:r>
        <w:rPr>
          <w:rFonts w:ascii="Arial" w:hAnsi="Arial" w:cs="Arial"/>
          <w:b/>
          <w:spacing w:val="3"/>
          <w:kern w:val="2"/>
          <w:sz w:val="22"/>
          <w:szCs w:val="22"/>
        </w:rPr>
        <w:t>Fig</w:t>
      </w:r>
      <w:r w:rsidR="00ED4231">
        <w:rPr>
          <w:rFonts w:ascii="Arial" w:hAnsi="Arial" w:cs="Arial"/>
          <w:b/>
          <w:spacing w:val="3"/>
          <w:kern w:val="2"/>
          <w:sz w:val="22"/>
          <w:szCs w:val="22"/>
        </w:rPr>
        <w:t>.</w:t>
      </w:r>
      <w:r>
        <w:rPr>
          <w:rFonts w:ascii="Arial" w:hAnsi="Arial" w:cs="Arial"/>
          <w:b/>
          <w:spacing w:val="3"/>
          <w:kern w:val="2"/>
          <w:sz w:val="22"/>
          <w:szCs w:val="22"/>
        </w:rPr>
        <w:t xml:space="preserve"> 3</w:t>
      </w:r>
      <w:r w:rsidR="00ED4231">
        <w:rPr>
          <w:rFonts w:ascii="Arial" w:hAnsi="Arial" w:cs="Arial"/>
          <w:b/>
          <w:spacing w:val="3"/>
          <w:kern w:val="2"/>
          <w:sz w:val="22"/>
          <w:szCs w:val="22"/>
        </w:rPr>
        <w:t>a</w:t>
      </w:r>
      <w:r>
        <w:rPr>
          <w:rFonts w:ascii="Arial" w:hAnsi="Arial" w:cs="Arial"/>
          <w:spacing w:val="3"/>
          <w:kern w:val="2"/>
          <w:sz w:val="22"/>
          <w:szCs w:val="22"/>
        </w:rPr>
        <w:t>) was divided by the MYC:</w:t>
      </w:r>
      <w:r>
        <w:rPr>
          <w:rFonts w:ascii="Arial" w:hAnsi="Arial" w:cs="Arial"/>
          <w:sz w:val="22"/>
          <w:szCs w:val="22"/>
        </w:rPr>
        <w:t>β</w:t>
      </w:r>
      <w:r>
        <w:rPr>
          <w:rFonts w:ascii="Arial" w:hAnsi="Arial" w:cs="Arial"/>
          <w:spacing w:val="3"/>
          <w:kern w:val="2"/>
          <w:sz w:val="22"/>
          <w:szCs w:val="22"/>
        </w:rPr>
        <w:t>-actin ratio of the control lane from each cell line blot (</w:t>
      </w:r>
      <w:r>
        <w:rPr>
          <w:rFonts w:ascii="Arial" w:hAnsi="Arial" w:cs="Arial"/>
          <w:b/>
          <w:spacing w:val="3"/>
          <w:kern w:val="2"/>
          <w:sz w:val="22"/>
          <w:szCs w:val="22"/>
        </w:rPr>
        <w:t>Fig</w:t>
      </w:r>
      <w:r w:rsidR="00ED4231">
        <w:rPr>
          <w:rFonts w:ascii="Arial" w:hAnsi="Arial" w:cs="Arial"/>
          <w:b/>
          <w:spacing w:val="3"/>
          <w:kern w:val="2"/>
          <w:sz w:val="22"/>
          <w:szCs w:val="22"/>
        </w:rPr>
        <w:t>.</w:t>
      </w:r>
      <w:r>
        <w:rPr>
          <w:rFonts w:ascii="Arial" w:hAnsi="Arial" w:cs="Arial"/>
          <w:b/>
          <w:spacing w:val="3"/>
          <w:kern w:val="2"/>
          <w:sz w:val="22"/>
          <w:szCs w:val="22"/>
        </w:rPr>
        <w:t xml:space="preserve"> 3</w:t>
      </w:r>
      <w:r w:rsidR="00ED4231">
        <w:rPr>
          <w:rFonts w:ascii="Arial" w:hAnsi="Arial" w:cs="Arial"/>
          <w:b/>
          <w:spacing w:val="3"/>
          <w:kern w:val="2"/>
          <w:sz w:val="22"/>
          <w:szCs w:val="22"/>
        </w:rPr>
        <w:t>b</w:t>
      </w:r>
      <w:r>
        <w:rPr>
          <w:rFonts w:ascii="Arial" w:hAnsi="Arial" w:cs="Arial"/>
          <w:spacing w:val="3"/>
          <w:kern w:val="2"/>
          <w:sz w:val="22"/>
          <w:szCs w:val="22"/>
        </w:rPr>
        <w:t>). The result was referred to as the multiplication factor for each cell line. For each blot, the MYC</w:t>
      </w:r>
      <w:proofErr w:type="gramStart"/>
      <w:r>
        <w:rPr>
          <w:rFonts w:ascii="Arial" w:hAnsi="Arial" w:cs="Arial"/>
          <w:spacing w:val="3"/>
          <w:kern w:val="2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β</w:t>
      </w:r>
      <w:proofErr w:type="gramEnd"/>
      <w:r>
        <w:rPr>
          <w:rFonts w:ascii="Arial" w:hAnsi="Arial" w:cs="Arial"/>
          <w:spacing w:val="3"/>
          <w:kern w:val="2"/>
          <w:sz w:val="22"/>
          <w:szCs w:val="22"/>
        </w:rPr>
        <w:t xml:space="preserve">-actin ratio for the control, low and high drug </w:t>
      </w:r>
      <w:r>
        <w:rPr>
          <w:rFonts w:ascii="Arial" w:hAnsi="Arial" w:cs="Arial"/>
          <w:spacing w:val="3"/>
          <w:kern w:val="2"/>
          <w:sz w:val="22"/>
          <w:szCs w:val="22"/>
        </w:rPr>
        <w:lastRenderedPageBreak/>
        <w:t>concentration lanes was multiplied by each cell line’s multiplication factor. The resulting value represented the normalized MYC</w:t>
      </w:r>
      <w:proofErr w:type="gramStart"/>
      <w:r>
        <w:rPr>
          <w:rFonts w:ascii="Arial" w:hAnsi="Arial" w:cs="Arial"/>
          <w:spacing w:val="3"/>
          <w:kern w:val="2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β</w:t>
      </w:r>
      <w:proofErr w:type="gramEnd"/>
      <w:r>
        <w:rPr>
          <w:rFonts w:ascii="Arial" w:hAnsi="Arial" w:cs="Arial"/>
          <w:spacing w:val="3"/>
          <w:kern w:val="2"/>
          <w:sz w:val="22"/>
          <w:szCs w:val="22"/>
        </w:rPr>
        <w:t>-actin ratio. The normalized MYC</w:t>
      </w:r>
      <w:proofErr w:type="gramStart"/>
      <w:r>
        <w:rPr>
          <w:rFonts w:ascii="Arial" w:hAnsi="Arial" w:cs="Arial"/>
          <w:spacing w:val="3"/>
          <w:kern w:val="2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β</w:t>
      </w:r>
      <w:proofErr w:type="gramEnd"/>
      <w:r>
        <w:rPr>
          <w:rFonts w:ascii="Arial" w:hAnsi="Arial" w:cs="Arial"/>
          <w:spacing w:val="3"/>
          <w:kern w:val="2"/>
          <w:sz w:val="22"/>
          <w:szCs w:val="22"/>
        </w:rPr>
        <w:t>-actin ratio was divided by the AP-1060 MYC:</w:t>
      </w:r>
      <w:r>
        <w:rPr>
          <w:rFonts w:ascii="Arial" w:hAnsi="Arial" w:cs="Arial"/>
          <w:sz w:val="22"/>
          <w:szCs w:val="22"/>
        </w:rPr>
        <w:t>β</w:t>
      </w:r>
      <w:r>
        <w:rPr>
          <w:rFonts w:ascii="Arial" w:hAnsi="Arial" w:cs="Arial"/>
          <w:spacing w:val="3"/>
          <w:kern w:val="2"/>
          <w:sz w:val="22"/>
          <w:szCs w:val="22"/>
        </w:rPr>
        <w:t>-actin ratio. The MYC</w:t>
      </w:r>
      <w:proofErr w:type="gramStart"/>
      <w:r>
        <w:rPr>
          <w:rFonts w:ascii="Arial" w:hAnsi="Arial" w:cs="Arial"/>
          <w:spacing w:val="3"/>
          <w:kern w:val="2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β</w:t>
      </w:r>
      <w:proofErr w:type="gramEnd"/>
      <w:r>
        <w:rPr>
          <w:rFonts w:ascii="Arial" w:hAnsi="Arial" w:cs="Arial"/>
          <w:spacing w:val="3"/>
          <w:kern w:val="2"/>
          <w:sz w:val="22"/>
          <w:szCs w:val="22"/>
        </w:rPr>
        <w:t>-actin ratios, normalized to the AP-1060 control ratio, were plotted on a graph for each drug (</w:t>
      </w:r>
      <w:r>
        <w:rPr>
          <w:rFonts w:ascii="Arial" w:hAnsi="Arial" w:cs="Arial"/>
          <w:b/>
          <w:spacing w:val="3"/>
          <w:kern w:val="2"/>
          <w:sz w:val="22"/>
          <w:szCs w:val="22"/>
        </w:rPr>
        <w:t>Figures S3</w:t>
      </w:r>
      <w:r w:rsidR="00ED4231">
        <w:rPr>
          <w:rFonts w:ascii="Arial" w:hAnsi="Arial" w:cs="Arial"/>
          <w:b/>
          <w:spacing w:val="3"/>
          <w:kern w:val="2"/>
          <w:sz w:val="22"/>
          <w:szCs w:val="22"/>
        </w:rPr>
        <w:t>b-d</w:t>
      </w:r>
      <w:r w:rsidR="00ED4231" w:rsidRPr="00ED4231">
        <w:rPr>
          <w:rFonts w:ascii="Arial" w:hAnsi="Arial" w:cs="Arial"/>
          <w:b/>
          <w:sz w:val="22"/>
          <w:szCs w:val="22"/>
        </w:rPr>
        <w:t xml:space="preserve"> </w:t>
      </w:r>
      <w:r w:rsidR="00ED4231">
        <w:rPr>
          <w:rFonts w:ascii="Arial" w:hAnsi="Arial" w:cs="Arial"/>
          <w:b/>
          <w:sz w:val="22"/>
          <w:szCs w:val="22"/>
        </w:rPr>
        <w:t>in electronic supplementary material</w:t>
      </w:r>
      <w:r>
        <w:rPr>
          <w:rFonts w:ascii="Arial" w:hAnsi="Arial" w:cs="Arial"/>
          <w:spacing w:val="3"/>
          <w:kern w:val="2"/>
          <w:sz w:val="22"/>
          <w:szCs w:val="22"/>
        </w:rPr>
        <w:t>). For each drug, the GI50 of each cell line was plotted against the normalized MYC</w:t>
      </w:r>
      <w:proofErr w:type="gramStart"/>
      <w:r>
        <w:rPr>
          <w:rFonts w:ascii="Arial" w:hAnsi="Arial" w:cs="Arial"/>
          <w:spacing w:val="3"/>
          <w:kern w:val="2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β</w:t>
      </w:r>
      <w:proofErr w:type="gramEnd"/>
      <w:r>
        <w:rPr>
          <w:rFonts w:ascii="Arial" w:hAnsi="Arial" w:cs="Arial"/>
          <w:spacing w:val="3"/>
          <w:kern w:val="2"/>
          <w:sz w:val="22"/>
          <w:szCs w:val="22"/>
        </w:rPr>
        <w:t>-actin ratio to assess the relative sensitivity of each drug according to MYC level (</w:t>
      </w:r>
      <w:r>
        <w:rPr>
          <w:rFonts w:ascii="Arial" w:hAnsi="Arial" w:cs="Arial"/>
          <w:b/>
          <w:spacing w:val="3"/>
          <w:kern w:val="2"/>
          <w:sz w:val="22"/>
          <w:szCs w:val="22"/>
        </w:rPr>
        <w:t>Fig</w:t>
      </w:r>
      <w:r w:rsidR="00ED4231">
        <w:rPr>
          <w:rFonts w:ascii="Arial" w:hAnsi="Arial" w:cs="Arial"/>
          <w:b/>
          <w:spacing w:val="3"/>
          <w:kern w:val="2"/>
          <w:sz w:val="22"/>
          <w:szCs w:val="22"/>
        </w:rPr>
        <w:t>.</w:t>
      </w:r>
      <w:r>
        <w:rPr>
          <w:rFonts w:ascii="Arial" w:hAnsi="Arial" w:cs="Arial"/>
          <w:b/>
          <w:spacing w:val="3"/>
          <w:kern w:val="2"/>
          <w:sz w:val="22"/>
          <w:szCs w:val="22"/>
        </w:rPr>
        <w:t xml:space="preserve"> 4</w:t>
      </w:r>
      <w:r>
        <w:rPr>
          <w:rFonts w:ascii="Arial" w:hAnsi="Arial" w:cs="Arial"/>
          <w:spacing w:val="3"/>
          <w:kern w:val="2"/>
          <w:sz w:val="22"/>
          <w:szCs w:val="22"/>
        </w:rPr>
        <w:t>).</w:t>
      </w:r>
    </w:p>
    <w:p w14:paraId="414D784B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540CB527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068E8631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24BEC44B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457D3774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6FC53E8B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7CFD5FCA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1F50CDFB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79FAEAED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2A1370A6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46D54F2B" w14:textId="77777777" w:rsidR="00710F5D" w:rsidRDefault="00710F5D">
      <w:pPr>
        <w:rPr>
          <w:rFonts w:ascii="Arial" w:hAnsi="Arial" w:cs="Arial"/>
          <w:sz w:val="22"/>
          <w:szCs w:val="22"/>
        </w:rPr>
      </w:pPr>
    </w:p>
    <w:p w14:paraId="27E05B40" w14:textId="4366365D" w:rsidR="00612545" w:rsidRPr="00FC2E99" w:rsidRDefault="00612545" w:rsidP="00106F30">
      <w:pPr>
        <w:pStyle w:val="NormalWeb"/>
        <w:rPr>
          <w:rFonts w:ascii="Arial" w:hAnsi="Arial" w:cs="Arial"/>
          <w:sz w:val="22"/>
          <w:szCs w:val="22"/>
        </w:rPr>
      </w:pPr>
    </w:p>
    <w:sectPr w:rsidR="00612545" w:rsidRPr="00FC2E99" w:rsidSect="00CE0BC8">
      <w:headerReference w:type="default" r:id="rId7"/>
      <w:footerReference w:type="even" r:id="rId8"/>
      <w:footerReference w:type="default" r:id="rId9"/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4AEF29" w14:textId="77777777" w:rsidR="006E789F" w:rsidRDefault="006E789F">
      <w:r>
        <w:separator/>
      </w:r>
    </w:p>
  </w:endnote>
  <w:endnote w:type="continuationSeparator" w:id="0">
    <w:p w14:paraId="295F72BB" w14:textId="77777777" w:rsidR="006E789F" w:rsidRDefault="006E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60391" w14:textId="77777777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3BFE5" w14:textId="77777777" w:rsidR="00D12058" w:rsidRDefault="00D12058" w:rsidP="00CE0BC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60DA5" w14:textId="0CEFB21A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t>S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3711">
      <w:rPr>
        <w:rStyle w:val="PageNumber"/>
        <w:noProof/>
      </w:rPr>
      <w:t>1</w:t>
    </w:r>
    <w:r>
      <w:rPr>
        <w:rStyle w:val="PageNumber"/>
      </w:rPr>
      <w:fldChar w:fldCharType="end"/>
    </w:r>
  </w:p>
  <w:p w14:paraId="6FD6565E" w14:textId="77777777" w:rsidR="00D12058" w:rsidRDefault="00D12058" w:rsidP="00CE0B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A5897" w14:textId="77777777" w:rsidR="006E789F" w:rsidRDefault="006E789F">
      <w:r>
        <w:separator/>
      </w:r>
    </w:p>
  </w:footnote>
  <w:footnote w:type="continuationSeparator" w:id="0">
    <w:p w14:paraId="04242476" w14:textId="77777777" w:rsidR="006E789F" w:rsidRDefault="006E789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2AA57" w14:textId="43406407" w:rsidR="00BA7D5E" w:rsidRDefault="00BA7D5E" w:rsidP="00BA7D5E">
    <w:pPr>
      <w:pStyle w:val="Header"/>
      <w:jc w:val="right"/>
    </w:pPr>
    <w:r>
      <w:t>Brondfield-Kogan-2015-</w:t>
    </w:r>
    <w:r w:rsidR="00650FCD">
      <w:t>CCP</w:t>
    </w:r>
    <w:r>
      <w:t xml:space="preserve">-Supplementary </w:t>
    </w:r>
    <w:r w:rsidR="000156C4">
      <w:t xml:space="preserve">Material- </w:t>
    </w:r>
    <w:r w:rsidR="0078508D">
      <w:t>Methods</w:t>
    </w:r>
  </w:p>
  <w:p w14:paraId="63EDF094" w14:textId="77777777" w:rsidR="00BA7D5E" w:rsidRDefault="00BA7D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65"/>
    <w:rsid w:val="0001157D"/>
    <w:rsid w:val="000156C4"/>
    <w:rsid w:val="00033EE1"/>
    <w:rsid w:val="0004187B"/>
    <w:rsid w:val="000446C6"/>
    <w:rsid w:val="000B60A4"/>
    <w:rsid w:val="00106F30"/>
    <w:rsid w:val="00131C3B"/>
    <w:rsid w:val="00175EF1"/>
    <w:rsid w:val="001818A4"/>
    <w:rsid w:val="001B6FF2"/>
    <w:rsid w:val="00205F0C"/>
    <w:rsid w:val="003507BF"/>
    <w:rsid w:val="003B0429"/>
    <w:rsid w:val="003F73AD"/>
    <w:rsid w:val="0041712B"/>
    <w:rsid w:val="004426FB"/>
    <w:rsid w:val="004673BC"/>
    <w:rsid w:val="00475B64"/>
    <w:rsid w:val="004E275D"/>
    <w:rsid w:val="00535E22"/>
    <w:rsid w:val="00586C89"/>
    <w:rsid w:val="005B0B93"/>
    <w:rsid w:val="00612545"/>
    <w:rsid w:val="00650FCD"/>
    <w:rsid w:val="00686403"/>
    <w:rsid w:val="006E789F"/>
    <w:rsid w:val="006F0C13"/>
    <w:rsid w:val="00710F5D"/>
    <w:rsid w:val="0071561C"/>
    <w:rsid w:val="00746E53"/>
    <w:rsid w:val="00750DE5"/>
    <w:rsid w:val="0078508D"/>
    <w:rsid w:val="00835F80"/>
    <w:rsid w:val="008653DE"/>
    <w:rsid w:val="008D6F65"/>
    <w:rsid w:val="008E3105"/>
    <w:rsid w:val="008F0873"/>
    <w:rsid w:val="0098704E"/>
    <w:rsid w:val="009A5938"/>
    <w:rsid w:val="00A00F23"/>
    <w:rsid w:val="00A97318"/>
    <w:rsid w:val="00AF589D"/>
    <w:rsid w:val="00BA7D5E"/>
    <w:rsid w:val="00BF5B75"/>
    <w:rsid w:val="00C253CA"/>
    <w:rsid w:val="00C829F5"/>
    <w:rsid w:val="00CC35AA"/>
    <w:rsid w:val="00CE0BC8"/>
    <w:rsid w:val="00D12058"/>
    <w:rsid w:val="00D20ABD"/>
    <w:rsid w:val="00D608D9"/>
    <w:rsid w:val="00D822C0"/>
    <w:rsid w:val="00D94718"/>
    <w:rsid w:val="00D95A29"/>
    <w:rsid w:val="00DB2C08"/>
    <w:rsid w:val="00DC70F4"/>
    <w:rsid w:val="00DD0994"/>
    <w:rsid w:val="00DE0D25"/>
    <w:rsid w:val="00E2427C"/>
    <w:rsid w:val="00E33711"/>
    <w:rsid w:val="00EC17BD"/>
    <w:rsid w:val="00ED4231"/>
    <w:rsid w:val="00EF256A"/>
    <w:rsid w:val="00F633BE"/>
    <w:rsid w:val="00F661EA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125F8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C253C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3CA"/>
    <w:rPr>
      <w:rFonts w:eastAsia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C253CA"/>
    <w:rPr>
      <w:rFonts w:ascii="Times New Roman" w:hAnsi="Times New Roman" w:cs="Times New Roman" w:hint="default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C253C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53CA"/>
    <w:rPr>
      <w:rFonts w:eastAsia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C253CA"/>
    <w:rPr>
      <w:rFonts w:ascii="Times New Roman" w:hAnsi="Times New Roman" w:cs="Times New Roman" w:hint="defaul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References</vt:lpstr>
    </vt:vector>
  </TitlesOfParts>
  <Company>Harvard College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References</dc:title>
  <dc:creator>Brondfield Sam</dc:creator>
  <cp:lastModifiedBy>coline gaillard</cp:lastModifiedBy>
  <cp:revision>2</cp:revision>
  <dcterms:created xsi:type="dcterms:W3CDTF">2015-05-06T04:19:00Z</dcterms:created>
  <dcterms:modified xsi:type="dcterms:W3CDTF">2015-05-06T04:19:00Z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3456</vt:lpwstr>
  </property>
  <property fmtid="{D5CDD505-2E9C-101B-9397-08002B2CF9AE}" pid="3" name="WnCSubscriberId">
    <vt:lpwstr>4453</vt:lpwstr>
  </property>
  <property fmtid="{D5CDD505-2E9C-101B-9397-08002B2CF9AE}" pid="4" name="WnCOutputStyleId">
    <vt:lpwstr>10355</vt:lpwstr>
  </property>
  <property fmtid="{D5CDD505-2E9C-101B-9397-08002B2CF9AE}" pid="5" name="WnCUser">
    <vt:lpwstr>sbrond_4453</vt:lpwstr>
  </property>
  <property fmtid="{D5CDD505-2E9C-101B-9397-08002B2CF9AE}" pid="6" name="WnC4Folder">
    <vt:lpwstr>Documents///280_2015_2766_MOESM6_ESM-1</vt:lpwstr>
  </property>
</Properties>
</file>