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D22" w:rsidRPr="00E449FA" w:rsidRDefault="00D2711A">
      <w:pPr>
        <w:rPr>
          <w:b/>
          <w:sz w:val="32"/>
          <w:szCs w:val="32"/>
        </w:rPr>
      </w:pPr>
      <w:r w:rsidRPr="00E449FA">
        <w:rPr>
          <w:b/>
          <w:sz w:val="32"/>
          <w:szCs w:val="32"/>
        </w:rPr>
        <w:t>Supplemental Materials</w:t>
      </w:r>
    </w:p>
    <w:p w:rsidR="007B2AF5" w:rsidRDefault="007B2AF5">
      <w:pPr>
        <w:rPr>
          <w:b/>
          <w:sz w:val="28"/>
          <w:szCs w:val="28"/>
        </w:rPr>
      </w:pPr>
      <w:r>
        <w:rPr>
          <w:b/>
          <w:sz w:val="28"/>
          <w:szCs w:val="28"/>
        </w:rPr>
        <w:t>Exclusion of patients from analysis</w:t>
      </w:r>
    </w:p>
    <w:p w:rsidR="007B2AF5" w:rsidRDefault="007B2AF5" w:rsidP="007B2AF5">
      <w:r>
        <w:t>Eleven patients (9 from 06-IN-IR001; 2 from 07-PIR-02) were excluded from analysis due to the occurrence of unexpectedly high irinotecan concentrations, ranging from 2- to over 1000-fold difference. The prevention of EP hydrolysis to irinotecan was dependent on proper handling conditions during blood collection and the plasma harvesting process. Since the abnormally high irinotecan concentration levels were only observed from patients treated at specific sites, improper sample handling was suspected and patient’s profiles were removed from analysis. The observed high irinotecan concentration had no impact on patient safety.</w:t>
      </w:r>
    </w:p>
    <w:p w:rsidR="00E449FA" w:rsidRPr="00E449FA" w:rsidRDefault="00E449FA">
      <w:pPr>
        <w:rPr>
          <w:b/>
          <w:sz w:val="28"/>
          <w:szCs w:val="28"/>
        </w:rPr>
      </w:pPr>
      <w:r w:rsidRPr="00E449FA">
        <w:rPr>
          <w:b/>
          <w:sz w:val="28"/>
          <w:szCs w:val="28"/>
        </w:rPr>
        <w:t>2- vs. 3-compartment structural model</w:t>
      </w:r>
      <w:r w:rsidR="00142923">
        <w:rPr>
          <w:b/>
          <w:sz w:val="28"/>
          <w:szCs w:val="28"/>
        </w:rPr>
        <w:t>s</w:t>
      </w:r>
      <w:r w:rsidRPr="00E449FA">
        <w:rPr>
          <w:b/>
          <w:sz w:val="28"/>
          <w:szCs w:val="28"/>
        </w:rPr>
        <w:t xml:space="preserve"> for </w:t>
      </w:r>
      <w:r w:rsidR="00142923">
        <w:rPr>
          <w:b/>
          <w:sz w:val="28"/>
          <w:szCs w:val="28"/>
        </w:rPr>
        <w:t>etirinotecan pegol (EP)</w:t>
      </w:r>
      <w:r w:rsidRPr="00E449FA">
        <w:rPr>
          <w:b/>
          <w:sz w:val="28"/>
          <w:szCs w:val="28"/>
        </w:rPr>
        <w:t xml:space="preserve"> and its metabolites</w:t>
      </w:r>
    </w:p>
    <w:p w:rsidR="00BF4B4E" w:rsidRPr="00577990" w:rsidRDefault="00D2711A" w:rsidP="00143DED">
      <w:r>
        <w:t xml:space="preserve">Both 2- and 3-compartmental models using sum-of-exponential equations within the nonlinear mixed effects modeling framework in Monolix 3.1 were fitted to the concentration-time profiles of each of the 5 analytes of </w:t>
      </w:r>
      <w:r w:rsidR="00142923">
        <w:t xml:space="preserve">EP </w:t>
      </w:r>
      <w:r>
        <w:t>in patients who received EP at a dosing schedule of wx3 q4wk, q14d, and q21d</w:t>
      </w:r>
      <w:r w:rsidR="00BF4B4E">
        <w:t xml:space="preserve"> from study 06-IN-IR001</w:t>
      </w:r>
      <w:r>
        <w:t xml:space="preserve">. </w:t>
      </w:r>
      <w:r w:rsidR="00BF4B4E">
        <w:rPr>
          <w:lang w:val="en-GB"/>
        </w:rPr>
        <w:t xml:space="preserve">Comparison of modelling results for 2- and 3-compartment model is shown in Table S1. </w:t>
      </w:r>
      <w:r w:rsidR="00BF4B4E" w:rsidRPr="00577990">
        <w:t>Overall, fitting a 3-compartment model to etirinotecan pegol or any of its metabolites was either not successful or resulted in a non-parsimonious fit with greater variability in parameter estimates as compared to fitting with a 2-compartment model, thus validating our original choice.</w:t>
      </w:r>
    </w:p>
    <w:p w:rsidR="00D2711A" w:rsidRDefault="00D2711A" w:rsidP="00F93706">
      <w:pPr>
        <w:ind w:firstLine="720"/>
      </w:pPr>
    </w:p>
    <w:p w:rsidR="00BF4B4E" w:rsidRDefault="00BF4B4E">
      <w:pPr>
        <w:spacing w:after="200" w:line="276" w:lineRule="auto"/>
        <w:rPr>
          <w:b/>
        </w:rPr>
      </w:pPr>
      <w:r>
        <w:rPr>
          <w:b/>
        </w:rPr>
        <w:lastRenderedPageBreak/>
        <w:t>Table S1: Comparison of modeling results using 2- and 3-compartment models</w:t>
      </w:r>
    </w:p>
    <w:tbl>
      <w:tblPr>
        <w:tblStyle w:val="TableGrid"/>
        <w:tblW w:w="0" w:type="auto"/>
        <w:tblInd w:w="108" w:type="dxa"/>
        <w:tblLook w:val="04A0" w:firstRow="1" w:lastRow="0" w:firstColumn="1" w:lastColumn="0" w:noHBand="0" w:noVBand="1"/>
      </w:tblPr>
      <w:tblGrid>
        <w:gridCol w:w="1530"/>
        <w:gridCol w:w="2520"/>
        <w:gridCol w:w="2430"/>
        <w:gridCol w:w="2654"/>
      </w:tblGrid>
      <w:tr w:rsidR="00BF4B4E" w:rsidRPr="00F90D8C" w:rsidTr="00FE5D0D">
        <w:tc>
          <w:tcPr>
            <w:tcW w:w="1530" w:type="dxa"/>
            <w:vAlign w:val="center"/>
          </w:tcPr>
          <w:p w:rsidR="00BF4B4E" w:rsidRPr="00143DED" w:rsidRDefault="00BF4B4E" w:rsidP="00FE5D0D">
            <w:pPr>
              <w:pStyle w:val="ListContinue2"/>
              <w:spacing w:after="0"/>
              <w:ind w:left="0"/>
              <w:jc w:val="center"/>
              <w:rPr>
                <w:rFonts w:ascii="Arial" w:hAnsi="Arial" w:cs="Arial"/>
                <w:b/>
                <w:sz w:val="20"/>
              </w:rPr>
            </w:pPr>
            <w:r w:rsidRPr="00143DED">
              <w:rPr>
                <w:rFonts w:ascii="Arial" w:hAnsi="Arial" w:cs="Arial"/>
                <w:b/>
                <w:sz w:val="20"/>
              </w:rPr>
              <w:t>Drug or metabolite</w:t>
            </w:r>
          </w:p>
        </w:tc>
        <w:tc>
          <w:tcPr>
            <w:tcW w:w="2520" w:type="dxa"/>
            <w:vAlign w:val="center"/>
          </w:tcPr>
          <w:p w:rsidR="00BF4B4E" w:rsidRPr="00143DED" w:rsidRDefault="00BF4B4E" w:rsidP="00FE5D0D">
            <w:pPr>
              <w:pStyle w:val="ListContinue2"/>
              <w:spacing w:after="0"/>
              <w:ind w:left="0"/>
              <w:jc w:val="center"/>
              <w:rPr>
                <w:rFonts w:ascii="Arial" w:hAnsi="Arial" w:cs="Arial"/>
                <w:b/>
                <w:sz w:val="20"/>
              </w:rPr>
            </w:pPr>
            <w:bookmarkStart w:id="0" w:name="OLE_LINK11"/>
            <w:bookmarkStart w:id="1" w:name="OLE_LINK12"/>
            <w:r w:rsidRPr="00143DED">
              <w:rPr>
                <w:rFonts w:ascii="Arial" w:hAnsi="Arial" w:cs="Arial"/>
                <w:b/>
                <w:sz w:val="20"/>
              </w:rPr>
              <w:t>2-Compartment</w:t>
            </w:r>
          </w:p>
          <w:p w:rsidR="00BF4B4E" w:rsidRPr="00143DED" w:rsidRDefault="00BF4B4E" w:rsidP="00FE5D0D">
            <w:pPr>
              <w:pStyle w:val="ListContinue2"/>
              <w:spacing w:after="0"/>
              <w:ind w:left="0"/>
              <w:jc w:val="center"/>
              <w:rPr>
                <w:rFonts w:ascii="Arial" w:hAnsi="Arial" w:cs="Arial"/>
                <w:b/>
                <w:sz w:val="20"/>
              </w:rPr>
            </w:pPr>
            <w:r w:rsidRPr="00143DED">
              <w:rPr>
                <w:rFonts w:ascii="Arial" w:hAnsi="Arial" w:cs="Arial"/>
                <w:b/>
                <w:sz w:val="20"/>
              </w:rPr>
              <w:t>Model Results</w:t>
            </w:r>
            <w:bookmarkEnd w:id="0"/>
            <w:bookmarkEnd w:id="1"/>
          </w:p>
        </w:tc>
        <w:tc>
          <w:tcPr>
            <w:tcW w:w="2430" w:type="dxa"/>
            <w:vAlign w:val="center"/>
          </w:tcPr>
          <w:p w:rsidR="00BF4B4E" w:rsidRPr="00143DED" w:rsidRDefault="00BF4B4E" w:rsidP="00FE5D0D">
            <w:pPr>
              <w:pStyle w:val="ListContinue2"/>
              <w:spacing w:after="0"/>
              <w:ind w:left="245" w:hanging="180"/>
              <w:jc w:val="center"/>
              <w:rPr>
                <w:rFonts w:ascii="Arial" w:hAnsi="Arial" w:cs="Arial"/>
                <w:b/>
                <w:sz w:val="20"/>
              </w:rPr>
            </w:pPr>
            <w:r w:rsidRPr="00143DED">
              <w:rPr>
                <w:rFonts w:ascii="Arial" w:hAnsi="Arial" w:cs="Arial"/>
                <w:b/>
                <w:sz w:val="20"/>
              </w:rPr>
              <w:t xml:space="preserve">3-Compartment </w:t>
            </w:r>
          </w:p>
          <w:p w:rsidR="00BF4B4E" w:rsidRPr="00143DED" w:rsidRDefault="00BF4B4E" w:rsidP="00FE5D0D">
            <w:pPr>
              <w:pStyle w:val="ListContinue2"/>
              <w:spacing w:after="0"/>
              <w:ind w:left="245" w:hanging="180"/>
              <w:jc w:val="center"/>
              <w:rPr>
                <w:rFonts w:ascii="Arial" w:hAnsi="Arial" w:cs="Arial"/>
                <w:b/>
                <w:sz w:val="20"/>
              </w:rPr>
            </w:pPr>
            <w:r w:rsidRPr="00143DED">
              <w:rPr>
                <w:rFonts w:ascii="Arial" w:hAnsi="Arial" w:cs="Arial"/>
                <w:b/>
                <w:sz w:val="20"/>
              </w:rPr>
              <w:t>Model Results</w:t>
            </w:r>
          </w:p>
        </w:tc>
        <w:tc>
          <w:tcPr>
            <w:tcW w:w="2654" w:type="dxa"/>
            <w:vAlign w:val="center"/>
          </w:tcPr>
          <w:p w:rsidR="00BF4B4E" w:rsidRPr="00143DED" w:rsidRDefault="00BF4B4E" w:rsidP="00FE5D0D">
            <w:pPr>
              <w:pStyle w:val="ListContinue2"/>
              <w:spacing w:after="0"/>
              <w:ind w:left="0"/>
              <w:jc w:val="center"/>
              <w:rPr>
                <w:rFonts w:ascii="Arial" w:hAnsi="Arial" w:cs="Arial"/>
                <w:b/>
                <w:sz w:val="20"/>
              </w:rPr>
            </w:pPr>
            <w:r w:rsidRPr="00143DED">
              <w:rPr>
                <w:rFonts w:ascii="Arial" w:hAnsi="Arial" w:cs="Arial"/>
                <w:b/>
                <w:sz w:val="20"/>
              </w:rPr>
              <w:t>Conclusions</w:t>
            </w:r>
          </w:p>
        </w:tc>
      </w:tr>
      <w:tr w:rsidR="00BF4B4E" w:rsidRPr="00F90D8C" w:rsidTr="00FE5D0D">
        <w:tc>
          <w:tcPr>
            <w:tcW w:w="1530" w:type="dxa"/>
          </w:tcPr>
          <w:p w:rsidR="00BF4B4E" w:rsidRPr="00143DED" w:rsidRDefault="00BF4B4E" w:rsidP="00FE5D0D">
            <w:pPr>
              <w:pStyle w:val="ListContinue2"/>
              <w:ind w:left="0"/>
              <w:rPr>
                <w:rFonts w:ascii="Arial" w:hAnsi="Arial" w:cs="Arial"/>
                <w:sz w:val="20"/>
              </w:rPr>
            </w:pPr>
            <w:r w:rsidRPr="00143DED">
              <w:rPr>
                <w:rFonts w:ascii="Arial" w:hAnsi="Arial" w:cs="Arial"/>
                <w:sz w:val="20"/>
              </w:rPr>
              <w:t>Etirinotecan Pegol</w:t>
            </w:r>
          </w:p>
        </w:tc>
        <w:tc>
          <w:tcPr>
            <w:tcW w:w="252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bookmarkStart w:id="2" w:name="OLE_LINK13"/>
            <w:bookmarkStart w:id="3" w:name="OLE_LINK14"/>
            <w:bookmarkStart w:id="4" w:name="OLE_LINK15"/>
            <w:bookmarkStart w:id="5" w:name="OLE_LINK16"/>
            <w:bookmarkStart w:id="6" w:name="OLE_LINK17"/>
            <w:bookmarkStart w:id="7" w:name="OLE_LINK18"/>
            <w:r w:rsidRPr="00143DED">
              <w:rPr>
                <w:rFonts w:ascii="Arial" w:hAnsi="Arial" w:cs="Arial"/>
                <w:sz w:val="20"/>
              </w:rPr>
              <w:t>Model converged</w:t>
            </w:r>
            <w:bookmarkEnd w:id="2"/>
            <w:bookmarkEnd w:id="3"/>
            <w:bookmarkEnd w:id="4"/>
            <w:bookmarkEnd w:id="5"/>
            <w:bookmarkEnd w:id="6"/>
            <w:bookmarkEnd w:id="7"/>
          </w:p>
        </w:tc>
        <w:tc>
          <w:tcPr>
            <w:tcW w:w="243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converged</w:t>
            </w:r>
          </w:p>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No overall improvement in fit; SEs of fixed and random effects greater than with 2-comp model</w:t>
            </w:r>
          </w:p>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Plot of 3- vs. 2-comp IPRED values is linear wit</w:t>
            </w:r>
            <w:r w:rsidR="00F90D8C" w:rsidRPr="00143DED">
              <w:rPr>
                <w:rFonts w:ascii="Arial" w:hAnsi="Arial" w:cs="Arial"/>
                <w:sz w:val="20"/>
              </w:rPr>
              <w:t>h minimal variability (Figure S1</w:t>
            </w:r>
            <w:r w:rsidRPr="00143DED">
              <w:rPr>
                <w:rFonts w:ascii="Arial" w:hAnsi="Arial" w:cs="Arial"/>
                <w:sz w:val="20"/>
              </w:rPr>
              <w:t>)</w:t>
            </w:r>
          </w:p>
        </w:tc>
        <w:tc>
          <w:tcPr>
            <w:tcW w:w="2654" w:type="dxa"/>
          </w:tcPr>
          <w:p w:rsidR="00BF4B4E" w:rsidRPr="00143DED" w:rsidRDefault="00BF4B4E" w:rsidP="00BF4B4E">
            <w:pPr>
              <w:pStyle w:val="ListContinue2"/>
              <w:numPr>
                <w:ilvl w:val="0"/>
                <w:numId w:val="1"/>
              </w:numPr>
              <w:spacing w:after="120"/>
              <w:ind w:left="192" w:hanging="180"/>
              <w:rPr>
                <w:rFonts w:ascii="Arial" w:hAnsi="Arial" w:cs="Arial"/>
                <w:sz w:val="20"/>
                <w:lang w:val="en-GB"/>
              </w:rPr>
            </w:pPr>
            <w:r w:rsidRPr="00143DED">
              <w:rPr>
                <w:rFonts w:ascii="Arial" w:hAnsi="Arial" w:cs="Arial"/>
                <w:sz w:val="20"/>
                <w:lang w:val="en-GB"/>
              </w:rPr>
              <w:t>2-comp model predicts NKTR-102 exposure equally well as a 3-comp model.</w:t>
            </w:r>
          </w:p>
          <w:p w:rsidR="00BF4B4E" w:rsidRPr="00143DED" w:rsidRDefault="00BF4B4E" w:rsidP="00143DED">
            <w:pPr>
              <w:pStyle w:val="ListContinue2"/>
              <w:numPr>
                <w:ilvl w:val="0"/>
                <w:numId w:val="1"/>
              </w:numPr>
              <w:spacing w:after="120" w:line="300" w:lineRule="exact"/>
              <w:ind w:left="192" w:hanging="180"/>
              <w:rPr>
                <w:rFonts w:ascii="Arial" w:hAnsi="Arial" w:cs="Arial"/>
                <w:sz w:val="20"/>
              </w:rPr>
            </w:pPr>
            <w:r w:rsidRPr="00143DED">
              <w:rPr>
                <w:rFonts w:ascii="Arial" w:hAnsi="Arial" w:cs="Arial"/>
                <w:sz w:val="20"/>
                <w:lang w:val="en-GB"/>
              </w:rPr>
              <w:t>3-comp model is overspecified for dataset</w:t>
            </w:r>
          </w:p>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2-comp model fits to data well and is parsimonious</w:t>
            </w:r>
          </w:p>
          <w:p w:rsidR="00BF4B4E" w:rsidRPr="00143DED" w:rsidRDefault="00BF4B4E" w:rsidP="00FE5D0D">
            <w:pPr>
              <w:pStyle w:val="ListContinue2"/>
              <w:ind w:left="192" w:hanging="180"/>
              <w:rPr>
                <w:rFonts w:ascii="Arial" w:hAnsi="Arial" w:cs="Arial"/>
                <w:sz w:val="20"/>
              </w:rPr>
            </w:pPr>
          </w:p>
        </w:tc>
      </w:tr>
      <w:tr w:rsidR="00BF4B4E" w:rsidRPr="00F90D8C" w:rsidTr="00FE5D0D">
        <w:tc>
          <w:tcPr>
            <w:tcW w:w="1530" w:type="dxa"/>
          </w:tcPr>
          <w:p w:rsidR="00BF4B4E" w:rsidRPr="00143DED" w:rsidRDefault="00BF4B4E" w:rsidP="00FE5D0D">
            <w:pPr>
              <w:pStyle w:val="ListContinue2"/>
              <w:ind w:left="0"/>
              <w:rPr>
                <w:rFonts w:ascii="Arial" w:hAnsi="Arial" w:cs="Arial"/>
                <w:sz w:val="20"/>
              </w:rPr>
            </w:pPr>
            <w:bookmarkStart w:id="8" w:name="_Hlk467051114"/>
            <w:r w:rsidRPr="00143DED">
              <w:rPr>
                <w:rFonts w:ascii="Arial" w:hAnsi="Arial" w:cs="Arial"/>
                <w:sz w:val="20"/>
              </w:rPr>
              <w:t>Irinotecan</w:t>
            </w:r>
          </w:p>
        </w:tc>
        <w:tc>
          <w:tcPr>
            <w:tcW w:w="252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converged</w:t>
            </w:r>
          </w:p>
        </w:tc>
        <w:tc>
          <w:tcPr>
            <w:tcW w:w="243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bookmarkStart w:id="9" w:name="OLE_LINK19"/>
            <w:bookmarkStart w:id="10" w:name="OLE_LINK20"/>
            <w:r w:rsidRPr="00143DED">
              <w:rPr>
                <w:rFonts w:ascii="Arial" w:hAnsi="Arial" w:cs="Arial"/>
                <w:sz w:val="20"/>
              </w:rPr>
              <w:t>Model did not converge; Monolix warning “Parameter Gamma cannot be correctly estimated”* issued throughout the fitting step.</w:t>
            </w:r>
            <w:bookmarkEnd w:id="9"/>
            <w:bookmarkEnd w:id="10"/>
          </w:p>
        </w:tc>
        <w:tc>
          <w:tcPr>
            <w:tcW w:w="2654"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bookmarkStart w:id="11" w:name="OLE_LINK5"/>
            <w:bookmarkStart w:id="12" w:name="OLE_LINK6"/>
            <w:r w:rsidRPr="00143DED">
              <w:rPr>
                <w:rFonts w:ascii="Arial" w:hAnsi="Arial" w:cs="Arial"/>
                <w:sz w:val="20"/>
              </w:rPr>
              <w:t xml:space="preserve">2-comp </w:t>
            </w:r>
            <w:bookmarkStart w:id="13" w:name="OLE_LINK30"/>
            <w:bookmarkStart w:id="14" w:name="OLE_LINK31"/>
            <w:r w:rsidRPr="00143DED">
              <w:rPr>
                <w:rFonts w:ascii="Arial" w:hAnsi="Arial" w:cs="Arial"/>
                <w:sz w:val="20"/>
              </w:rPr>
              <w:t xml:space="preserve">model fits to data well </w:t>
            </w:r>
            <w:bookmarkEnd w:id="13"/>
            <w:bookmarkEnd w:id="14"/>
            <w:r w:rsidRPr="00143DED">
              <w:rPr>
                <w:rFonts w:ascii="Arial" w:hAnsi="Arial" w:cs="Arial"/>
                <w:sz w:val="20"/>
              </w:rPr>
              <w:t>and is parsimonious</w:t>
            </w:r>
          </w:p>
          <w:bookmarkEnd w:id="11"/>
          <w:bookmarkEnd w:id="12"/>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3-comp model is overspecified for dataset</w:t>
            </w:r>
          </w:p>
        </w:tc>
      </w:tr>
      <w:bookmarkEnd w:id="8"/>
      <w:tr w:rsidR="00BF4B4E" w:rsidRPr="00F90D8C" w:rsidTr="00FE5D0D">
        <w:tc>
          <w:tcPr>
            <w:tcW w:w="1530" w:type="dxa"/>
          </w:tcPr>
          <w:p w:rsidR="00BF4B4E" w:rsidRPr="00143DED" w:rsidRDefault="00BF4B4E" w:rsidP="00FE5D0D">
            <w:pPr>
              <w:pStyle w:val="ListContinue2"/>
              <w:ind w:left="0"/>
              <w:rPr>
                <w:rFonts w:ascii="Arial" w:hAnsi="Arial" w:cs="Arial"/>
                <w:sz w:val="20"/>
              </w:rPr>
            </w:pPr>
            <w:r w:rsidRPr="00143DED">
              <w:rPr>
                <w:rFonts w:ascii="Arial" w:hAnsi="Arial" w:cs="Arial"/>
                <w:sz w:val="20"/>
              </w:rPr>
              <w:t>SN38</w:t>
            </w:r>
          </w:p>
        </w:tc>
        <w:tc>
          <w:tcPr>
            <w:tcW w:w="252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bookmarkStart w:id="15" w:name="OLE_LINK24"/>
            <w:bookmarkStart w:id="16" w:name="OLE_LINK25"/>
            <w:bookmarkStart w:id="17" w:name="OLE_LINK26"/>
            <w:bookmarkStart w:id="18" w:name="OLE_LINK27"/>
            <w:r w:rsidRPr="00143DED">
              <w:rPr>
                <w:rFonts w:ascii="Arial" w:hAnsi="Arial" w:cs="Arial"/>
                <w:sz w:val="20"/>
              </w:rPr>
              <w:t>Model converged</w:t>
            </w:r>
            <w:bookmarkEnd w:id="15"/>
            <w:bookmarkEnd w:id="16"/>
            <w:bookmarkEnd w:id="17"/>
            <w:bookmarkEnd w:id="18"/>
          </w:p>
        </w:tc>
        <w:tc>
          <w:tcPr>
            <w:tcW w:w="243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did not converge; Monolix warning “Parameter Gamma cannot be correctly estimated”* issued throughout the fitting step.</w:t>
            </w:r>
          </w:p>
        </w:tc>
        <w:tc>
          <w:tcPr>
            <w:tcW w:w="2654"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2-comp model fits to data well and is parsimonious</w:t>
            </w:r>
          </w:p>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3-comp model is overspecified for dataset</w:t>
            </w:r>
          </w:p>
        </w:tc>
      </w:tr>
      <w:tr w:rsidR="00BF4B4E" w:rsidRPr="00F90D8C" w:rsidTr="00FE5D0D">
        <w:trPr>
          <w:cantSplit/>
        </w:trPr>
        <w:tc>
          <w:tcPr>
            <w:tcW w:w="1530" w:type="dxa"/>
          </w:tcPr>
          <w:p w:rsidR="00BF4B4E" w:rsidRPr="00143DED" w:rsidRDefault="00BF4B4E" w:rsidP="00FE5D0D">
            <w:pPr>
              <w:pStyle w:val="ListContinue2"/>
              <w:ind w:left="0"/>
              <w:rPr>
                <w:rFonts w:ascii="Arial" w:hAnsi="Arial" w:cs="Arial"/>
                <w:sz w:val="20"/>
              </w:rPr>
            </w:pPr>
            <w:bookmarkStart w:id="19" w:name="_Hlk467051262"/>
            <w:r w:rsidRPr="00143DED">
              <w:rPr>
                <w:rFonts w:ascii="Arial" w:hAnsi="Arial" w:cs="Arial"/>
                <w:sz w:val="20"/>
              </w:rPr>
              <w:t>SN38 Glucuronide</w:t>
            </w:r>
          </w:p>
        </w:tc>
        <w:tc>
          <w:tcPr>
            <w:tcW w:w="252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converged</w:t>
            </w:r>
          </w:p>
        </w:tc>
        <w:tc>
          <w:tcPr>
            <w:tcW w:w="243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did not converge; Monolix warning “Parameter Gamma cannot be correctly estimated”* issued throughout the fitting step.</w:t>
            </w:r>
          </w:p>
        </w:tc>
        <w:tc>
          <w:tcPr>
            <w:tcW w:w="2654"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2-comp model fits to data well and is parsimonious</w:t>
            </w:r>
          </w:p>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3-comp model is overspecified for dataset</w:t>
            </w:r>
          </w:p>
        </w:tc>
      </w:tr>
      <w:bookmarkEnd w:id="19"/>
      <w:tr w:rsidR="00BF4B4E" w:rsidRPr="00F90D8C" w:rsidTr="00FE5D0D">
        <w:tc>
          <w:tcPr>
            <w:tcW w:w="1530" w:type="dxa"/>
          </w:tcPr>
          <w:p w:rsidR="00BF4B4E" w:rsidRPr="00143DED" w:rsidRDefault="00BF4B4E" w:rsidP="00FE5D0D">
            <w:pPr>
              <w:pStyle w:val="ListContinue2"/>
              <w:ind w:left="0"/>
              <w:rPr>
                <w:rFonts w:ascii="Arial" w:hAnsi="Arial" w:cs="Arial"/>
                <w:sz w:val="20"/>
              </w:rPr>
            </w:pPr>
            <w:r w:rsidRPr="00143DED">
              <w:rPr>
                <w:rFonts w:ascii="Arial" w:hAnsi="Arial" w:cs="Arial"/>
                <w:sz w:val="20"/>
              </w:rPr>
              <w:lastRenderedPageBreak/>
              <w:t>APC</w:t>
            </w:r>
          </w:p>
        </w:tc>
        <w:tc>
          <w:tcPr>
            <w:tcW w:w="252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converged</w:t>
            </w:r>
          </w:p>
        </w:tc>
        <w:tc>
          <w:tcPr>
            <w:tcW w:w="2430"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Model did not converge; Monolix warning “Parameter Gamma cannot be correctly estimated”* issued throughout the fitting step.</w:t>
            </w:r>
          </w:p>
        </w:tc>
        <w:tc>
          <w:tcPr>
            <w:tcW w:w="2654" w:type="dxa"/>
          </w:tcPr>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2-comp model fits to data well and is parsimonious</w:t>
            </w:r>
          </w:p>
          <w:p w:rsidR="00BF4B4E" w:rsidRPr="00143DED" w:rsidRDefault="00BF4B4E" w:rsidP="00BF4B4E">
            <w:pPr>
              <w:pStyle w:val="ListContinue2"/>
              <w:numPr>
                <w:ilvl w:val="0"/>
                <w:numId w:val="1"/>
              </w:numPr>
              <w:spacing w:line="300" w:lineRule="exact"/>
              <w:ind w:left="192" w:hanging="180"/>
              <w:rPr>
                <w:rFonts w:ascii="Arial" w:hAnsi="Arial" w:cs="Arial"/>
                <w:sz w:val="20"/>
              </w:rPr>
            </w:pPr>
            <w:r w:rsidRPr="00143DED">
              <w:rPr>
                <w:rFonts w:ascii="Arial" w:hAnsi="Arial" w:cs="Arial"/>
                <w:sz w:val="20"/>
              </w:rPr>
              <w:t>3-comp model is overspecified for dataset</w:t>
            </w:r>
          </w:p>
        </w:tc>
      </w:tr>
    </w:tbl>
    <w:p w:rsidR="00BF4B4E" w:rsidRPr="00143DED" w:rsidRDefault="001C7C89">
      <w:pPr>
        <w:spacing w:after="200" w:line="276" w:lineRule="auto"/>
        <w:rPr>
          <w:sz w:val="16"/>
          <w:szCs w:val="16"/>
        </w:rPr>
      </w:pPr>
      <w:r>
        <w:rPr>
          <w:sz w:val="16"/>
          <w:szCs w:val="16"/>
        </w:rPr>
        <w:t>*</w:t>
      </w:r>
      <w:r w:rsidR="00BF4B4E" w:rsidRPr="00143DED">
        <w:rPr>
          <w:sz w:val="16"/>
          <w:szCs w:val="16"/>
        </w:rPr>
        <w:t xml:space="preserve">Monolix warning </w:t>
      </w:r>
      <w:bookmarkStart w:id="20" w:name="OLE_LINK21"/>
      <w:bookmarkStart w:id="21" w:name="OLE_LINK22"/>
      <w:r w:rsidR="00BF4B4E" w:rsidRPr="00143DED">
        <w:rPr>
          <w:sz w:val="16"/>
          <w:szCs w:val="16"/>
        </w:rPr>
        <w:t xml:space="preserve">“Parameter [name] </w:t>
      </w:r>
      <w:bookmarkStart w:id="22" w:name="OLE_LINK36"/>
      <w:bookmarkStart w:id="23" w:name="OLE_LINK37"/>
      <w:r w:rsidR="00BF4B4E" w:rsidRPr="00143DED">
        <w:rPr>
          <w:sz w:val="16"/>
          <w:szCs w:val="16"/>
        </w:rPr>
        <w:t>cannot be correctly estimated</w:t>
      </w:r>
      <w:bookmarkEnd w:id="22"/>
      <w:bookmarkEnd w:id="23"/>
      <w:r w:rsidR="00BF4B4E" w:rsidRPr="00143DED">
        <w:rPr>
          <w:sz w:val="16"/>
          <w:szCs w:val="16"/>
        </w:rPr>
        <w:t xml:space="preserve">” </w:t>
      </w:r>
      <w:bookmarkEnd w:id="20"/>
      <w:bookmarkEnd w:id="21"/>
      <w:r w:rsidR="00BF4B4E" w:rsidRPr="00143DED">
        <w:rPr>
          <w:sz w:val="16"/>
          <w:szCs w:val="16"/>
        </w:rPr>
        <w:t>occurs “when a parameter does not influence the structural model”. Communication from H. Mesa, Monolix Software Development Engineer, Lixoft Forum, 25 March 2015</w:t>
      </w:r>
    </w:p>
    <w:p w:rsidR="00BF4B4E" w:rsidRDefault="00BF4B4E">
      <w:pPr>
        <w:spacing w:after="200" w:line="276" w:lineRule="auto"/>
      </w:pPr>
    </w:p>
    <w:p w:rsidR="00143DED" w:rsidRDefault="00143DED">
      <w:pPr>
        <w:spacing w:after="200" w:line="276" w:lineRule="auto"/>
        <w:rPr>
          <w:b/>
        </w:rPr>
      </w:pPr>
      <w:r>
        <w:rPr>
          <w:b/>
        </w:rPr>
        <w:br w:type="page"/>
      </w:r>
    </w:p>
    <w:p w:rsidR="00F90D8C" w:rsidRPr="00143DED" w:rsidRDefault="00F90D8C" w:rsidP="00143DED">
      <w:pPr>
        <w:spacing w:after="200"/>
        <w:rPr>
          <w:b/>
        </w:rPr>
      </w:pPr>
      <w:r w:rsidRPr="00143DED">
        <w:rPr>
          <w:b/>
        </w:rPr>
        <w:lastRenderedPageBreak/>
        <w:t xml:space="preserve">Figure S1: </w:t>
      </w:r>
      <w:r w:rsidRPr="00F90D8C">
        <w:rPr>
          <w:b/>
        </w:rPr>
        <w:t xml:space="preserve">Scatterplot of </w:t>
      </w:r>
      <w:bookmarkStart w:id="24" w:name="OLE_LINK33"/>
      <w:bookmarkStart w:id="25" w:name="OLE_LINK34"/>
      <w:bookmarkStart w:id="26" w:name="OLE_LINK35"/>
      <w:r w:rsidRPr="00F90D8C">
        <w:rPr>
          <w:b/>
        </w:rPr>
        <w:t xml:space="preserve">EP 3-compartment individual model predicted data (IPRED) </w:t>
      </w:r>
      <w:bookmarkEnd w:id="24"/>
      <w:bookmarkEnd w:id="25"/>
      <w:bookmarkEnd w:id="26"/>
      <w:r w:rsidRPr="00F90D8C">
        <w:rPr>
          <w:b/>
        </w:rPr>
        <w:t>and EP 2-compartment IPRED of data from Study 06-IN-IR001, N = 1357 observations</w:t>
      </w:r>
    </w:p>
    <w:p w:rsidR="00F90D8C" w:rsidRDefault="00F90D8C">
      <w:pPr>
        <w:spacing w:after="200" w:line="276" w:lineRule="auto"/>
      </w:pPr>
      <w:r>
        <w:rPr>
          <w:noProof/>
        </w:rPr>
        <w:drawing>
          <wp:inline distT="0" distB="0" distL="0" distR="0" wp14:anchorId="17E2CFD9" wp14:editId="734C7A84">
            <wp:extent cx="4095750" cy="4095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C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95758" cy="4095758"/>
                    </a:xfrm>
                    <a:prstGeom prst="rect">
                      <a:avLst/>
                    </a:prstGeom>
                  </pic:spPr>
                </pic:pic>
              </a:graphicData>
            </a:graphic>
          </wp:inline>
        </w:drawing>
      </w:r>
    </w:p>
    <w:p w:rsidR="00E449FA" w:rsidRDefault="00E449FA" w:rsidP="00143DED">
      <w:pPr>
        <w:spacing w:after="200" w:line="276" w:lineRule="auto"/>
      </w:pPr>
      <w:r>
        <w:br w:type="page"/>
      </w:r>
    </w:p>
    <w:p w:rsidR="00E449FA" w:rsidRPr="00E449FA" w:rsidRDefault="00E449FA">
      <w:pPr>
        <w:rPr>
          <w:b/>
          <w:sz w:val="28"/>
          <w:szCs w:val="28"/>
        </w:rPr>
      </w:pPr>
      <w:r w:rsidRPr="00E449FA">
        <w:rPr>
          <w:b/>
          <w:sz w:val="28"/>
          <w:szCs w:val="28"/>
        </w:rPr>
        <w:lastRenderedPageBreak/>
        <w:t>Covariate selection</w:t>
      </w:r>
    </w:p>
    <w:p w:rsidR="00E449FA" w:rsidRDefault="0089661C" w:rsidP="00F93706">
      <w:pPr>
        <w:ind w:firstLine="720"/>
      </w:pPr>
      <w:r w:rsidRPr="00E449FA">
        <w:t xml:space="preserve">Since the correlation between BSA and BW was 0.96, only BSA was further tested for significance. </w:t>
      </w:r>
      <w:r>
        <w:t xml:space="preserve"> </w:t>
      </w:r>
      <w:r w:rsidR="00E449FA">
        <w:rPr>
          <w:noProof/>
          <w:lang w:eastAsia="zh-CN"/>
        </w:rPr>
        <w:t>EP (NKTR-102)</w:t>
      </w:r>
      <w:r w:rsidR="00E449FA" w:rsidRPr="00E449FA">
        <w:rPr>
          <w:noProof/>
          <w:lang w:eastAsia="zh-CN"/>
        </w:rPr>
        <w:t xml:space="preserve"> clearance </w:t>
      </w:r>
      <w:r w:rsidR="00E449FA" w:rsidRPr="00E449FA">
        <w:t>appeared to increase with higher BSA</w:t>
      </w:r>
      <w:r>
        <w:t xml:space="preserve"> (Figure S</w:t>
      </w:r>
      <w:r w:rsidR="00F46C11">
        <w:t>2</w:t>
      </w:r>
      <w:r>
        <w:t>)</w:t>
      </w:r>
      <w:r w:rsidR="00E449FA" w:rsidRPr="00E449FA">
        <w:t>, and in males</w:t>
      </w:r>
      <w:r>
        <w:t xml:space="preserve"> (Figure S</w:t>
      </w:r>
      <w:r w:rsidR="00F46C11">
        <w:t>3</w:t>
      </w:r>
      <w:r>
        <w:t>)</w:t>
      </w:r>
      <w:r w:rsidR="00E449FA" w:rsidRPr="00E449FA">
        <w:t>; volume of distribution appeared to be lower with higher BSA</w:t>
      </w:r>
      <w:r>
        <w:t xml:space="preserve"> (Figure S</w:t>
      </w:r>
      <w:r w:rsidR="00F46C11">
        <w:t>2</w:t>
      </w:r>
      <w:r>
        <w:t>)</w:t>
      </w:r>
      <w:r w:rsidR="00E449FA" w:rsidRPr="00E449FA">
        <w:t xml:space="preserve">.  </w:t>
      </w:r>
      <w:r w:rsidR="00815FEC">
        <w:t>M</w:t>
      </w:r>
      <w:r w:rsidR="00E449FA" w:rsidRPr="00E449FA">
        <w:t xml:space="preserve">ales tended to have higher BSA compared to females.  </w:t>
      </w:r>
      <w:r w:rsidR="00815FEC">
        <w:t xml:space="preserve">Thus, gender effect is likely confounded in BSA effect.  </w:t>
      </w:r>
      <w:r w:rsidR="00E449FA" w:rsidRPr="00E449FA">
        <w:t xml:space="preserve">In addition to BSA and gender, </w:t>
      </w:r>
      <w:r w:rsidR="00411185">
        <w:t>EP</w:t>
      </w:r>
      <w:r w:rsidR="00E449FA" w:rsidRPr="00E449FA">
        <w:t xml:space="preserve"> clearance appeared to be higher with </w:t>
      </w:r>
      <w:r w:rsidR="00E449FA" w:rsidRPr="00E449FA">
        <w:rPr>
          <w:rFonts w:cs="Arial"/>
        </w:rPr>
        <w:t>increasing estimated glomerular filtration rate</w:t>
      </w:r>
      <w:r w:rsidR="00411185">
        <w:rPr>
          <w:rFonts w:cs="Arial"/>
        </w:rPr>
        <w:t xml:space="preserve"> (Figure S</w:t>
      </w:r>
      <w:r w:rsidR="00F46C11">
        <w:rPr>
          <w:rFonts w:cs="Arial"/>
        </w:rPr>
        <w:t>4</w:t>
      </w:r>
      <w:r w:rsidR="00411185">
        <w:rPr>
          <w:rFonts w:cs="Arial"/>
        </w:rPr>
        <w:t>)</w:t>
      </w:r>
      <w:r w:rsidR="00E449FA">
        <w:rPr>
          <w:rFonts w:cs="Arial"/>
        </w:rPr>
        <w:t xml:space="preserve">. </w:t>
      </w:r>
      <w:r w:rsidR="00E449FA" w:rsidRPr="003A5806">
        <w:rPr>
          <w:rFonts w:cs="Arial"/>
        </w:rPr>
        <w:t xml:space="preserve">For irinotecan, there was no noticeable trend in the covariates investigated. </w:t>
      </w:r>
      <w:r w:rsidR="00E449FA" w:rsidRPr="00AA5B2A">
        <w:rPr>
          <w:rFonts w:cs="Arial"/>
        </w:rPr>
        <w:t xml:space="preserve">For SN38, </w:t>
      </w:r>
      <w:r w:rsidR="00E449FA" w:rsidRPr="005D4CA7">
        <w:rPr>
          <w:rFonts w:cs="Arial"/>
        </w:rPr>
        <w:t xml:space="preserve">visual inspection identified gender (males tended to have higher </w:t>
      </w:r>
      <w:r w:rsidR="00E449FA">
        <w:t>SN38 elimination) and UGT1A1*28 homozygosity (patients homozygous for UGT1A1*28 allele tended to have lower SN38 elimination) as potentially important covariates</w:t>
      </w:r>
      <w:r w:rsidR="00F46C11">
        <w:t xml:space="preserve"> (Figure S5</w:t>
      </w:r>
      <w:r w:rsidR="00E71FDD">
        <w:t>).</w:t>
      </w:r>
    </w:p>
    <w:p w:rsidR="00F93706" w:rsidRDefault="00F93706" w:rsidP="00F93706">
      <w:pPr>
        <w:pStyle w:val="Paragraph"/>
        <w:spacing w:line="480" w:lineRule="auto"/>
        <w:ind w:firstLine="720"/>
        <w:rPr>
          <w:rFonts w:ascii="Arial" w:hAnsi="Arial" w:cs="Arial"/>
        </w:rPr>
      </w:pPr>
      <w:r w:rsidRPr="003A5806">
        <w:rPr>
          <w:rFonts w:ascii="Arial" w:hAnsi="Arial" w:cs="Arial"/>
        </w:rPr>
        <w:t>Among the tested covariates, the highest ranked mode</w:t>
      </w:r>
      <w:r>
        <w:rPr>
          <w:rFonts w:ascii="Arial" w:eastAsiaTheme="minorEastAsia" w:hAnsi="Arial" w:cs="Arial" w:hint="eastAsia"/>
          <w:lang w:eastAsia="zh-CN"/>
        </w:rPr>
        <w:t>l based on Wald approximation to likelihood ratio test in conjunction with Schwarz</w:t>
      </w:r>
      <w:r>
        <w:rPr>
          <w:rFonts w:ascii="Arial" w:eastAsiaTheme="minorEastAsia" w:hAnsi="Arial" w:cs="Arial"/>
          <w:lang w:eastAsia="zh-CN"/>
        </w:rPr>
        <w:t>’</w:t>
      </w:r>
      <w:r>
        <w:rPr>
          <w:rFonts w:ascii="Arial" w:eastAsiaTheme="minorEastAsia" w:hAnsi="Arial" w:cs="Arial" w:hint="eastAsia"/>
          <w:lang w:eastAsia="zh-CN"/>
        </w:rPr>
        <w:t>s Bayesion criterion (SBC)</w:t>
      </w:r>
      <w:r w:rsidRPr="003A5806">
        <w:rPr>
          <w:rFonts w:ascii="Arial" w:hAnsi="Arial" w:cs="Arial"/>
        </w:rPr>
        <w:t xml:space="preserve"> maintained AGE and BSA as potentially significant covariates for </w:t>
      </w:r>
      <w:r>
        <w:rPr>
          <w:rFonts w:ascii="Arial" w:hAnsi="Arial" w:cs="Arial"/>
        </w:rPr>
        <w:t>EP</w:t>
      </w:r>
      <w:r w:rsidRPr="003A5806">
        <w:rPr>
          <w:rFonts w:ascii="Arial" w:hAnsi="Arial" w:cs="Arial"/>
        </w:rPr>
        <w:t xml:space="preserve"> </w:t>
      </w:r>
      <w:r w:rsidR="00815FEC">
        <w:rPr>
          <w:rFonts w:ascii="Arial" w:hAnsi="Arial" w:cs="Arial"/>
        </w:rPr>
        <w:t>clearance (</w:t>
      </w:r>
      <w:r w:rsidR="00815FEC" w:rsidRPr="00815FEC">
        <w:rPr>
          <w:rFonts w:ascii="Arial" w:hAnsi="Arial" w:cs="Arial"/>
          <w:i/>
        </w:rPr>
        <w:t>CL</w:t>
      </w:r>
      <w:r w:rsidR="00815FEC">
        <w:rPr>
          <w:rFonts w:ascii="Arial" w:hAnsi="Arial" w:cs="Arial"/>
        </w:rPr>
        <w:t>)</w:t>
      </w:r>
      <w:r w:rsidRPr="003A5806">
        <w:rPr>
          <w:rFonts w:ascii="Arial" w:hAnsi="Arial" w:cs="Arial"/>
        </w:rPr>
        <w:t xml:space="preserve">, BSA as potentially significant for </w:t>
      </w:r>
      <w:r>
        <w:rPr>
          <w:rFonts w:ascii="Arial" w:hAnsi="Arial" w:cs="Arial"/>
        </w:rPr>
        <w:t>EP</w:t>
      </w:r>
      <w:r w:rsidRPr="003A5806">
        <w:rPr>
          <w:rFonts w:ascii="Arial" w:hAnsi="Arial" w:cs="Arial"/>
        </w:rPr>
        <w:t xml:space="preserve"> </w:t>
      </w:r>
      <w:r w:rsidR="00815FEC">
        <w:rPr>
          <w:rFonts w:ascii="Arial" w:hAnsi="Arial" w:cs="Arial"/>
        </w:rPr>
        <w:t>central volume (</w:t>
      </w:r>
      <w:r w:rsidR="00815FEC" w:rsidRPr="00815FEC">
        <w:rPr>
          <w:rFonts w:ascii="Arial" w:hAnsi="Arial" w:cs="Arial"/>
          <w:i/>
        </w:rPr>
        <w:t>V</w:t>
      </w:r>
      <w:r w:rsidR="00815FEC" w:rsidRPr="00815FEC">
        <w:rPr>
          <w:rFonts w:ascii="Arial" w:hAnsi="Arial" w:cs="Arial"/>
          <w:vertAlign w:val="subscript"/>
        </w:rPr>
        <w:t>1</w:t>
      </w:r>
      <w:r w:rsidR="00815FEC">
        <w:rPr>
          <w:rFonts w:ascii="Arial" w:hAnsi="Arial" w:cs="Arial"/>
        </w:rPr>
        <w:t>)</w:t>
      </w:r>
      <w:r w:rsidRPr="003A5806">
        <w:rPr>
          <w:rFonts w:ascii="Arial" w:hAnsi="Arial" w:cs="Arial"/>
          <w:i/>
          <w:vertAlign w:val="subscript"/>
        </w:rPr>
        <w:t xml:space="preserve">, </w:t>
      </w:r>
      <w:r w:rsidRPr="003A5806">
        <w:rPr>
          <w:rFonts w:ascii="Arial" w:hAnsi="Arial" w:cs="Arial"/>
        </w:rPr>
        <w:t>and</w:t>
      </w:r>
      <w:r w:rsidRPr="003A5806">
        <w:rPr>
          <w:rFonts w:ascii="Arial" w:hAnsi="Arial" w:cs="Arial"/>
          <w:i/>
          <w:vertAlign w:val="subscript"/>
        </w:rPr>
        <w:t xml:space="preserve"> </w:t>
      </w:r>
      <w:r w:rsidRPr="003A5806">
        <w:rPr>
          <w:rFonts w:ascii="Arial" w:hAnsi="Arial" w:cs="Arial"/>
        </w:rPr>
        <w:t xml:space="preserve">UGT1A1 status as potentially important for </w:t>
      </w:r>
      <w:r w:rsidRPr="003A5806">
        <w:rPr>
          <w:rFonts w:ascii="Arial" w:hAnsi="Arial" w:cs="Arial"/>
          <w:i/>
        </w:rPr>
        <w:t>k</w:t>
      </w:r>
      <w:r w:rsidRPr="00815FEC">
        <w:rPr>
          <w:rFonts w:ascii="Arial" w:hAnsi="Arial" w:cs="Arial"/>
          <w:vertAlign w:val="subscript"/>
        </w:rPr>
        <w:t>3e</w:t>
      </w:r>
      <w:r w:rsidRPr="003A5806">
        <w:rPr>
          <w:rFonts w:ascii="Arial" w:hAnsi="Arial" w:cs="Arial"/>
        </w:rPr>
        <w:t xml:space="preserve"> (SN38 elimination).  The potentially important effects of BSA on </w:t>
      </w:r>
      <w:r w:rsidRPr="003A5806">
        <w:rPr>
          <w:rFonts w:ascii="Arial" w:hAnsi="Arial" w:cs="Arial"/>
          <w:i/>
        </w:rPr>
        <w:t>CL</w:t>
      </w:r>
      <w:r w:rsidRPr="003A5806">
        <w:rPr>
          <w:rFonts w:ascii="Arial" w:hAnsi="Arial" w:cs="Arial"/>
        </w:rPr>
        <w:t xml:space="preserve">, and </w:t>
      </w:r>
      <w:r w:rsidRPr="003A5806">
        <w:rPr>
          <w:rFonts w:ascii="Arial" w:hAnsi="Arial" w:cs="Arial"/>
          <w:i/>
        </w:rPr>
        <w:t>V</w:t>
      </w:r>
      <w:r w:rsidRPr="00815FEC">
        <w:rPr>
          <w:rFonts w:ascii="Arial" w:hAnsi="Arial" w:cs="Arial"/>
          <w:vertAlign w:val="subscript"/>
        </w:rPr>
        <w:t>1</w:t>
      </w:r>
      <w:r w:rsidRPr="003A5806">
        <w:rPr>
          <w:rFonts w:ascii="Arial" w:hAnsi="Arial" w:cs="Arial"/>
        </w:rPr>
        <w:t xml:space="preserve"> were consistently found in the top models.  Out of the top 10</w:t>
      </w:r>
      <w:r>
        <w:rPr>
          <w:rFonts w:ascii="Arial" w:hAnsi="Arial" w:cs="Arial"/>
        </w:rPr>
        <w:t xml:space="preserve"> </w:t>
      </w:r>
      <w:r w:rsidRPr="003A5806">
        <w:rPr>
          <w:rFonts w:ascii="Arial" w:hAnsi="Arial" w:cs="Arial"/>
        </w:rPr>
        <w:t xml:space="preserve">models enumerated, AGE on CL appeared 8 times, while baseline estimated GFR on CL and UGT1A1 status and gender on </w:t>
      </w:r>
      <w:r w:rsidRPr="003A5806">
        <w:rPr>
          <w:rFonts w:ascii="Arial" w:hAnsi="Arial" w:cs="Arial"/>
          <w:i/>
        </w:rPr>
        <w:t>k</w:t>
      </w:r>
      <w:r w:rsidRPr="003A5806">
        <w:rPr>
          <w:rFonts w:ascii="Arial" w:hAnsi="Arial" w:cs="Arial"/>
          <w:i/>
          <w:vertAlign w:val="subscript"/>
        </w:rPr>
        <w:t>3e</w:t>
      </w:r>
      <w:r w:rsidRPr="003A5806">
        <w:rPr>
          <w:rFonts w:ascii="Arial" w:hAnsi="Arial" w:cs="Arial"/>
        </w:rPr>
        <w:t xml:space="preserve"> appeared 4-6 times as potential important covariates.</w:t>
      </w:r>
    </w:p>
    <w:p w:rsidR="00E449FA" w:rsidRDefault="00E449FA">
      <w:pPr>
        <w:spacing w:after="200" w:line="276" w:lineRule="auto"/>
      </w:pPr>
      <w:r>
        <w:br w:type="page"/>
      </w:r>
    </w:p>
    <w:p w:rsidR="00E449FA" w:rsidRPr="0089661C" w:rsidRDefault="00E449FA" w:rsidP="00E449FA">
      <w:pPr>
        <w:rPr>
          <w:b/>
        </w:rPr>
      </w:pPr>
      <w:r w:rsidRPr="0089661C">
        <w:rPr>
          <w:b/>
        </w:rPr>
        <w:lastRenderedPageBreak/>
        <w:t>Figure S</w:t>
      </w:r>
      <w:r w:rsidR="005C29A9">
        <w:rPr>
          <w:b/>
        </w:rPr>
        <w:t>2</w:t>
      </w:r>
      <w:r w:rsidRPr="0089661C">
        <w:rPr>
          <w:b/>
        </w:rPr>
        <w:t xml:space="preserve">: Scatterplot of </w:t>
      </w:r>
      <w:r w:rsidR="0089661C">
        <w:rPr>
          <w:b/>
        </w:rPr>
        <w:t>etirinotecan pegol (NKTR-102)</w:t>
      </w:r>
      <w:r w:rsidR="0089661C" w:rsidRPr="0089661C">
        <w:rPr>
          <w:b/>
        </w:rPr>
        <w:t xml:space="preserve"> clearance and volume of distribution versus baseline body surface area (top) and irinotecan and SN38 elimination rate constant versus BSA (bottom)</w:t>
      </w:r>
    </w:p>
    <w:p w:rsidR="0089661C" w:rsidRDefault="0089661C" w:rsidP="00E449FA">
      <w:r>
        <w:object w:dxaOrig="5280" w:dyaOrig="4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4pt;height:351.6pt" o:ole="">
            <v:imagedata r:id="rId6" o:title=""/>
          </v:shape>
          <o:OLEObject Type="Embed" ProgID="SPLUSGraphSheetFileType" ShapeID="_x0000_i1025" DrawAspect="Content" ObjectID="_1557923458" r:id="rId7"/>
        </w:object>
      </w:r>
    </w:p>
    <w:p w:rsidR="0089661C" w:rsidRDefault="0089661C">
      <w:pPr>
        <w:spacing w:after="200" w:line="276" w:lineRule="auto"/>
        <w:rPr>
          <w:b/>
        </w:rPr>
      </w:pPr>
      <w:r>
        <w:rPr>
          <w:b/>
        </w:rPr>
        <w:br w:type="page"/>
      </w:r>
    </w:p>
    <w:p w:rsidR="0089661C" w:rsidRPr="0089661C" w:rsidRDefault="0089661C" w:rsidP="00E449FA">
      <w:pPr>
        <w:rPr>
          <w:b/>
        </w:rPr>
      </w:pPr>
      <w:r w:rsidRPr="0089661C">
        <w:rPr>
          <w:b/>
        </w:rPr>
        <w:lastRenderedPageBreak/>
        <w:t>Figure S</w:t>
      </w:r>
      <w:r w:rsidR="005C29A9">
        <w:rPr>
          <w:b/>
        </w:rPr>
        <w:t>3</w:t>
      </w:r>
      <w:r w:rsidRPr="0089661C">
        <w:rPr>
          <w:b/>
        </w:rPr>
        <w:t>: Etirinotecan pegol (NKTR-102), irinotecan</w:t>
      </w:r>
      <w:r w:rsidR="005C29A9">
        <w:rPr>
          <w:b/>
        </w:rPr>
        <w:t>,</w:t>
      </w:r>
      <w:r w:rsidRPr="0089661C">
        <w:rPr>
          <w:b/>
        </w:rPr>
        <w:t xml:space="preserve"> and SN38 pharmacokinetic parameters by gender</w:t>
      </w:r>
    </w:p>
    <w:p w:rsidR="0089661C" w:rsidRDefault="0089661C" w:rsidP="00E449FA">
      <w:r>
        <w:object w:dxaOrig="5280" w:dyaOrig="4080">
          <v:shape id="_x0000_i1026" type="#_x0000_t75" style="width:465pt;height:358.2pt" o:ole="">
            <v:imagedata r:id="rId8" o:title=""/>
          </v:shape>
          <o:OLEObject Type="Embed" ProgID="SPLUSGraphSheetFileType" ShapeID="_x0000_i1026" DrawAspect="Content" ObjectID="_1557923459" r:id="rId9"/>
        </w:object>
      </w:r>
    </w:p>
    <w:p w:rsidR="0089661C" w:rsidRDefault="0089661C">
      <w:pPr>
        <w:spacing w:after="200" w:line="276" w:lineRule="auto"/>
      </w:pPr>
      <w:r>
        <w:br w:type="page"/>
      </w:r>
    </w:p>
    <w:p w:rsidR="0089661C" w:rsidRDefault="0089661C" w:rsidP="00E449FA">
      <w:pPr>
        <w:rPr>
          <w:b/>
        </w:rPr>
      </w:pPr>
      <w:r w:rsidRPr="0089661C">
        <w:rPr>
          <w:b/>
        </w:rPr>
        <w:lastRenderedPageBreak/>
        <w:t>Figure S</w:t>
      </w:r>
      <w:r w:rsidR="005C29A9">
        <w:rPr>
          <w:b/>
        </w:rPr>
        <w:t>4</w:t>
      </w:r>
      <w:r w:rsidRPr="0089661C">
        <w:rPr>
          <w:b/>
        </w:rPr>
        <w:t xml:space="preserve">: Scatterplot of </w:t>
      </w:r>
      <w:r>
        <w:rPr>
          <w:b/>
        </w:rPr>
        <w:t>etirinotecan pegol (NKTR-102)</w:t>
      </w:r>
      <w:r w:rsidRPr="0089661C">
        <w:rPr>
          <w:b/>
        </w:rPr>
        <w:t xml:space="preserve"> clearance and volume of distribution versus </w:t>
      </w:r>
      <w:r>
        <w:rPr>
          <w:b/>
        </w:rPr>
        <w:t>baseline serum creatinine</w:t>
      </w:r>
      <w:r w:rsidRPr="0089661C">
        <w:rPr>
          <w:b/>
        </w:rPr>
        <w:t xml:space="preserve"> (top) and </w:t>
      </w:r>
      <w:r>
        <w:rPr>
          <w:b/>
        </w:rPr>
        <w:t>versus estimated glomerular filtration rate at baseline</w:t>
      </w:r>
      <w:r w:rsidRPr="0089661C">
        <w:rPr>
          <w:b/>
        </w:rPr>
        <w:t xml:space="preserve"> (bottom)</w:t>
      </w:r>
    </w:p>
    <w:p w:rsidR="0089661C" w:rsidRDefault="0089661C" w:rsidP="00E449FA">
      <w:r>
        <w:object w:dxaOrig="5280" w:dyaOrig="4080">
          <v:shape id="_x0000_i1027" type="#_x0000_t75" style="width:452.4pt;height:351.6pt" o:ole="">
            <v:imagedata r:id="rId10" o:title=""/>
          </v:shape>
          <o:OLEObject Type="Embed" ProgID="SPLUSGraphSheetFileType" ShapeID="_x0000_i1027" DrawAspect="Content" ObjectID="_1557923460" r:id="rId11"/>
        </w:object>
      </w:r>
    </w:p>
    <w:p w:rsidR="00E71FDD" w:rsidRDefault="00E71FDD">
      <w:pPr>
        <w:spacing w:after="200" w:line="276" w:lineRule="auto"/>
      </w:pPr>
      <w:r>
        <w:br w:type="page"/>
      </w:r>
    </w:p>
    <w:p w:rsidR="0089661C" w:rsidRPr="00E71FDD" w:rsidRDefault="00E71FDD" w:rsidP="00E449FA">
      <w:pPr>
        <w:rPr>
          <w:b/>
        </w:rPr>
      </w:pPr>
      <w:r w:rsidRPr="00E71FDD">
        <w:rPr>
          <w:b/>
        </w:rPr>
        <w:lastRenderedPageBreak/>
        <w:t>Figure S</w:t>
      </w:r>
      <w:r w:rsidR="005C29A9">
        <w:rPr>
          <w:b/>
        </w:rPr>
        <w:t>5</w:t>
      </w:r>
      <w:r w:rsidRPr="00E71FDD">
        <w:rPr>
          <w:b/>
        </w:rPr>
        <w:t>: SN38 elimination by gender (left) and by UGT1A1*28 allele copies (right)</w:t>
      </w:r>
    </w:p>
    <w:p w:rsidR="00F93706" w:rsidRDefault="00E71FDD" w:rsidP="00E449FA">
      <w:r>
        <w:object w:dxaOrig="3840" w:dyaOrig="2640">
          <v:shape id="_x0000_i1028" type="#_x0000_t75" style="width:383.4pt;height:262.8pt" o:ole="">
            <v:imagedata r:id="rId12" o:title=""/>
          </v:shape>
          <o:OLEObject Type="Embed" ProgID="SPLUSGraphSheetFileType" ShapeID="_x0000_i1028" DrawAspect="Content" ObjectID="_1557923461" r:id="rId13"/>
        </w:object>
      </w:r>
    </w:p>
    <w:p w:rsidR="00F93706" w:rsidRDefault="00F93706">
      <w:pPr>
        <w:spacing w:after="200" w:line="276" w:lineRule="auto"/>
      </w:pPr>
      <w:r>
        <w:br w:type="page"/>
      </w:r>
    </w:p>
    <w:p w:rsidR="00E71FDD" w:rsidRPr="00BB5CF3" w:rsidRDefault="00F93706" w:rsidP="00E449FA">
      <w:pPr>
        <w:rPr>
          <w:b/>
          <w:sz w:val="28"/>
          <w:szCs w:val="28"/>
        </w:rPr>
      </w:pPr>
      <w:r w:rsidRPr="00BB5CF3">
        <w:rPr>
          <w:b/>
          <w:sz w:val="28"/>
          <w:szCs w:val="28"/>
        </w:rPr>
        <w:lastRenderedPageBreak/>
        <w:t>Model qualification by visual predictive check</w:t>
      </w:r>
    </w:p>
    <w:p w:rsidR="007942B3" w:rsidRDefault="007942B3" w:rsidP="007942B3">
      <w:r>
        <w:t>Shown in Figure S</w:t>
      </w:r>
      <w:r w:rsidR="00F46C11">
        <w:t>6</w:t>
      </w:r>
      <w:r w:rsidRPr="007942B3">
        <w:t xml:space="preserve"> </w:t>
      </w:r>
      <w:r>
        <w:t xml:space="preserve">stratified by dosing schedule, the prediction- and variability-corrected visual predictive check plots captured majority of the observed data within the 90% prediction intervals. The VPC were generated from 2000 simulations. The stratification of the VPC was based on dosing schedule, rather than covariates, in order to show cleaner </w:t>
      </w:r>
      <w:r w:rsidR="003143C9">
        <w:t>trends in the plots. To further assess model fit for the schedule and dose intended for commercial use (q21d), we also compared the 9</w:t>
      </w:r>
      <w:r w:rsidR="00815FEC">
        <w:t>0</w:t>
      </w:r>
      <w:r w:rsidR="003143C9">
        <w:t>% prediction interval of the observed data (empirical) with that of the model-predicted data (theoretical) for patients that received etirinotecan pegol</w:t>
      </w:r>
      <w:r w:rsidR="00F46C11">
        <w:t xml:space="preserve"> on the q21d schedule (Figure S7</w:t>
      </w:r>
      <w:r w:rsidR="003143C9">
        <w:t>). There was a good overlap and agreement between the empirical and theoretical prediction intervals for all analytes, indicating that variability was characterized sufficiently in the final population PK model.</w:t>
      </w:r>
    </w:p>
    <w:p w:rsidR="004F7FF4" w:rsidRDefault="004F7FF4">
      <w:pPr>
        <w:spacing w:after="200" w:line="276" w:lineRule="auto"/>
      </w:pPr>
      <w:r>
        <w:br w:type="page"/>
      </w:r>
    </w:p>
    <w:p w:rsidR="004F7FF4" w:rsidRDefault="004F7FF4" w:rsidP="00E449FA">
      <w:pPr>
        <w:sectPr w:rsidR="004F7FF4">
          <w:pgSz w:w="12240" w:h="15840"/>
          <w:pgMar w:top="1440" w:right="1440" w:bottom="1440" w:left="1440" w:header="720" w:footer="720" w:gutter="0"/>
          <w:cols w:space="720"/>
          <w:docGrid w:linePitch="360"/>
        </w:sectPr>
      </w:pPr>
    </w:p>
    <w:p w:rsidR="004F7FF4" w:rsidRPr="004F7FF4" w:rsidRDefault="004F7FF4" w:rsidP="004F7FF4">
      <w:pPr>
        <w:pStyle w:val="TableTitle"/>
        <w:rPr>
          <w:rFonts w:ascii="Arial" w:hAnsi="Arial" w:cs="Arial"/>
        </w:rPr>
      </w:pPr>
      <w:r w:rsidRPr="004F7FF4">
        <w:rPr>
          <w:rFonts w:ascii="Arial" w:hAnsi="Arial" w:cs="Arial"/>
        </w:rPr>
        <w:lastRenderedPageBreak/>
        <w:t xml:space="preserve">Figure </w:t>
      </w:r>
      <w:r>
        <w:rPr>
          <w:rFonts w:ascii="Arial" w:hAnsi="Arial" w:cs="Arial"/>
        </w:rPr>
        <w:t>S</w:t>
      </w:r>
      <w:r w:rsidR="005C29A9">
        <w:rPr>
          <w:rFonts w:ascii="Arial" w:hAnsi="Arial" w:cs="Arial"/>
        </w:rPr>
        <w:t>6</w:t>
      </w:r>
      <w:r w:rsidRPr="004F7FF4">
        <w:rPr>
          <w:rFonts w:ascii="Arial" w:hAnsi="Arial" w:cs="Arial"/>
        </w:rPr>
        <w:t>:</w:t>
      </w:r>
      <w:r>
        <w:rPr>
          <w:rFonts w:ascii="Arial" w:hAnsi="Arial" w:cs="Arial"/>
        </w:rPr>
        <w:t xml:space="preserve"> </w:t>
      </w:r>
      <w:r w:rsidRPr="004F7FF4">
        <w:rPr>
          <w:rFonts w:ascii="Arial" w:hAnsi="Arial" w:cs="Arial"/>
        </w:rPr>
        <w:t xml:space="preserve">Prediction- and Variability-Corrected Visual Predictive Checks </w:t>
      </w:r>
      <w:proofErr w:type="gramStart"/>
      <w:r w:rsidRPr="004F7FF4">
        <w:rPr>
          <w:rFonts w:ascii="Arial" w:hAnsi="Arial" w:cs="Arial"/>
        </w:rPr>
        <w:t>By</w:t>
      </w:r>
      <w:proofErr w:type="gramEnd"/>
      <w:r w:rsidRPr="004F7FF4">
        <w:rPr>
          <w:rFonts w:ascii="Arial" w:hAnsi="Arial" w:cs="Arial"/>
        </w:rPr>
        <w:t xml:space="preserve"> Dosing Schedule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4"/>
        <w:gridCol w:w="4394"/>
        <w:gridCol w:w="4398"/>
      </w:tblGrid>
      <w:tr w:rsidR="00414B85" w:rsidRPr="00446C0C" w:rsidTr="00E231D5">
        <w:trPr>
          <w:tblHeader/>
        </w:trPr>
        <w:tc>
          <w:tcPr>
            <w:tcW w:w="4396" w:type="dxa"/>
          </w:tcPr>
          <w:p w:rsidR="004F7FF4" w:rsidRPr="00446C0C" w:rsidRDefault="004F7FF4" w:rsidP="004F7FF4">
            <w:pPr>
              <w:spacing w:line="240" w:lineRule="auto"/>
              <w:jc w:val="center"/>
              <w:rPr>
                <w:b/>
                <w:sz w:val="20"/>
                <w:szCs w:val="20"/>
              </w:rPr>
            </w:pPr>
            <w:r>
              <w:rPr>
                <w:b/>
                <w:sz w:val="20"/>
                <w:szCs w:val="20"/>
              </w:rPr>
              <w:t>Q</w:t>
            </w:r>
            <w:r w:rsidRPr="00446C0C">
              <w:rPr>
                <w:b/>
                <w:sz w:val="20"/>
                <w:szCs w:val="20"/>
              </w:rPr>
              <w:t>21d</w:t>
            </w:r>
            <w:r>
              <w:rPr>
                <w:b/>
                <w:sz w:val="20"/>
                <w:szCs w:val="20"/>
              </w:rPr>
              <w:t xml:space="preserve"> Schedule</w:t>
            </w:r>
          </w:p>
        </w:tc>
        <w:tc>
          <w:tcPr>
            <w:tcW w:w="4390" w:type="dxa"/>
          </w:tcPr>
          <w:p w:rsidR="004F7FF4" w:rsidRPr="00446C0C" w:rsidRDefault="004F7FF4" w:rsidP="004F7FF4">
            <w:pPr>
              <w:spacing w:line="240" w:lineRule="auto"/>
              <w:jc w:val="center"/>
              <w:rPr>
                <w:b/>
                <w:sz w:val="20"/>
                <w:szCs w:val="20"/>
              </w:rPr>
            </w:pPr>
            <w:r w:rsidRPr="00446C0C">
              <w:rPr>
                <w:b/>
                <w:sz w:val="20"/>
                <w:szCs w:val="20"/>
              </w:rPr>
              <w:t>Q14d</w:t>
            </w:r>
            <w:r>
              <w:rPr>
                <w:b/>
                <w:sz w:val="20"/>
                <w:szCs w:val="20"/>
              </w:rPr>
              <w:t xml:space="preserve"> Schedule</w:t>
            </w:r>
          </w:p>
        </w:tc>
        <w:tc>
          <w:tcPr>
            <w:tcW w:w="4390" w:type="dxa"/>
          </w:tcPr>
          <w:p w:rsidR="004F7FF4" w:rsidRPr="00446C0C" w:rsidRDefault="004F7FF4" w:rsidP="004F7FF4">
            <w:pPr>
              <w:spacing w:line="240" w:lineRule="auto"/>
              <w:jc w:val="center"/>
              <w:rPr>
                <w:b/>
                <w:sz w:val="20"/>
                <w:szCs w:val="20"/>
              </w:rPr>
            </w:pPr>
            <w:r w:rsidRPr="00446C0C">
              <w:rPr>
                <w:b/>
                <w:sz w:val="20"/>
                <w:szCs w:val="20"/>
              </w:rPr>
              <w:t>Wx3 q4wk</w:t>
            </w:r>
            <w:r>
              <w:rPr>
                <w:b/>
                <w:sz w:val="20"/>
                <w:szCs w:val="20"/>
              </w:rPr>
              <w:t xml:space="preserve"> Schedule</w:t>
            </w:r>
          </w:p>
        </w:tc>
      </w:tr>
      <w:tr w:rsidR="00414B85" w:rsidRPr="00446C0C" w:rsidTr="00E231D5">
        <w:tc>
          <w:tcPr>
            <w:tcW w:w="4396" w:type="dxa"/>
          </w:tcPr>
          <w:p w:rsidR="004F7FF4" w:rsidRPr="00446C0C" w:rsidRDefault="004F7FF4" w:rsidP="004F7FF4">
            <w:pPr>
              <w:spacing w:line="240" w:lineRule="auto"/>
              <w:rPr>
                <w:b/>
                <w:sz w:val="20"/>
                <w:szCs w:val="20"/>
              </w:rPr>
            </w:pPr>
            <w:r>
              <w:rPr>
                <w:b/>
                <w:sz w:val="20"/>
                <w:szCs w:val="20"/>
              </w:rPr>
              <w:t>Etirinotecan Pegol</w:t>
            </w:r>
          </w:p>
        </w:tc>
        <w:tc>
          <w:tcPr>
            <w:tcW w:w="4390" w:type="dxa"/>
          </w:tcPr>
          <w:p w:rsidR="004F7FF4" w:rsidRPr="00446C0C" w:rsidRDefault="004F7FF4" w:rsidP="004F7FF4">
            <w:pPr>
              <w:spacing w:line="240" w:lineRule="auto"/>
              <w:rPr>
                <w:b/>
                <w:sz w:val="20"/>
                <w:szCs w:val="20"/>
              </w:rPr>
            </w:pPr>
          </w:p>
        </w:tc>
        <w:tc>
          <w:tcPr>
            <w:tcW w:w="4390" w:type="dxa"/>
          </w:tcPr>
          <w:p w:rsidR="004F7FF4" w:rsidRPr="00446C0C" w:rsidRDefault="004F7FF4" w:rsidP="004F7FF4">
            <w:pPr>
              <w:spacing w:line="240" w:lineRule="auto"/>
              <w:rPr>
                <w:b/>
                <w:sz w:val="20"/>
                <w:szCs w:val="20"/>
              </w:rPr>
            </w:pPr>
          </w:p>
        </w:tc>
      </w:tr>
      <w:tr w:rsidR="00414B85" w:rsidTr="00E231D5">
        <w:tc>
          <w:tcPr>
            <w:tcW w:w="4396" w:type="dxa"/>
          </w:tcPr>
          <w:p w:rsidR="004F7FF4" w:rsidRDefault="00ED13E7" w:rsidP="004F7FF4">
            <w:pPr>
              <w:spacing w:line="240" w:lineRule="auto"/>
              <w:rPr>
                <w:sz w:val="20"/>
                <w:szCs w:val="20"/>
              </w:rPr>
            </w:pPr>
            <w:r>
              <w:rPr>
                <w:noProof/>
                <w:sz w:val="20"/>
                <w:szCs w:val="20"/>
              </w:rPr>
              <w:drawing>
                <wp:inline distT="0" distB="0" distL="0" distR="0" wp14:anchorId="6A44690A" wp14:editId="5D7E9433">
                  <wp:extent cx="2698106" cy="2030680"/>
                  <wp:effectExtent l="0" t="0" r="762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EPq21d.png"/>
                          <pic:cNvPicPr/>
                        </pic:nvPicPr>
                        <pic:blipFill>
                          <a:blip r:embed="rId14">
                            <a:extLst>
                              <a:ext uri="{28A0092B-C50C-407E-A947-70E740481C1C}">
                                <a14:useLocalDpi xmlns:a14="http://schemas.microsoft.com/office/drawing/2010/main" val="0"/>
                              </a:ext>
                            </a:extLst>
                          </a:blip>
                          <a:stretch>
                            <a:fillRect/>
                          </a:stretch>
                        </pic:blipFill>
                        <pic:spPr>
                          <a:xfrm>
                            <a:off x="0" y="0"/>
                            <a:ext cx="2698876" cy="2031260"/>
                          </a:xfrm>
                          <a:prstGeom prst="rect">
                            <a:avLst/>
                          </a:prstGeom>
                        </pic:spPr>
                      </pic:pic>
                    </a:graphicData>
                  </a:graphic>
                </wp:inline>
              </w:drawing>
            </w:r>
          </w:p>
        </w:tc>
        <w:tc>
          <w:tcPr>
            <w:tcW w:w="4390" w:type="dxa"/>
          </w:tcPr>
          <w:p w:rsidR="004F7FF4" w:rsidRDefault="00ED13E7" w:rsidP="004F7FF4">
            <w:pPr>
              <w:spacing w:line="240" w:lineRule="auto"/>
              <w:rPr>
                <w:sz w:val="20"/>
                <w:szCs w:val="20"/>
              </w:rPr>
            </w:pPr>
            <w:r>
              <w:rPr>
                <w:noProof/>
                <w:sz w:val="20"/>
                <w:szCs w:val="20"/>
              </w:rPr>
              <w:drawing>
                <wp:inline distT="0" distB="0" distL="0" distR="0" wp14:anchorId="5C08541F" wp14:editId="4690232C">
                  <wp:extent cx="2695699" cy="2028868"/>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EPq14d.png"/>
                          <pic:cNvPicPr/>
                        </pic:nvPicPr>
                        <pic:blipFill>
                          <a:blip r:embed="rId15">
                            <a:extLst>
                              <a:ext uri="{28A0092B-C50C-407E-A947-70E740481C1C}">
                                <a14:useLocalDpi xmlns:a14="http://schemas.microsoft.com/office/drawing/2010/main" val="0"/>
                              </a:ext>
                            </a:extLst>
                          </a:blip>
                          <a:stretch>
                            <a:fillRect/>
                          </a:stretch>
                        </pic:blipFill>
                        <pic:spPr>
                          <a:xfrm>
                            <a:off x="0" y="0"/>
                            <a:ext cx="2696468" cy="2029447"/>
                          </a:xfrm>
                          <a:prstGeom prst="rect">
                            <a:avLst/>
                          </a:prstGeom>
                        </pic:spPr>
                      </pic:pic>
                    </a:graphicData>
                  </a:graphic>
                </wp:inline>
              </w:drawing>
            </w:r>
          </w:p>
        </w:tc>
        <w:tc>
          <w:tcPr>
            <w:tcW w:w="4390" w:type="dxa"/>
          </w:tcPr>
          <w:p w:rsidR="004F7FF4" w:rsidRDefault="00414B85" w:rsidP="004F7FF4">
            <w:pPr>
              <w:spacing w:line="240" w:lineRule="auto"/>
              <w:rPr>
                <w:sz w:val="20"/>
                <w:szCs w:val="20"/>
              </w:rPr>
            </w:pPr>
            <w:r>
              <w:rPr>
                <w:noProof/>
                <w:sz w:val="20"/>
                <w:szCs w:val="20"/>
              </w:rPr>
              <w:drawing>
                <wp:inline distT="0" distB="0" distL="0" distR="0" wp14:anchorId="22A216C5" wp14:editId="3F50377E">
                  <wp:extent cx="2698106" cy="2030680"/>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EPwx3q4wk.png"/>
                          <pic:cNvPicPr/>
                        </pic:nvPicPr>
                        <pic:blipFill>
                          <a:blip r:embed="rId16">
                            <a:extLst>
                              <a:ext uri="{28A0092B-C50C-407E-A947-70E740481C1C}">
                                <a14:useLocalDpi xmlns:a14="http://schemas.microsoft.com/office/drawing/2010/main" val="0"/>
                              </a:ext>
                            </a:extLst>
                          </a:blip>
                          <a:stretch>
                            <a:fillRect/>
                          </a:stretch>
                        </pic:blipFill>
                        <pic:spPr>
                          <a:xfrm>
                            <a:off x="0" y="0"/>
                            <a:ext cx="2698875" cy="2031259"/>
                          </a:xfrm>
                          <a:prstGeom prst="rect">
                            <a:avLst/>
                          </a:prstGeom>
                        </pic:spPr>
                      </pic:pic>
                    </a:graphicData>
                  </a:graphic>
                </wp:inline>
              </w:drawing>
            </w:r>
          </w:p>
        </w:tc>
      </w:tr>
      <w:tr w:rsidR="00414B85" w:rsidTr="00E231D5">
        <w:tc>
          <w:tcPr>
            <w:tcW w:w="4396"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Tr="00E231D5">
        <w:tc>
          <w:tcPr>
            <w:tcW w:w="4396" w:type="dxa"/>
          </w:tcPr>
          <w:p w:rsidR="004F7FF4" w:rsidRPr="00446C0C" w:rsidRDefault="004F7FF4" w:rsidP="004F7FF4">
            <w:pPr>
              <w:spacing w:line="240" w:lineRule="auto"/>
              <w:rPr>
                <w:b/>
                <w:sz w:val="20"/>
                <w:szCs w:val="20"/>
              </w:rPr>
            </w:pPr>
            <w:r w:rsidRPr="00446C0C">
              <w:rPr>
                <w:b/>
                <w:sz w:val="20"/>
                <w:szCs w:val="20"/>
              </w:rPr>
              <w:t>Irinotecan</w:t>
            </w: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Tr="00E231D5">
        <w:tc>
          <w:tcPr>
            <w:tcW w:w="4396" w:type="dxa"/>
          </w:tcPr>
          <w:p w:rsidR="004F7FF4" w:rsidRDefault="00ED13E7" w:rsidP="004F7FF4">
            <w:pPr>
              <w:spacing w:line="240" w:lineRule="auto"/>
              <w:rPr>
                <w:sz w:val="20"/>
                <w:szCs w:val="20"/>
              </w:rPr>
            </w:pPr>
            <w:r>
              <w:rPr>
                <w:noProof/>
                <w:sz w:val="20"/>
                <w:szCs w:val="20"/>
              </w:rPr>
              <w:drawing>
                <wp:inline distT="0" distB="0" distL="0" distR="0" wp14:anchorId="22FB89FB" wp14:editId="26E93462">
                  <wp:extent cx="2698106" cy="2030680"/>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Irinoq21d.png"/>
                          <pic:cNvPicPr/>
                        </pic:nvPicPr>
                        <pic:blipFill>
                          <a:blip r:embed="rId17">
                            <a:extLst>
                              <a:ext uri="{28A0092B-C50C-407E-A947-70E740481C1C}">
                                <a14:useLocalDpi xmlns:a14="http://schemas.microsoft.com/office/drawing/2010/main" val="0"/>
                              </a:ext>
                            </a:extLst>
                          </a:blip>
                          <a:stretch>
                            <a:fillRect/>
                          </a:stretch>
                        </pic:blipFill>
                        <pic:spPr>
                          <a:xfrm>
                            <a:off x="0" y="0"/>
                            <a:ext cx="2698876" cy="2031260"/>
                          </a:xfrm>
                          <a:prstGeom prst="rect">
                            <a:avLst/>
                          </a:prstGeom>
                        </pic:spPr>
                      </pic:pic>
                    </a:graphicData>
                  </a:graphic>
                </wp:inline>
              </w:drawing>
            </w:r>
          </w:p>
        </w:tc>
        <w:tc>
          <w:tcPr>
            <w:tcW w:w="4390" w:type="dxa"/>
          </w:tcPr>
          <w:p w:rsidR="004F7FF4" w:rsidRDefault="00ED13E7" w:rsidP="004F7FF4">
            <w:pPr>
              <w:spacing w:line="240" w:lineRule="auto"/>
              <w:rPr>
                <w:sz w:val="20"/>
                <w:szCs w:val="20"/>
              </w:rPr>
            </w:pPr>
            <w:r>
              <w:rPr>
                <w:noProof/>
                <w:sz w:val="20"/>
                <w:szCs w:val="20"/>
              </w:rPr>
              <w:drawing>
                <wp:inline distT="0" distB="0" distL="0" distR="0" wp14:anchorId="5B8B510B" wp14:editId="0AB0EABE">
                  <wp:extent cx="2698107" cy="2030680"/>
                  <wp:effectExtent l="0" t="0" r="762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Irinoq14d.png"/>
                          <pic:cNvPicPr/>
                        </pic:nvPicPr>
                        <pic:blipFill>
                          <a:blip r:embed="rId18">
                            <a:extLst>
                              <a:ext uri="{28A0092B-C50C-407E-A947-70E740481C1C}">
                                <a14:useLocalDpi xmlns:a14="http://schemas.microsoft.com/office/drawing/2010/main" val="0"/>
                              </a:ext>
                            </a:extLst>
                          </a:blip>
                          <a:stretch>
                            <a:fillRect/>
                          </a:stretch>
                        </pic:blipFill>
                        <pic:spPr>
                          <a:xfrm>
                            <a:off x="0" y="0"/>
                            <a:ext cx="2700382" cy="2032392"/>
                          </a:xfrm>
                          <a:prstGeom prst="rect">
                            <a:avLst/>
                          </a:prstGeom>
                        </pic:spPr>
                      </pic:pic>
                    </a:graphicData>
                  </a:graphic>
                </wp:inline>
              </w:drawing>
            </w:r>
          </w:p>
        </w:tc>
        <w:tc>
          <w:tcPr>
            <w:tcW w:w="4390" w:type="dxa"/>
          </w:tcPr>
          <w:p w:rsidR="004F7FF4" w:rsidRDefault="00414B85" w:rsidP="004F7FF4">
            <w:pPr>
              <w:spacing w:line="240" w:lineRule="auto"/>
              <w:rPr>
                <w:sz w:val="20"/>
                <w:szCs w:val="20"/>
              </w:rPr>
            </w:pPr>
            <w:r>
              <w:rPr>
                <w:noProof/>
                <w:sz w:val="20"/>
                <w:szCs w:val="20"/>
              </w:rPr>
              <w:drawing>
                <wp:inline distT="0" distB="0" distL="0" distR="0" wp14:anchorId="402A2309" wp14:editId="2B8EE9F6">
                  <wp:extent cx="2695699" cy="2028867"/>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Irinowx3q4wk.png"/>
                          <pic:cNvPicPr/>
                        </pic:nvPicPr>
                        <pic:blipFill>
                          <a:blip r:embed="rId19">
                            <a:extLst>
                              <a:ext uri="{28A0092B-C50C-407E-A947-70E740481C1C}">
                                <a14:useLocalDpi xmlns:a14="http://schemas.microsoft.com/office/drawing/2010/main" val="0"/>
                              </a:ext>
                            </a:extLst>
                          </a:blip>
                          <a:stretch>
                            <a:fillRect/>
                          </a:stretch>
                        </pic:blipFill>
                        <pic:spPr>
                          <a:xfrm>
                            <a:off x="0" y="0"/>
                            <a:ext cx="2705978" cy="2036604"/>
                          </a:xfrm>
                          <a:prstGeom prst="rect">
                            <a:avLst/>
                          </a:prstGeom>
                        </pic:spPr>
                      </pic:pic>
                    </a:graphicData>
                  </a:graphic>
                </wp:inline>
              </w:drawing>
            </w:r>
          </w:p>
        </w:tc>
      </w:tr>
      <w:tr w:rsidR="00414B85" w:rsidTr="00E231D5">
        <w:tc>
          <w:tcPr>
            <w:tcW w:w="4396"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Tr="00E231D5">
        <w:tc>
          <w:tcPr>
            <w:tcW w:w="4396" w:type="dxa"/>
          </w:tcPr>
          <w:p w:rsidR="004F7FF4" w:rsidRPr="00446C0C" w:rsidRDefault="004F7FF4" w:rsidP="004F7FF4">
            <w:pPr>
              <w:spacing w:line="240" w:lineRule="auto"/>
              <w:rPr>
                <w:b/>
                <w:sz w:val="20"/>
                <w:szCs w:val="20"/>
              </w:rPr>
            </w:pPr>
            <w:r w:rsidRPr="00446C0C">
              <w:rPr>
                <w:b/>
                <w:sz w:val="20"/>
                <w:szCs w:val="20"/>
              </w:rPr>
              <w:t>SN38</w:t>
            </w: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Tr="00E231D5">
        <w:tc>
          <w:tcPr>
            <w:tcW w:w="4396" w:type="dxa"/>
          </w:tcPr>
          <w:p w:rsidR="004F7FF4" w:rsidRDefault="00ED13E7" w:rsidP="004F7FF4">
            <w:pPr>
              <w:spacing w:line="240" w:lineRule="auto"/>
              <w:rPr>
                <w:sz w:val="20"/>
                <w:szCs w:val="20"/>
              </w:rPr>
            </w:pPr>
            <w:r>
              <w:rPr>
                <w:noProof/>
                <w:sz w:val="20"/>
                <w:szCs w:val="20"/>
              </w:rPr>
              <w:lastRenderedPageBreak/>
              <w:drawing>
                <wp:inline distT="0" distB="0" distL="0" distR="0" wp14:anchorId="44D36A78" wp14:editId="7DA85B2D">
                  <wp:extent cx="2719449" cy="2046743"/>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q21d.png"/>
                          <pic:cNvPicPr/>
                        </pic:nvPicPr>
                        <pic:blipFill>
                          <a:blip r:embed="rId20">
                            <a:extLst>
                              <a:ext uri="{28A0092B-C50C-407E-A947-70E740481C1C}">
                                <a14:useLocalDpi xmlns:a14="http://schemas.microsoft.com/office/drawing/2010/main" val="0"/>
                              </a:ext>
                            </a:extLst>
                          </a:blip>
                          <a:stretch>
                            <a:fillRect/>
                          </a:stretch>
                        </pic:blipFill>
                        <pic:spPr>
                          <a:xfrm>
                            <a:off x="0" y="0"/>
                            <a:ext cx="2720225" cy="2047327"/>
                          </a:xfrm>
                          <a:prstGeom prst="rect">
                            <a:avLst/>
                          </a:prstGeom>
                        </pic:spPr>
                      </pic:pic>
                    </a:graphicData>
                  </a:graphic>
                </wp:inline>
              </w:drawing>
            </w:r>
          </w:p>
        </w:tc>
        <w:tc>
          <w:tcPr>
            <w:tcW w:w="4390" w:type="dxa"/>
          </w:tcPr>
          <w:p w:rsidR="004F7FF4" w:rsidRDefault="00ED13E7" w:rsidP="004F7FF4">
            <w:pPr>
              <w:spacing w:line="240" w:lineRule="auto"/>
              <w:rPr>
                <w:sz w:val="20"/>
                <w:szCs w:val="20"/>
              </w:rPr>
            </w:pPr>
            <w:r>
              <w:rPr>
                <w:noProof/>
                <w:sz w:val="20"/>
                <w:szCs w:val="20"/>
              </w:rPr>
              <w:drawing>
                <wp:inline distT="0" distB="0" distL="0" distR="0" wp14:anchorId="3EBEC888" wp14:editId="381FD48F">
                  <wp:extent cx="2731325" cy="2055682"/>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q14d.png"/>
                          <pic:cNvPicPr/>
                        </pic:nvPicPr>
                        <pic:blipFill>
                          <a:blip r:embed="rId21">
                            <a:extLst>
                              <a:ext uri="{28A0092B-C50C-407E-A947-70E740481C1C}">
                                <a14:useLocalDpi xmlns:a14="http://schemas.microsoft.com/office/drawing/2010/main" val="0"/>
                              </a:ext>
                            </a:extLst>
                          </a:blip>
                          <a:stretch>
                            <a:fillRect/>
                          </a:stretch>
                        </pic:blipFill>
                        <pic:spPr>
                          <a:xfrm>
                            <a:off x="0" y="0"/>
                            <a:ext cx="2733767" cy="2057520"/>
                          </a:xfrm>
                          <a:prstGeom prst="rect">
                            <a:avLst/>
                          </a:prstGeom>
                        </pic:spPr>
                      </pic:pic>
                    </a:graphicData>
                  </a:graphic>
                </wp:inline>
              </w:drawing>
            </w:r>
          </w:p>
        </w:tc>
        <w:tc>
          <w:tcPr>
            <w:tcW w:w="4390" w:type="dxa"/>
          </w:tcPr>
          <w:p w:rsidR="004F7FF4" w:rsidRDefault="00414B85" w:rsidP="004F7FF4">
            <w:pPr>
              <w:spacing w:line="240" w:lineRule="auto"/>
              <w:rPr>
                <w:sz w:val="20"/>
                <w:szCs w:val="20"/>
              </w:rPr>
            </w:pPr>
            <w:r>
              <w:rPr>
                <w:noProof/>
                <w:sz w:val="20"/>
                <w:szCs w:val="20"/>
              </w:rPr>
              <w:drawing>
                <wp:inline distT="0" distB="0" distL="0" distR="0" wp14:anchorId="382A52E8" wp14:editId="4ABB69C5">
                  <wp:extent cx="2682326" cy="2018805"/>
                  <wp:effectExtent l="0" t="0" r="381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wx3q4wk.png"/>
                          <pic:cNvPicPr/>
                        </pic:nvPicPr>
                        <pic:blipFill>
                          <a:blip r:embed="rId22">
                            <a:extLst>
                              <a:ext uri="{28A0092B-C50C-407E-A947-70E740481C1C}">
                                <a14:useLocalDpi xmlns:a14="http://schemas.microsoft.com/office/drawing/2010/main" val="0"/>
                              </a:ext>
                            </a:extLst>
                          </a:blip>
                          <a:stretch>
                            <a:fillRect/>
                          </a:stretch>
                        </pic:blipFill>
                        <pic:spPr>
                          <a:xfrm>
                            <a:off x="0" y="0"/>
                            <a:ext cx="2686062" cy="2021617"/>
                          </a:xfrm>
                          <a:prstGeom prst="rect">
                            <a:avLst/>
                          </a:prstGeom>
                        </pic:spPr>
                      </pic:pic>
                    </a:graphicData>
                  </a:graphic>
                </wp:inline>
              </w:drawing>
            </w:r>
          </w:p>
        </w:tc>
      </w:tr>
      <w:tr w:rsidR="00414B85" w:rsidTr="00E231D5">
        <w:tc>
          <w:tcPr>
            <w:tcW w:w="4396"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Tr="00E231D5">
        <w:tc>
          <w:tcPr>
            <w:tcW w:w="4396" w:type="dxa"/>
          </w:tcPr>
          <w:p w:rsidR="004F7FF4" w:rsidRPr="00446C0C" w:rsidRDefault="004F7FF4" w:rsidP="004F7FF4">
            <w:pPr>
              <w:spacing w:line="240" w:lineRule="auto"/>
              <w:rPr>
                <w:b/>
                <w:sz w:val="20"/>
                <w:szCs w:val="20"/>
              </w:rPr>
            </w:pPr>
            <w:r w:rsidRPr="00446C0C">
              <w:rPr>
                <w:b/>
                <w:sz w:val="20"/>
                <w:szCs w:val="20"/>
              </w:rPr>
              <w:t>SN38G</w:t>
            </w: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Tr="00E231D5">
        <w:tc>
          <w:tcPr>
            <w:tcW w:w="4396" w:type="dxa"/>
          </w:tcPr>
          <w:p w:rsidR="004F7FF4" w:rsidRDefault="00E231D5" w:rsidP="004F7FF4">
            <w:pPr>
              <w:spacing w:line="240" w:lineRule="auto"/>
              <w:rPr>
                <w:sz w:val="20"/>
                <w:szCs w:val="20"/>
              </w:rPr>
            </w:pPr>
            <w:r>
              <w:rPr>
                <w:noProof/>
                <w:sz w:val="20"/>
                <w:szCs w:val="20"/>
              </w:rPr>
              <w:drawing>
                <wp:inline distT="0" distB="0" distL="0" distR="0" wp14:anchorId="294B958E" wp14:editId="53B52BCC">
                  <wp:extent cx="2714625" cy="203477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Gq21d.png"/>
                          <pic:cNvPicPr/>
                        </pic:nvPicPr>
                        <pic:blipFill>
                          <a:blip r:embed="rId23">
                            <a:extLst>
                              <a:ext uri="{28A0092B-C50C-407E-A947-70E740481C1C}">
                                <a14:useLocalDpi xmlns:a14="http://schemas.microsoft.com/office/drawing/2010/main" val="0"/>
                              </a:ext>
                            </a:extLst>
                          </a:blip>
                          <a:stretch>
                            <a:fillRect/>
                          </a:stretch>
                        </pic:blipFill>
                        <pic:spPr>
                          <a:xfrm>
                            <a:off x="0" y="0"/>
                            <a:ext cx="2714285" cy="2034516"/>
                          </a:xfrm>
                          <a:prstGeom prst="rect">
                            <a:avLst/>
                          </a:prstGeom>
                        </pic:spPr>
                      </pic:pic>
                    </a:graphicData>
                  </a:graphic>
                </wp:inline>
              </w:drawing>
            </w:r>
          </w:p>
        </w:tc>
        <w:tc>
          <w:tcPr>
            <w:tcW w:w="4390" w:type="dxa"/>
          </w:tcPr>
          <w:p w:rsidR="004F7FF4" w:rsidRDefault="00E231D5" w:rsidP="004F7FF4">
            <w:pPr>
              <w:spacing w:line="240" w:lineRule="auto"/>
              <w:rPr>
                <w:sz w:val="20"/>
                <w:szCs w:val="20"/>
              </w:rPr>
            </w:pPr>
            <w:r>
              <w:rPr>
                <w:noProof/>
                <w:sz w:val="20"/>
                <w:szCs w:val="20"/>
              </w:rPr>
              <w:drawing>
                <wp:inline distT="0" distB="0" distL="0" distR="0" wp14:anchorId="685E0853" wp14:editId="7A724279">
                  <wp:extent cx="2719398" cy="20383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Gq14d.png"/>
                          <pic:cNvPicPr/>
                        </pic:nvPicPr>
                        <pic:blipFill>
                          <a:blip r:embed="rId24">
                            <a:extLst>
                              <a:ext uri="{28A0092B-C50C-407E-A947-70E740481C1C}">
                                <a14:useLocalDpi xmlns:a14="http://schemas.microsoft.com/office/drawing/2010/main" val="0"/>
                              </a:ext>
                            </a:extLst>
                          </a:blip>
                          <a:stretch>
                            <a:fillRect/>
                          </a:stretch>
                        </pic:blipFill>
                        <pic:spPr>
                          <a:xfrm>
                            <a:off x="0" y="0"/>
                            <a:ext cx="2719058" cy="2038095"/>
                          </a:xfrm>
                          <a:prstGeom prst="rect">
                            <a:avLst/>
                          </a:prstGeom>
                        </pic:spPr>
                      </pic:pic>
                    </a:graphicData>
                  </a:graphic>
                </wp:inline>
              </w:drawing>
            </w:r>
          </w:p>
        </w:tc>
        <w:tc>
          <w:tcPr>
            <w:tcW w:w="4390" w:type="dxa"/>
          </w:tcPr>
          <w:p w:rsidR="004F7FF4" w:rsidRDefault="00E231D5" w:rsidP="004F7FF4">
            <w:pPr>
              <w:spacing w:line="240" w:lineRule="auto"/>
              <w:rPr>
                <w:sz w:val="20"/>
                <w:szCs w:val="20"/>
              </w:rPr>
            </w:pPr>
            <w:r>
              <w:rPr>
                <w:noProof/>
                <w:sz w:val="20"/>
                <w:szCs w:val="20"/>
              </w:rPr>
              <w:drawing>
                <wp:inline distT="0" distB="0" distL="0" distR="0" wp14:anchorId="0C6D127F" wp14:editId="4F6B5340">
                  <wp:extent cx="2719399" cy="203835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Gwx3q4wk.png"/>
                          <pic:cNvPicPr/>
                        </pic:nvPicPr>
                        <pic:blipFill>
                          <a:blip r:embed="rId25">
                            <a:extLst>
                              <a:ext uri="{28A0092B-C50C-407E-A947-70E740481C1C}">
                                <a14:useLocalDpi xmlns:a14="http://schemas.microsoft.com/office/drawing/2010/main" val="0"/>
                              </a:ext>
                            </a:extLst>
                          </a:blip>
                          <a:stretch>
                            <a:fillRect/>
                          </a:stretch>
                        </pic:blipFill>
                        <pic:spPr>
                          <a:xfrm>
                            <a:off x="0" y="0"/>
                            <a:ext cx="2719059" cy="2038096"/>
                          </a:xfrm>
                          <a:prstGeom prst="rect">
                            <a:avLst/>
                          </a:prstGeom>
                        </pic:spPr>
                      </pic:pic>
                    </a:graphicData>
                  </a:graphic>
                </wp:inline>
              </w:drawing>
            </w:r>
          </w:p>
        </w:tc>
      </w:tr>
      <w:tr w:rsidR="00414B85" w:rsidTr="00E231D5">
        <w:trPr>
          <w:trHeight w:val="612"/>
        </w:trPr>
        <w:tc>
          <w:tcPr>
            <w:tcW w:w="4396" w:type="dxa"/>
          </w:tcPr>
          <w:p w:rsidR="00ED13E7" w:rsidRDefault="00ED13E7" w:rsidP="004F7FF4">
            <w:pPr>
              <w:spacing w:line="240" w:lineRule="auto"/>
              <w:rPr>
                <w:sz w:val="20"/>
                <w:szCs w:val="20"/>
              </w:rPr>
            </w:pPr>
          </w:p>
          <w:p w:rsidR="004F7FF4" w:rsidRDefault="004F7FF4" w:rsidP="004F7FF4">
            <w:pPr>
              <w:spacing w:line="240" w:lineRule="auto"/>
              <w:rPr>
                <w:sz w:val="20"/>
                <w:szCs w:val="20"/>
              </w:rPr>
            </w:pPr>
          </w:p>
          <w:p w:rsidR="00E231D5" w:rsidRDefault="00E231D5" w:rsidP="004F7FF4">
            <w:pPr>
              <w:spacing w:line="240" w:lineRule="auto"/>
              <w:rPr>
                <w:sz w:val="20"/>
                <w:szCs w:val="20"/>
              </w:rPr>
            </w:pP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r w:rsidR="00414B85" w:rsidRPr="00446C0C" w:rsidTr="00E231D5">
        <w:trPr>
          <w:trHeight w:val="278"/>
        </w:trPr>
        <w:tc>
          <w:tcPr>
            <w:tcW w:w="4396" w:type="dxa"/>
          </w:tcPr>
          <w:p w:rsidR="00E231D5" w:rsidRPr="00446C0C" w:rsidRDefault="004F7FF4" w:rsidP="004F7FF4">
            <w:pPr>
              <w:spacing w:line="240" w:lineRule="auto"/>
              <w:rPr>
                <w:b/>
                <w:sz w:val="20"/>
                <w:szCs w:val="20"/>
              </w:rPr>
            </w:pPr>
            <w:r w:rsidRPr="00446C0C">
              <w:rPr>
                <w:b/>
                <w:sz w:val="20"/>
                <w:szCs w:val="20"/>
              </w:rPr>
              <w:t>APC</w:t>
            </w:r>
          </w:p>
        </w:tc>
        <w:tc>
          <w:tcPr>
            <w:tcW w:w="4390" w:type="dxa"/>
          </w:tcPr>
          <w:p w:rsidR="004F7FF4" w:rsidRPr="00446C0C" w:rsidRDefault="004F7FF4" w:rsidP="004F7FF4">
            <w:pPr>
              <w:spacing w:line="240" w:lineRule="auto"/>
              <w:rPr>
                <w:b/>
                <w:sz w:val="20"/>
                <w:szCs w:val="20"/>
              </w:rPr>
            </w:pPr>
          </w:p>
        </w:tc>
        <w:tc>
          <w:tcPr>
            <w:tcW w:w="4390" w:type="dxa"/>
          </w:tcPr>
          <w:p w:rsidR="004F7FF4" w:rsidRPr="00446C0C" w:rsidRDefault="004F7FF4" w:rsidP="004F7FF4">
            <w:pPr>
              <w:spacing w:line="240" w:lineRule="auto"/>
              <w:rPr>
                <w:b/>
                <w:sz w:val="20"/>
                <w:szCs w:val="20"/>
              </w:rPr>
            </w:pPr>
          </w:p>
        </w:tc>
      </w:tr>
      <w:tr w:rsidR="00414B85" w:rsidTr="00E231D5">
        <w:tc>
          <w:tcPr>
            <w:tcW w:w="4396" w:type="dxa"/>
          </w:tcPr>
          <w:p w:rsidR="004F7FF4" w:rsidRDefault="00E231D5" w:rsidP="004F7FF4">
            <w:pPr>
              <w:spacing w:line="240" w:lineRule="auto"/>
              <w:rPr>
                <w:sz w:val="20"/>
                <w:szCs w:val="20"/>
              </w:rPr>
            </w:pPr>
            <w:r>
              <w:rPr>
                <w:noProof/>
                <w:sz w:val="20"/>
                <w:szCs w:val="20"/>
              </w:rPr>
              <w:lastRenderedPageBreak/>
              <w:drawing>
                <wp:inline distT="0" distB="0" distL="0" distR="0" wp14:anchorId="7DB4EAE3" wp14:editId="20A3F61C">
                  <wp:extent cx="2719398" cy="203835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APCq21d.png"/>
                          <pic:cNvPicPr/>
                        </pic:nvPicPr>
                        <pic:blipFill>
                          <a:blip r:embed="rId26">
                            <a:extLst>
                              <a:ext uri="{28A0092B-C50C-407E-A947-70E740481C1C}">
                                <a14:useLocalDpi xmlns:a14="http://schemas.microsoft.com/office/drawing/2010/main" val="0"/>
                              </a:ext>
                            </a:extLst>
                          </a:blip>
                          <a:stretch>
                            <a:fillRect/>
                          </a:stretch>
                        </pic:blipFill>
                        <pic:spPr>
                          <a:xfrm>
                            <a:off x="0" y="0"/>
                            <a:ext cx="2728372" cy="2045077"/>
                          </a:xfrm>
                          <a:prstGeom prst="rect">
                            <a:avLst/>
                          </a:prstGeom>
                        </pic:spPr>
                      </pic:pic>
                    </a:graphicData>
                  </a:graphic>
                </wp:inline>
              </w:drawing>
            </w:r>
          </w:p>
        </w:tc>
        <w:tc>
          <w:tcPr>
            <w:tcW w:w="4390" w:type="dxa"/>
          </w:tcPr>
          <w:p w:rsidR="004F7FF4" w:rsidRDefault="00E231D5" w:rsidP="004F7FF4">
            <w:pPr>
              <w:spacing w:line="240" w:lineRule="auto"/>
              <w:rPr>
                <w:sz w:val="20"/>
                <w:szCs w:val="20"/>
              </w:rPr>
            </w:pPr>
            <w:r>
              <w:rPr>
                <w:noProof/>
                <w:sz w:val="20"/>
                <w:szCs w:val="20"/>
              </w:rPr>
              <w:drawing>
                <wp:inline distT="0" distB="0" distL="0" distR="0" wp14:anchorId="4D255C60" wp14:editId="2D559E4D">
                  <wp:extent cx="2719399" cy="203835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APCq14d.png"/>
                          <pic:cNvPicPr/>
                        </pic:nvPicPr>
                        <pic:blipFill>
                          <a:blip r:embed="rId27">
                            <a:extLst>
                              <a:ext uri="{28A0092B-C50C-407E-A947-70E740481C1C}">
                                <a14:useLocalDpi xmlns:a14="http://schemas.microsoft.com/office/drawing/2010/main" val="0"/>
                              </a:ext>
                            </a:extLst>
                          </a:blip>
                          <a:stretch>
                            <a:fillRect/>
                          </a:stretch>
                        </pic:blipFill>
                        <pic:spPr>
                          <a:xfrm>
                            <a:off x="0" y="0"/>
                            <a:ext cx="2720621" cy="2039266"/>
                          </a:xfrm>
                          <a:prstGeom prst="rect">
                            <a:avLst/>
                          </a:prstGeom>
                        </pic:spPr>
                      </pic:pic>
                    </a:graphicData>
                  </a:graphic>
                </wp:inline>
              </w:drawing>
            </w:r>
          </w:p>
        </w:tc>
        <w:tc>
          <w:tcPr>
            <w:tcW w:w="4390" w:type="dxa"/>
          </w:tcPr>
          <w:p w:rsidR="004F7FF4" w:rsidRDefault="00E231D5" w:rsidP="004F7FF4">
            <w:pPr>
              <w:spacing w:line="240" w:lineRule="auto"/>
              <w:rPr>
                <w:sz w:val="20"/>
                <w:szCs w:val="20"/>
              </w:rPr>
            </w:pPr>
            <w:r>
              <w:rPr>
                <w:noProof/>
                <w:sz w:val="20"/>
                <w:szCs w:val="20"/>
              </w:rPr>
              <w:drawing>
                <wp:inline distT="0" distB="0" distL="0" distR="0" wp14:anchorId="48A6B821" wp14:editId="3EF2A0C1">
                  <wp:extent cx="2733675" cy="2049051"/>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APCwx3q4wk.png"/>
                          <pic:cNvPicPr/>
                        </pic:nvPicPr>
                        <pic:blipFill>
                          <a:blip r:embed="rId28">
                            <a:extLst>
                              <a:ext uri="{28A0092B-C50C-407E-A947-70E740481C1C}">
                                <a14:useLocalDpi xmlns:a14="http://schemas.microsoft.com/office/drawing/2010/main" val="0"/>
                              </a:ext>
                            </a:extLst>
                          </a:blip>
                          <a:stretch>
                            <a:fillRect/>
                          </a:stretch>
                        </pic:blipFill>
                        <pic:spPr>
                          <a:xfrm>
                            <a:off x="0" y="0"/>
                            <a:ext cx="2738924" cy="2052985"/>
                          </a:xfrm>
                          <a:prstGeom prst="rect">
                            <a:avLst/>
                          </a:prstGeom>
                        </pic:spPr>
                      </pic:pic>
                    </a:graphicData>
                  </a:graphic>
                </wp:inline>
              </w:drawing>
            </w:r>
          </w:p>
        </w:tc>
      </w:tr>
      <w:tr w:rsidR="00414B85" w:rsidTr="00E231D5">
        <w:tc>
          <w:tcPr>
            <w:tcW w:w="4396"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c>
          <w:tcPr>
            <w:tcW w:w="4390" w:type="dxa"/>
          </w:tcPr>
          <w:p w:rsidR="004F7FF4" w:rsidRDefault="004F7FF4" w:rsidP="004F7FF4">
            <w:pPr>
              <w:spacing w:line="240" w:lineRule="auto"/>
              <w:rPr>
                <w:sz w:val="20"/>
                <w:szCs w:val="20"/>
              </w:rPr>
            </w:pPr>
          </w:p>
        </w:tc>
      </w:tr>
    </w:tbl>
    <w:p w:rsidR="004F7FF4" w:rsidRDefault="004F7FF4" w:rsidP="004F7FF4">
      <w:pPr>
        <w:rPr>
          <w:sz w:val="20"/>
          <w:szCs w:val="20"/>
        </w:rPr>
      </w:pPr>
      <w:r>
        <w:rPr>
          <w:sz w:val="20"/>
          <w:szCs w:val="20"/>
        </w:rPr>
        <w:t xml:space="preserve">Circles represent measured data.  Solid line indicates the theoretical percentile.  Blue shading indicates 90% and 10% prediction interval.  Orange shading represents the 50% prediction interval.  </w:t>
      </w:r>
    </w:p>
    <w:p w:rsidR="004F7FF4" w:rsidRDefault="004F7FF4" w:rsidP="004F7FF4">
      <w:pPr>
        <w:rPr>
          <w:sz w:val="20"/>
          <w:szCs w:val="20"/>
        </w:rPr>
      </w:pPr>
    </w:p>
    <w:p w:rsidR="00414B85" w:rsidRDefault="00414B85">
      <w:pPr>
        <w:spacing w:after="200" w:line="276" w:lineRule="auto"/>
      </w:pPr>
      <w:r>
        <w:br w:type="page"/>
      </w:r>
    </w:p>
    <w:p w:rsidR="00F93706" w:rsidRDefault="00C76B7F" w:rsidP="00C76B7F">
      <w:pPr>
        <w:rPr>
          <w:b/>
          <w:szCs w:val="24"/>
        </w:rPr>
      </w:pPr>
      <w:r w:rsidRPr="00C76B7F">
        <w:rPr>
          <w:b/>
          <w:szCs w:val="24"/>
        </w:rPr>
        <w:lastRenderedPageBreak/>
        <w:t>Figure S</w:t>
      </w:r>
      <w:r w:rsidR="00F46C11">
        <w:rPr>
          <w:b/>
          <w:szCs w:val="24"/>
        </w:rPr>
        <w:t>7</w:t>
      </w:r>
      <w:r w:rsidRPr="00C76B7F">
        <w:rPr>
          <w:b/>
          <w:szCs w:val="24"/>
        </w:rPr>
        <w:t xml:space="preserve">: Comparison of 95% </w:t>
      </w:r>
      <w:r>
        <w:rPr>
          <w:b/>
          <w:szCs w:val="24"/>
        </w:rPr>
        <w:t>p</w:t>
      </w:r>
      <w:r w:rsidRPr="00C76B7F">
        <w:rPr>
          <w:b/>
          <w:szCs w:val="24"/>
        </w:rPr>
        <w:t xml:space="preserve">rediction </w:t>
      </w:r>
      <w:r>
        <w:rPr>
          <w:b/>
          <w:szCs w:val="24"/>
        </w:rPr>
        <w:t>i</w:t>
      </w:r>
      <w:r w:rsidRPr="00C76B7F">
        <w:rPr>
          <w:b/>
          <w:szCs w:val="24"/>
        </w:rPr>
        <w:t xml:space="preserve">nterval of </w:t>
      </w:r>
      <w:r>
        <w:rPr>
          <w:b/>
          <w:szCs w:val="24"/>
        </w:rPr>
        <w:t>o</w:t>
      </w:r>
      <w:r w:rsidRPr="00C76B7F">
        <w:rPr>
          <w:b/>
          <w:szCs w:val="24"/>
        </w:rPr>
        <w:t>bserved (</w:t>
      </w:r>
      <w:r>
        <w:rPr>
          <w:b/>
          <w:szCs w:val="24"/>
        </w:rPr>
        <w:t>e</w:t>
      </w:r>
      <w:r w:rsidRPr="00C76B7F">
        <w:rPr>
          <w:b/>
          <w:szCs w:val="24"/>
        </w:rPr>
        <w:t xml:space="preserve">mpirical) and </w:t>
      </w:r>
      <w:r>
        <w:rPr>
          <w:b/>
          <w:szCs w:val="24"/>
        </w:rPr>
        <w:t>m</w:t>
      </w:r>
      <w:r w:rsidRPr="00C76B7F">
        <w:rPr>
          <w:b/>
          <w:szCs w:val="24"/>
        </w:rPr>
        <w:t xml:space="preserve">odel </w:t>
      </w:r>
      <w:r>
        <w:rPr>
          <w:b/>
          <w:szCs w:val="24"/>
        </w:rPr>
        <w:t>p</w:t>
      </w:r>
      <w:r w:rsidRPr="00C76B7F">
        <w:rPr>
          <w:b/>
          <w:szCs w:val="24"/>
        </w:rPr>
        <w:t>redicted (</w:t>
      </w:r>
      <w:r>
        <w:rPr>
          <w:b/>
          <w:szCs w:val="24"/>
        </w:rPr>
        <w:t>t</w:t>
      </w:r>
      <w:r w:rsidRPr="00C76B7F">
        <w:rPr>
          <w:b/>
          <w:szCs w:val="24"/>
        </w:rPr>
        <w:t xml:space="preserve">heoretical) </w:t>
      </w:r>
      <w:r>
        <w:rPr>
          <w:b/>
          <w:szCs w:val="24"/>
        </w:rPr>
        <w:t>d</w:t>
      </w:r>
      <w:r w:rsidRPr="00C76B7F">
        <w:rPr>
          <w:b/>
          <w:szCs w:val="24"/>
        </w:rPr>
        <w:t xml:space="preserve">ata for </w:t>
      </w:r>
      <w:r>
        <w:rPr>
          <w:b/>
          <w:szCs w:val="24"/>
        </w:rPr>
        <w:t>p</w:t>
      </w:r>
      <w:r w:rsidRPr="00C76B7F">
        <w:rPr>
          <w:b/>
          <w:szCs w:val="24"/>
        </w:rPr>
        <w:t xml:space="preserve">atients </w:t>
      </w:r>
      <w:r>
        <w:rPr>
          <w:b/>
          <w:szCs w:val="24"/>
        </w:rPr>
        <w:t>r</w:t>
      </w:r>
      <w:r w:rsidRPr="00C76B7F">
        <w:rPr>
          <w:b/>
          <w:szCs w:val="24"/>
        </w:rPr>
        <w:t xml:space="preserve">eceiving </w:t>
      </w:r>
      <w:r>
        <w:rPr>
          <w:b/>
          <w:szCs w:val="24"/>
        </w:rPr>
        <w:t>etirinotecan pegol</w:t>
      </w:r>
      <w:r w:rsidRPr="00C76B7F">
        <w:rPr>
          <w:b/>
          <w:szCs w:val="24"/>
        </w:rPr>
        <w:t xml:space="preserve"> q21d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8"/>
        <w:gridCol w:w="4482"/>
      </w:tblGrid>
      <w:tr w:rsidR="00C76B7F" w:rsidRPr="00446C0C" w:rsidTr="00E231D5">
        <w:tc>
          <w:tcPr>
            <w:tcW w:w="4346" w:type="dxa"/>
          </w:tcPr>
          <w:p w:rsidR="00C76B7F" w:rsidRPr="00446C0C" w:rsidRDefault="00C76B7F" w:rsidP="00C76B7F">
            <w:pPr>
              <w:spacing w:after="0" w:line="276" w:lineRule="auto"/>
              <w:rPr>
                <w:b/>
                <w:sz w:val="20"/>
                <w:szCs w:val="20"/>
              </w:rPr>
            </w:pPr>
            <w:r>
              <w:rPr>
                <w:b/>
                <w:sz w:val="20"/>
                <w:szCs w:val="20"/>
              </w:rPr>
              <w:t>Etirinotecan Pegol</w:t>
            </w:r>
          </w:p>
        </w:tc>
        <w:tc>
          <w:tcPr>
            <w:tcW w:w="4348" w:type="dxa"/>
          </w:tcPr>
          <w:p w:rsidR="00C76B7F" w:rsidRPr="00446C0C" w:rsidRDefault="00C76B7F" w:rsidP="00C76B7F">
            <w:pPr>
              <w:spacing w:after="0" w:line="276" w:lineRule="auto"/>
              <w:rPr>
                <w:b/>
                <w:sz w:val="20"/>
                <w:szCs w:val="20"/>
              </w:rPr>
            </w:pPr>
            <w:r>
              <w:rPr>
                <w:b/>
                <w:sz w:val="20"/>
                <w:szCs w:val="20"/>
              </w:rPr>
              <w:t>Irinotecan</w:t>
            </w:r>
          </w:p>
        </w:tc>
        <w:tc>
          <w:tcPr>
            <w:tcW w:w="4482" w:type="dxa"/>
          </w:tcPr>
          <w:p w:rsidR="00C76B7F" w:rsidRPr="00446C0C" w:rsidRDefault="00C76B7F" w:rsidP="00C76B7F">
            <w:pPr>
              <w:spacing w:after="0" w:line="276" w:lineRule="auto"/>
              <w:rPr>
                <w:b/>
                <w:sz w:val="20"/>
                <w:szCs w:val="20"/>
              </w:rPr>
            </w:pPr>
            <w:r w:rsidRPr="00446C0C">
              <w:rPr>
                <w:b/>
                <w:sz w:val="20"/>
                <w:szCs w:val="20"/>
              </w:rPr>
              <w:t>SN38</w:t>
            </w:r>
          </w:p>
        </w:tc>
      </w:tr>
      <w:tr w:rsidR="00C76B7F" w:rsidTr="00E231D5">
        <w:tc>
          <w:tcPr>
            <w:tcW w:w="4346" w:type="dxa"/>
          </w:tcPr>
          <w:p w:rsidR="00C76B7F" w:rsidRDefault="00C76B7F" w:rsidP="00C76B7F">
            <w:pPr>
              <w:spacing w:after="0" w:line="276" w:lineRule="auto"/>
              <w:rPr>
                <w:sz w:val="20"/>
                <w:szCs w:val="20"/>
              </w:rPr>
            </w:pPr>
            <w:r>
              <w:rPr>
                <w:noProof/>
                <w:sz w:val="20"/>
                <w:szCs w:val="20"/>
              </w:rPr>
              <w:drawing>
                <wp:inline distT="0" distB="0" distL="0" distR="0" wp14:anchorId="392B9926" wp14:editId="589F2942">
                  <wp:extent cx="2729664" cy="205443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EPq21demptheo.png"/>
                          <pic:cNvPicPr/>
                        </pic:nvPicPr>
                        <pic:blipFill>
                          <a:blip r:embed="rId29">
                            <a:extLst>
                              <a:ext uri="{28A0092B-C50C-407E-A947-70E740481C1C}">
                                <a14:useLocalDpi xmlns:a14="http://schemas.microsoft.com/office/drawing/2010/main" val="0"/>
                              </a:ext>
                            </a:extLst>
                          </a:blip>
                          <a:stretch>
                            <a:fillRect/>
                          </a:stretch>
                        </pic:blipFill>
                        <pic:spPr>
                          <a:xfrm>
                            <a:off x="0" y="0"/>
                            <a:ext cx="2736040" cy="2059230"/>
                          </a:xfrm>
                          <a:prstGeom prst="rect">
                            <a:avLst/>
                          </a:prstGeom>
                        </pic:spPr>
                      </pic:pic>
                    </a:graphicData>
                  </a:graphic>
                </wp:inline>
              </w:drawing>
            </w:r>
          </w:p>
        </w:tc>
        <w:tc>
          <w:tcPr>
            <w:tcW w:w="4348" w:type="dxa"/>
          </w:tcPr>
          <w:p w:rsidR="00C76B7F" w:rsidRDefault="00C76B7F" w:rsidP="00C76B7F">
            <w:pPr>
              <w:spacing w:after="0" w:line="276" w:lineRule="auto"/>
              <w:rPr>
                <w:sz w:val="20"/>
                <w:szCs w:val="20"/>
              </w:rPr>
            </w:pPr>
            <w:r>
              <w:rPr>
                <w:noProof/>
                <w:sz w:val="20"/>
                <w:szCs w:val="20"/>
              </w:rPr>
              <w:drawing>
                <wp:inline distT="0" distB="0" distL="0" distR="0" wp14:anchorId="6CFEBCBD" wp14:editId="039B90DB">
                  <wp:extent cx="2731324" cy="205568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Irinoq21demptheo.png"/>
                          <pic:cNvPicPr/>
                        </pic:nvPicPr>
                        <pic:blipFill>
                          <a:blip r:embed="rId30">
                            <a:extLst>
                              <a:ext uri="{28A0092B-C50C-407E-A947-70E740481C1C}">
                                <a14:useLocalDpi xmlns:a14="http://schemas.microsoft.com/office/drawing/2010/main" val="0"/>
                              </a:ext>
                            </a:extLst>
                          </a:blip>
                          <a:stretch>
                            <a:fillRect/>
                          </a:stretch>
                        </pic:blipFill>
                        <pic:spPr>
                          <a:xfrm>
                            <a:off x="0" y="0"/>
                            <a:ext cx="2739460" cy="2061803"/>
                          </a:xfrm>
                          <a:prstGeom prst="rect">
                            <a:avLst/>
                          </a:prstGeom>
                        </pic:spPr>
                      </pic:pic>
                    </a:graphicData>
                  </a:graphic>
                </wp:inline>
              </w:drawing>
            </w:r>
          </w:p>
        </w:tc>
        <w:tc>
          <w:tcPr>
            <w:tcW w:w="4482" w:type="dxa"/>
          </w:tcPr>
          <w:p w:rsidR="00C76B7F" w:rsidRDefault="00C76B7F" w:rsidP="00C76B7F">
            <w:pPr>
              <w:spacing w:after="0" w:line="276" w:lineRule="auto"/>
              <w:rPr>
                <w:sz w:val="20"/>
                <w:szCs w:val="20"/>
              </w:rPr>
            </w:pPr>
            <w:r>
              <w:rPr>
                <w:noProof/>
                <w:sz w:val="20"/>
                <w:szCs w:val="20"/>
              </w:rPr>
              <w:drawing>
                <wp:inline distT="0" distB="0" distL="0" distR="0" wp14:anchorId="0210CE25" wp14:editId="59C117D7">
                  <wp:extent cx="2814452" cy="2118246"/>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q21demptheo.png"/>
                          <pic:cNvPicPr/>
                        </pic:nvPicPr>
                        <pic:blipFill>
                          <a:blip r:embed="rId31">
                            <a:extLst>
                              <a:ext uri="{28A0092B-C50C-407E-A947-70E740481C1C}">
                                <a14:useLocalDpi xmlns:a14="http://schemas.microsoft.com/office/drawing/2010/main" val="0"/>
                              </a:ext>
                            </a:extLst>
                          </a:blip>
                          <a:stretch>
                            <a:fillRect/>
                          </a:stretch>
                        </pic:blipFill>
                        <pic:spPr>
                          <a:xfrm>
                            <a:off x="0" y="0"/>
                            <a:ext cx="2815255" cy="2118850"/>
                          </a:xfrm>
                          <a:prstGeom prst="rect">
                            <a:avLst/>
                          </a:prstGeom>
                        </pic:spPr>
                      </pic:pic>
                    </a:graphicData>
                  </a:graphic>
                </wp:inline>
              </w:drawing>
            </w:r>
          </w:p>
        </w:tc>
      </w:tr>
      <w:tr w:rsidR="00C76B7F" w:rsidTr="00E231D5">
        <w:tc>
          <w:tcPr>
            <w:tcW w:w="4346" w:type="dxa"/>
          </w:tcPr>
          <w:p w:rsidR="00C76B7F" w:rsidRPr="00446C0C" w:rsidRDefault="00C76B7F" w:rsidP="00C76B7F">
            <w:pPr>
              <w:spacing w:after="0" w:line="276" w:lineRule="auto"/>
              <w:rPr>
                <w:b/>
                <w:sz w:val="20"/>
                <w:szCs w:val="20"/>
              </w:rPr>
            </w:pPr>
            <w:r w:rsidRPr="00446C0C">
              <w:rPr>
                <w:b/>
                <w:sz w:val="20"/>
                <w:szCs w:val="20"/>
              </w:rPr>
              <w:t>SN38G</w:t>
            </w:r>
          </w:p>
        </w:tc>
        <w:tc>
          <w:tcPr>
            <w:tcW w:w="4348" w:type="dxa"/>
          </w:tcPr>
          <w:p w:rsidR="00C76B7F" w:rsidRPr="00206186" w:rsidRDefault="00C76B7F" w:rsidP="00C76B7F">
            <w:pPr>
              <w:spacing w:after="0" w:line="276" w:lineRule="auto"/>
              <w:rPr>
                <w:b/>
                <w:sz w:val="20"/>
                <w:szCs w:val="20"/>
              </w:rPr>
            </w:pPr>
            <w:r w:rsidRPr="00206186">
              <w:rPr>
                <w:b/>
                <w:sz w:val="20"/>
                <w:szCs w:val="20"/>
              </w:rPr>
              <w:t>APC</w:t>
            </w:r>
          </w:p>
        </w:tc>
        <w:tc>
          <w:tcPr>
            <w:tcW w:w="4482" w:type="dxa"/>
          </w:tcPr>
          <w:p w:rsidR="00C76B7F" w:rsidRDefault="00C76B7F" w:rsidP="00C76B7F">
            <w:pPr>
              <w:spacing w:after="0" w:line="276" w:lineRule="auto"/>
              <w:rPr>
                <w:sz w:val="20"/>
                <w:szCs w:val="20"/>
              </w:rPr>
            </w:pPr>
          </w:p>
        </w:tc>
      </w:tr>
      <w:tr w:rsidR="00C76B7F" w:rsidTr="00E231D5">
        <w:tc>
          <w:tcPr>
            <w:tcW w:w="4346" w:type="dxa"/>
          </w:tcPr>
          <w:p w:rsidR="00C76B7F" w:rsidRDefault="00E231D5" w:rsidP="00C76B7F">
            <w:pPr>
              <w:spacing w:after="0" w:line="276" w:lineRule="auto"/>
              <w:rPr>
                <w:sz w:val="20"/>
                <w:szCs w:val="20"/>
              </w:rPr>
            </w:pPr>
            <w:r>
              <w:rPr>
                <w:noProof/>
                <w:sz w:val="20"/>
                <w:szCs w:val="20"/>
              </w:rPr>
              <w:drawing>
                <wp:inline distT="0" distB="0" distL="0" distR="0" wp14:anchorId="0972995C" wp14:editId="0C721366">
                  <wp:extent cx="2686050" cy="2013353"/>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SN38Gq21demptheo.png"/>
                          <pic:cNvPicPr/>
                        </pic:nvPicPr>
                        <pic:blipFill>
                          <a:blip r:embed="rId32">
                            <a:extLst>
                              <a:ext uri="{28A0092B-C50C-407E-A947-70E740481C1C}">
                                <a14:useLocalDpi xmlns:a14="http://schemas.microsoft.com/office/drawing/2010/main" val="0"/>
                              </a:ext>
                            </a:extLst>
                          </a:blip>
                          <a:stretch>
                            <a:fillRect/>
                          </a:stretch>
                        </pic:blipFill>
                        <pic:spPr>
                          <a:xfrm>
                            <a:off x="0" y="0"/>
                            <a:ext cx="2685714" cy="2013101"/>
                          </a:xfrm>
                          <a:prstGeom prst="rect">
                            <a:avLst/>
                          </a:prstGeom>
                        </pic:spPr>
                      </pic:pic>
                    </a:graphicData>
                  </a:graphic>
                </wp:inline>
              </w:drawing>
            </w:r>
          </w:p>
        </w:tc>
        <w:tc>
          <w:tcPr>
            <w:tcW w:w="4348" w:type="dxa"/>
          </w:tcPr>
          <w:p w:rsidR="00C76B7F" w:rsidRDefault="00E231D5" w:rsidP="00C76B7F">
            <w:pPr>
              <w:spacing w:after="0" w:line="276" w:lineRule="auto"/>
              <w:rPr>
                <w:sz w:val="20"/>
                <w:szCs w:val="20"/>
              </w:rPr>
            </w:pPr>
            <w:r>
              <w:rPr>
                <w:noProof/>
                <w:sz w:val="20"/>
                <w:szCs w:val="20"/>
              </w:rPr>
              <w:drawing>
                <wp:inline distT="0" distB="0" distL="0" distR="0" wp14:anchorId="0F5EF3A5" wp14:editId="48B5AE46">
                  <wp:extent cx="2695575" cy="202049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cAPCq21demptheo.png"/>
                          <pic:cNvPicPr/>
                        </pic:nvPicPr>
                        <pic:blipFill>
                          <a:blip r:embed="rId33">
                            <a:extLst>
                              <a:ext uri="{28A0092B-C50C-407E-A947-70E740481C1C}">
                                <a14:useLocalDpi xmlns:a14="http://schemas.microsoft.com/office/drawing/2010/main" val="0"/>
                              </a:ext>
                            </a:extLst>
                          </a:blip>
                          <a:stretch>
                            <a:fillRect/>
                          </a:stretch>
                        </pic:blipFill>
                        <pic:spPr>
                          <a:xfrm>
                            <a:off x="0" y="0"/>
                            <a:ext cx="2695238" cy="2020240"/>
                          </a:xfrm>
                          <a:prstGeom prst="rect">
                            <a:avLst/>
                          </a:prstGeom>
                        </pic:spPr>
                      </pic:pic>
                    </a:graphicData>
                  </a:graphic>
                </wp:inline>
              </w:drawing>
            </w:r>
          </w:p>
        </w:tc>
        <w:tc>
          <w:tcPr>
            <w:tcW w:w="4482" w:type="dxa"/>
          </w:tcPr>
          <w:p w:rsidR="00C76B7F" w:rsidRDefault="00C76B7F" w:rsidP="00C76B7F">
            <w:pPr>
              <w:spacing w:after="0" w:line="276" w:lineRule="auto"/>
              <w:rPr>
                <w:sz w:val="20"/>
                <w:szCs w:val="20"/>
              </w:rPr>
            </w:pPr>
          </w:p>
        </w:tc>
      </w:tr>
    </w:tbl>
    <w:p w:rsidR="00C76B7F" w:rsidRPr="00C76B7F" w:rsidRDefault="00C76B7F" w:rsidP="00C76B7F">
      <w:pPr>
        <w:rPr>
          <w:b/>
          <w:szCs w:val="24"/>
        </w:rPr>
      </w:pPr>
      <w:bookmarkStart w:id="27" w:name="_GoBack"/>
      <w:bookmarkEnd w:id="27"/>
    </w:p>
    <w:sectPr w:rsidR="00C76B7F" w:rsidRPr="00C76B7F" w:rsidSect="004F7FF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D2158"/>
    <w:multiLevelType w:val="hybridMultilevel"/>
    <w:tmpl w:val="E6BC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1A"/>
    <w:rsid w:val="00142923"/>
    <w:rsid w:val="00143DED"/>
    <w:rsid w:val="001C7C89"/>
    <w:rsid w:val="003143C9"/>
    <w:rsid w:val="003F291F"/>
    <w:rsid w:val="00411185"/>
    <w:rsid w:val="00414B85"/>
    <w:rsid w:val="00461180"/>
    <w:rsid w:val="004F7FF4"/>
    <w:rsid w:val="005146D3"/>
    <w:rsid w:val="005C29A9"/>
    <w:rsid w:val="00757676"/>
    <w:rsid w:val="007942B3"/>
    <w:rsid w:val="007B2AF5"/>
    <w:rsid w:val="00815FEC"/>
    <w:rsid w:val="0089661C"/>
    <w:rsid w:val="008E6E50"/>
    <w:rsid w:val="008F30B3"/>
    <w:rsid w:val="00BB5CF3"/>
    <w:rsid w:val="00BF4B4E"/>
    <w:rsid w:val="00C46902"/>
    <w:rsid w:val="00C76B7F"/>
    <w:rsid w:val="00D2711A"/>
    <w:rsid w:val="00D50D22"/>
    <w:rsid w:val="00E231D5"/>
    <w:rsid w:val="00E24970"/>
    <w:rsid w:val="00E449FA"/>
    <w:rsid w:val="00E71FDD"/>
    <w:rsid w:val="00EC106D"/>
    <w:rsid w:val="00ED13E7"/>
    <w:rsid w:val="00F2025D"/>
    <w:rsid w:val="00F46C11"/>
    <w:rsid w:val="00F90D8C"/>
    <w:rsid w:val="00F93706"/>
    <w:rsid w:val="00F9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DDA76-7DEE-4343-8035-38BC88C4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11A"/>
    <w:pPr>
      <w:spacing w:after="120" w:line="48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1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11A"/>
    <w:rPr>
      <w:rFonts w:ascii="Tahoma" w:hAnsi="Tahoma" w:cs="Tahoma"/>
      <w:sz w:val="16"/>
      <w:szCs w:val="16"/>
    </w:rPr>
  </w:style>
  <w:style w:type="paragraph" w:customStyle="1" w:styleId="FigureFootnotes">
    <w:name w:val="Figure Footnotes"/>
    <w:next w:val="Normal"/>
    <w:rsid w:val="00D2711A"/>
    <w:pPr>
      <w:keepLines/>
      <w:spacing w:after="240" w:line="240" w:lineRule="auto"/>
    </w:pPr>
    <w:rPr>
      <w:rFonts w:ascii="Times New Roman" w:eastAsia="Times New Roman" w:hAnsi="Times New Roman" w:cs="Times New Roman"/>
      <w:sz w:val="20"/>
      <w:szCs w:val="24"/>
    </w:rPr>
  </w:style>
  <w:style w:type="paragraph" w:styleId="ListContinue2">
    <w:name w:val="List Continue 2"/>
    <w:basedOn w:val="Normal"/>
    <w:unhideWhenUsed/>
    <w:rsid w:val="00D2711A"/>
    <w:pPr>
      <w:spacing w:before="120" w:after="240" w:line="240" w:lineRule="auto"/>
      <w:ind w:left="720"/>
    </w:pPr>
    <w:rPr>
      <w:rFonts w:ascii="Times New Roman" w:eastAsia="Times New Roman" w:hAnsi="Times New Roman" w:cs="Times New Roman"/>
      <w:szCs w:val="24"/>
    </w:rPr>
  </w:style>
  <w:style w:type="table" w:styleId="TableGrid">
    <w:name w:val="Table Grid"/>
    <w:aliases w:val="Header Table,Vijay 1"/>
    <w:basedOn w:val="TableNormal"/>
    <w:rsid w:val="00D27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
    <w:name w:val="Table Footer"/>
    <w:link w:val="TableFooterChar"/>
    <w:rsid w:val="00D2711A"/>
    <w:pPr>
      <w:tabs>
        <w:tab w:val="left" w:pos="360"/>
      </w:tabs>
      <w:spacing w:after="60" w:line="240" w:lineRule="auto"/>
      <w:ind w:left="360" w:hanging="360"/>
    </w:pPr>
    <w:rPr>
      <w:rFonts w:ascii="Times New Roman" w:eastAsia="Times New Roman" w:hAnsi="Times New Roman" w:cs="Times New Roman"/>
      <w:sz w:val="20"/>
      <w:szCs w:val="24"/>
    </w:rPr>
  </w:style>
  <w:style w:type="character" w:customStyle="1" w:styleId="TableFooterChar">
    <w:name w:val="Table Footer Char"/>
    <w:link w:val="TableFooter"/>
    <w:rsid w:val="00D2711A"/>
    <w:rPr>
      <w:rFonts w:ascii="Times New Roman" w:eastAsia="Times New Roman" w:hAnsi="Times New Roman" w:cs="Times New Roman"/>
      <w:sz w:val="20"/>
      <w:szCs w:val="24"/>
    </w:rPr>
  </w:style>
  <w:style w:type="paragraph" w:customStyle="1" w:styleId="Paragraph">
    <w:name w:val="Paragraph"/>
    <w:link w:val="ParagraphChar"/>
    <w:qFormat/>
    <w:rsid w:val="00E449FA"/>
    <w:pPr>
      <w:spacing w:after="240" w:line="300" w:lineRule="exact"/>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rsid w:val="00E449FA"/>
    <w:rPr>
      <w:rFonts w:ascii="Times New Roman" w:eastAsia="Times New Roman" w:hAnsi="Times New Roman" w:cs="Times New Roman"/>
      <w:sz w:val="24"/>
      <w:szCs w:val="24"/>
    </w:rPr>
  </w:style>
  <w:style w:type="paragraph" w:customStyle="1" w:styleId="TableTitle">
    <w:name w:val="Table Title"/>
    <w:next w:val="Normal"/>
    <w:link w:val="TableTitleChar"/>
    <w:rsid w:val="004F7FF4"/>
    <w:pPr>
      <w:keepNext/>
      <w:keepLines/>
      <w:tabs>
        <w:tab w:val="left" w:pos="1800"/>
      </w:tabs>
      <w:spacing w:after="240" w:line="240" w:lineRule="auto"/>
      <w:ind w:left="1800" w:hanging="1800"/>
      <w:outlineLvl w:val="7"/>
    </w:pPr>
    <w:rPr>
      <w:rFonts w:ascii="Times New Roman" w:eastAsia="Times New Roman" w:hAnsi="Times New Roman" w:cs="Times New Roman"/>
      <w:b/>
      <w:sz w:val="24"/>
      <w:szCs w:val="24"/>
    </w:rPr>
  </w:style>
  <w:style w:type="character" w:customStyle="1" w:styleId="TableTitleChar">
    <w:name w:val="Table Title Char"/>
    <w:link w:val="TableTitle"/>
    <w:locked/>
    <w:rsid w:val="004F7FF4"/>
    <w:rPr>
      <w:rFonts w:ascii="Times New Roman" w:eastAsia="Times New Roman" w:hAnsi="Times New Roman" w:cs="Times New Roman"/>
      <w:b/>
      <w:sz w:val="24"/>
      <w:szCs w:val="24"/>
    </w:rPr>
  </w:style>
  <w:style w:type="character" w:styleId="CommentReference">
    <w:name w:val="annotation reference"/>
    <w:basedOn w:val="DefaultParagraphFont"/>
    <w:uiPriority w:val="99"/>
    <w:unhideWhenUsed/>
    <w:rsid w:val="00C76B7F"/>
    <w:rPr>
      <w:sz w:val="16"/>
      <w:szCs w:val="16"/>
    </w:rPr>
  </w:style>
  <w:style w:type="paragraph" w:styleId="CommentText">
    <w:name w:val="annotation text"/>
    <w:basedOn w:val="Normal"/>
    <w:link w:val="CommentTextChar"/>
    <w:uiPriority w:val="99"/>
    <w:unhideWhenUsed/>
    <w:rsid w:val="00C76B7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76B7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wm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Nektar Therapeutics</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Nektar Therapeutics</dc:creator>
  <cp:lastModifiedBy>Hoch, Ute</cp:lastModifiedBy>
  <cp:revision>2</cp:revision>
  <cp:lastPrinted>2016-12-13T16:31:00Z</cp:lastPrinted>
  <dcterms:created xsi:type="dcterms:W3CDTF">2017-06-02T22:44:00Z</dcterms:created>
  <dcterms:modified xsi:type="dcterms:W3CDTF">2017-06-02T22:44:00Z</dcterms:modified>
</cp:coreProperties>
</file>