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3772" w:rsidRPr="00214822" w:rsidRDefault="004A3772" w:rsidP="004A377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14822">
        <w:rPr>
          <w:rFonts w:ascii="Times New Roman" w:hAnsi="Times New Roman" w:cs="Times New Roman"/>
          <w:b/>
          <w:sz w:val="24"/>
          <w:szCs w:val="24"/>
        </w:rPr>
        <w:t xml:space="preserve">Population Pharmacokinetics of </w:t>
      </w:r>
      <w:r>
        <w:rPr>
          <w:rFonts w:ascii="Times New Roman" w:hAnsi="Times New Roman" w:cs="Times New Roman"/>
          <w:b/>
          <w:sz w:val="24"/>
          <w:szCs w:val="24"/>
        </w:rPr>
        <w:t>Fedratinib</w:t>
      </w:r>
      <w:r w:rsidRPr="00214822">
        <w:rPr>
          <w:rFonts w:ascii="Times New Roman" w:hAnsi="Times New Roman" w:cs="Times New Roman"/>
          <w:b/>
          <w:sz w:val="24"/>
          <w:szCs w:val="24"/>
        </w:rPr>
        <w:t xml:space="preserve"> in Patients with </w:t>
      </w:r>
      <w:r>
        <w:rPr>
          <w:rFonts w:ascii="Times New Roman" w:hAnsi="Times New Roman" w:cs="Times New Roman"/>
          <w:b/>
          <w:sz w:val="24"/>
          <w:szCs w:val="24"/>
        </w:rPr>
        <w:t>Myelofibrosis, Polycythemia Vera, and Essential Thrombocythemia</w:t>
      </w:r>
    </w:p>
    <w:p w:rsidR="004A3772" w:rsidRPr="00214822" w:rsidRDefault="004A3772" w:rsidP="004A377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14822">
        <w:rPr>
          <w:rFonts w:ascii="Times New Roman" w:hAnsi="Times New Roman" w:cs="Times New Roman"/>
          <w:sz w:val="24"/>
          <w:szCs w:val="24"/>
        </w:rPr>
        <w:t>Ken Ogasawara</w:t>
      </w:r>
      <w:r w:rsidRPr="0021482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14822">
        <w:rPr>
          <w:rFonts w:ascii="Times New Roman" w:hAnsi="Times New Roman" w:cs="Times New Roman"/>
          <w:sz w:val="24"/>
          <w:szCs w:val="24"/>
        </w:rPr>
        <w:t>, Simon Zhou</w:t>
      </w:r>
      <w:r w:rsidRPr="0021482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1482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Gopal Krishna</w:t>
      </w:r>
      <w:r w:rsidRPr="0021482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14822">
        <w:rPr>
          <w:rFonts w:ascii="Times New Roman" w:hAnsi="Times New Roman" w:cs="Times New Roman"/>
          <w:sz w:val="24"/>
          <w:szCs w:val="24"/>
        </w:rPr>
        <w:t>Maria Palmisano</w:t>
      </w:r>
      <w:r w:rsidRPr="0021482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148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 w:rsidRPr="00214822">
        <w:rPr>
          <w:rFonts w:ascii="Times New Roman" w:hAnsi="Times New Roman" w:cs="Times New Roman"/>
          <w:sz w:val="24"/>
          <w:szCs w:val="24"/>
        </w:rPr>
        <w:t>Yan Li</w:t>
      </w:r>
      <w:r w:rsidRPr="00214822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:rsidR="004A3772" w:rsidRPr="004A3772" w:rsidRDefault="004A3772" w:rsidP="004A377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4A3772">
        <w:rPr>
          <w:rFonts w:ascii="Times New Roman" w:hAnsi="Times New Roman" w:cs="Times New Roman"/>
          <w:sz w:val="24"/>
          <w:szCs w:val="24"/>
        </w:rPr>
        <w:t xml:space="preserve">Celgene Corporation, Summit, NJ </w:t>
      </w:r>
    </w:p>
    <w:p w:rsidR="004A3772" w:rsidRPr="004A3772" w:rsidRDefault="004A3772" w:rsidP="004A377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A3772">
        <w:rPr>
          <w:rFonts w:ascii="Times New Roman" w:hAnsi="Times New Roman" w:cs="Times New Roman"/>
          <w:sz w:val="24"/>
          <w:szCs w:val="24"/>
        </w:rPr>
        <w:t>Correspondence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Pr="004A3772">
          <w:rPr>
            <w:rFonts w:ascii="Times New Roman" w:hAnsi="Times New Roman" w:cs="Times New Roman"/>
          </w:rPr>
          <w:t>yali@celgene.com</w:t>
        </w:r>
      </w:hyperlink>
    </w:p>
    <w:p w:rsidR="004A3772" w:rsidRDefault="004A3772" w:rsidP="004A3772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Cancer Chemotherapy and Pharmacology</w:t>
      </w:r>
    </w:p>
    <w:p w:rsidR="004A3772" w:rsidRDefault="004A3772" w:rsidP="004A3772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4A3772" w:rsidRDefault="004A3772" w:rsidP="004A3772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 Table 1. Summary of Clinical Studies Included in the Population Pharmacokinetic Modeling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85"/>
        <w:gridCol w:w="1800"/>
        <w:gridCol w:w="2970"/>
        <w:gridCol w:w="1350"/>
        <w:gridCol w:w="1345"/>
      </w:tblGrid>
      <w:tr w:rsidR="004A3772" w:rsidRPr="00F10E3F" w:rsidTr="00A56D59">
        <w:tc>
          <w:tcPr>
            <w:tcW w:w="5485" w:type="dxa"/>
            <w:vAlign w:val="center"/>
          </w:tcPr>
          <w:p w:rsidR="004A3772" w:rsidRPr="00F10E3F" w:rsidRDefault="004A3772" w:rsidP="00A56D59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10E3F">
              <w:rPr>
                <w:rFonts w:ascii="Times New Roman" w:hAnsi="Times New Roman" w:cs="Times New Roman"/>
                <w:b/>
                <w:szCs w:val="24"/>
              </w:rPr>
              <w:t>Study</w:t>
            </w:r>
          </w:p>
        </w:tc>
        <w:tc>
          <w:tcPr>
            <w:tcW w:w="1800" w:type="dxa"/>
            <w:vAlign w:val="center"/>
          </w:tcPr>
          <w:p w:rsidR="004A3772" w:rsidRPr="00F10E3F" w:rsidRDefault="004A3772" w:rsidP="00A56D59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10E3F">
              <w:rPr>
                <w:rFonts w:ascii="Times New Roman" w:hAnsi="Times New Roman" w:cs="Times New Roman"/>
                <w:b/>
                <w:szCs w:val="24"/>
              </w:rPr>
              <w:t>Dosing regimen</w:t>
            </w:r>
          </w:p>
        </w:tc>
        <w:tc>
          <w:tcPr>
            <w:tcW w:w="2970" w:type="dxa"/>
            <w:vAlign w:val="center"/>
          </w:tcPr>
          <w:p w:rsidR="004A3772" w:rsidRPr="00F10E3F" w:rsidRDefault="004A3772" w:rsidP="00A56D59">
            <w:pPr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Scheduled </w:t>
            </w:r>
            <w:r w:rsidRPr="00F10E3F">
              <w:rPr>
                <w:rFonts w:ascii="Times New Roman" w:hAnsi="Times New Roman" w:cs="Times New Roman"/>
                <w:b/>
                <w:szCs w:val="24"/>
              </w:rPr>
              <w:t xml:space="preserve">PK </w:t>
            </w:r>
            <w:r>
              <w:rPr>
                <w:rFonts w:ascii="Times New Roman" w:hAnsi="Times New Roman" w:cs="Times New Roman"/>
                <w:b/>
                <w:szCs w:val="24"/>
              </w:rPr>
              <w:t>timepoints</w:t>
            </w:r>
            <w:r w:rsidRPr="00F10E3F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</w:p>
        </w:tc>
        <w:tc>
          <w:tcPr>
            <w:tcW w:w="1350" w:type="dxa"/>
            <w:vAlign w:val="center"/>
          </w:tcPr>
          <w:p w:rsidR="004A3772" w:rsidRPr="00F10E3F" w:rsidRDefault="004A3772" w:rsidP="00A56D59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10E3F">
              <w:rPr>
                <w:rFonts w:ascii="Times New Roman" w:hAnsi="Times New Roman" w:cs="Times New Roman"/>
                <w:b/>
                <w:szCs w:val="24"/>
              </w:rPr>
              <w:t xml:space="preserve">Number of subjects in </w:t>
            </w:r>
            <w:proofErr w:type="spellStart"/>
            <w:r w:rsidRPr="00F10E3F">
              <w:rPr>
                <w:rFonts w:ascii="Times New Roman" w:hAnsi="Times New Roman" w:cs="Times New Roman"/>
                <w:b/>
                <w:szCs w:val="24"/>
              </w:rPr>
              <w:t>PopPK</w:t>
            </w:r>
            <w:proofErr w:type="spellEnd"/>
          </w:p>
        </w:tc>
        <w:tc>
          <w:tcPr>
            <w:tcW w:w="1345" w:type="dxa"/>
            <w:vAlign w:val="center"/>
          </w:tcPr>
          <w:p w:rsidR="004A3772" w:rsidRPr="00F10E3F" w:rsidRDefault="004A3772" w:rsidP="00A56D59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F10E3F">
              <w:rPr>
                <w:rFonts w:ascii="Times New Roman" w:hAnsi="Times New Roman" w:cs="Times New Roman"/>
                <w:b/>
                <w:szCs w:val="24"/>
              </w:rPr>
              <w:t xml:space="preserve">Number of PK samples in </w:t>
            </w:r>
            <w:proofErr w:type="spellStart"/>
            <w:r w:rsidRPr="00F10E3F">
              <w:rPr>
                <w:rFonts w:ascii="Times New Roman" w:hAnsi="Times New Roman" w:cs="Times New Roman"/>
                <w:b/>
                <w:szCs w:val="24"/>
              </w:rPr>
              <w:t>PopPK</w:t>
            </w:r>
            <w:proofErr w:type="spellEnd"/>
          </w:p>
        </w:tc>
      </w:tr>
      <w:tr w:rsidR="004A3772" w:rsidRPr="00F10E3F" w:rsidTr="00A56D59">
        <w:tc>
          <w:tcPr>
            <w:tcW w:w="5485" w:type="dxa"/>
          </w:tcPr>
          <w:p w:rsidR="004A3772" w:rsidRPr="00F10E3F" w:rsidRDefault="004A3772" w:rsidP="00A56D5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i/>
                <w:szCs w:val="24"/>
                <w:u w:val="single"/>
              </w:rPr>
              <w:t>TED12037 (</w:t>
            </w:r>
            <w:r w:rsidRPr="008A015E">
              <w:rPr>
                <w:rFonts w:ascii="Times New Roman" w:hAnsi="Times New Roman" w:cs="Times New Roman"/>
                <w:i/>
                <w:szCs w:val="24"/>
                <w:u w:val="single"/>
              </w:rPr>
              <w:t>MF-TG101348-001</w:t>
            </w:r>
            <w:r>
              <w:rPr>
                <w:rFonts w:ascii="Times New Roman" w:hAnsi="Times New Roman" w:cs="Times New Roman"/>
                <w:i/>
                <w:szCs w:val="24"/>
                <w:u w:val="single"/>
              </w:rPr>
              <w:t>)</w:t>
            </w:r>
            <w:r w:rsidRPr="00F10E3F">
              <w:rPr>
                <w:rFonts w:ascii="Times New Roman" w:hAnsi="Times New Roman" w:cs="Times New Roman"/>
                <w:szCs w:val="24"/>
              </w:rPr>
              <w:t xml:space="preserve">: </w:t>
            </w:r>
            <w:r w:rsidRPr="00FF3EA7">
              <w:rPr>
                <w:rFonts w:ascii="Times New Roman" w:hAnsi="Times New Roman" w:cs="Times New Roman"/>
                <w:szCs w:val="24"/>
              </w:rPr>
              <w:t xml:space="preserve">A Phase 1, Open-label, Dose-escalation Study Evaluating the Safety, Tolerability, Pharmacokinetics, and Pharmacodynamics of Orally Administered TG101348 in Patients </w:t>
            </w:r>
            <w:r>
              <w:rPr>
                <w:rFonts w:ascii="Times New Roman" w:hAnsi="Times New Roman" w:cs="Times New Roman"/>
                <w:szCs w:val="24"/>
              </w:rPr>
              <w:t>w</w:t>
            </w:r>
            <w:r w:rsidRPr="00FF3EA7">
              <w:rPr>
                <w:rFonts w:ascii="Times New Roman" w:hAnsi="Times New Roman" w:cs="Times New Roman"/>
                <w:szCs w:val="24"/>
              </w:rPr>
              <w:t>ith Primary, Post-polycythemia Vera, or Post-essential Thrombocythemia Myelofibrosis</w:t>
            </w:r>
          </w:p>
        </w:tc>
        <w:tc>
          <w:tcPr>
            <w:tcW w:w="1800" w:type="dxa"/>
          </w:tcPr>
          <w:p w:rsidR="004A3772" w:rsidRPr="00F10E3F" w:rsidRDefault="004A3772" w:rsidP="00A56D5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30, 60, 120, 240, 360, 520, 680 and 800 mg QD</w:t>
            </w:r>
          </w:p>
        </w:tc>
        <w:tc>
          <w:tcPr>
            <w:tcW w:w="2970" w:type="dxa"/>
          </w:tcPr>
          <w:p w:rsidR="004A3772" w:rsidRPr="00F10E3F" w:rsidRDefault="004A3772" w:rsidP="00A56D59">
            <w:pPr>
              <w:rPr>
                <w:rFonts w:ascii="Times New Roman" w:hAnsi="Times New Roman" w:cs="Times New Roman"/>
                <w:szCs w:val="24"/>
              </w:rPr>
            </w:pPr>
            <w:r w:rsidRPr="00996682">
              <w:rPr>
                <w:rFonts w:ascii="Times New Roman" w:hAnsi="Times New Roman" w:cs="Times New Roman"/>
                <w:szCs w:val="24"/>
                <w:u w:val="single"/>
              </w:rPr>
              <w:t>Cycle 1</w:t>
            </w:r>
            <w:r>
              <w:rPr>
                <w:rFonts w:ascii="Times New Roman" w:hAnsi="Times New Roman" w:cs="Times New Roman"/>
                <w:szCs w:val="24"/>
                <w:u w:val="single"/>
              </w:rPr>
              <w:t>, Days 1 and 28</w:t>
            </w:r>
            <w:r w:rsidRPr="00F10E3F">
              <w:rPr>
                <w:rFonts w:ascii="Times New Roman" w:hAnsi="Times New Roman" w:cs="Times New Roman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Cs w:val="24"/>
              </w:rPr>
              <w:t>pre-dose and 0.5, 1, 2, 4, 8 and 28 h post-dose</w:t>
            </w:r>
          </w:p>
        </w:tc>
        <w:tc>
          <w:tcPr>
            <w:tcW w:w="1350" w:type="dxa"/>
          </w:tcPr>
          <w:p w:rsidR="004A3772" w:rsidRPr="00F10E3F" w:rsidRDefault="004A3772" w:rsidP="00A56D5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52</w:t>
            </w:r>
          </w:p>
        </w:tc>
        <w:tc>
          <w:tcPr>
            <w:tcW w:w="1345" w:type="dxa"/>
          </w:tcPr>
          <w:p w:rsidR="004A3772" w:rsidRPr="00F10E3F" w:rsidRDefault="004A3772" w:rsidP="00A56D5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621</w:t>
            </w:r>
          </w:p>
        </w:tc>
      </w:tr>
      <w:tr w:rsidR="004A3772" w:rsidRPr="00F10E3F" w:rsidTr="00A56D59">
        <w:tc>
          <w:tcPr>
            <w:tcW w:w="5485" w:type="dxa"/>
          </w:tcPr>
          <w:p w:rsidR="004A3772" w:rsidRPr="00F10E3F" w:rsidRDefault="004A3772" w:rsidP="00A56D5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i/>
                <w:szCs w:val="24"/>
                <w:u w:val="single"/>
              </w:rPr>
              <w:t>ARD11936</w:t>
            </w:r>
            <w:r w:rsidRPr="00F10E3F">
              <w:rPr>
                <w:rFonts w:ascii="Times New Roman" w:hAnsi="Times New Roman" w:cs="Times New Roman"/>
                <w:szCs w:val="24"/>
              </w:rPr>
              <w:t xml:space="preserve">: </w:t>
            </w:r>
            <w:r w:rsidRPr="00936847">
              <w:rPr>
                <w:rFonts w:ascii="Times New Roman" w:hAnsi="Times New Roman" w:cs="Times New Roman"/>
                <w:szCs w:val="24"/>
              </w:rPr>
              <w:t xml:space="preserve">A Phase 2 Randomized, Open-Label, Dose-Ranging Study of the Efficacy and Safety of Orally Administered SAR302503 in Patients </w:t>
            </w:r>
            <w:r>
              <w:rPr>
                <w:rFonts w:ascii="Times New Roman" w:hAnsi="Times New Roman" w:cs="Times New Roman"/>
                <w:szCs w:val="24"/>
              </w:rPr>
              <w:t>w</w:t>
            </w:r>
            <w:r w:rsidRPr="00936847">
              <w:rPr>
                <w:rFonts w:ascii="Times New Roman" w:hAnsi="Times New Roman" w:cs="Times New Roman"/>
                <w:szCs w:val="24"/>
              </w:rPr>
              <w:t xml:space="preserve">ith Intermediate-2 or </w:t>
            </w:r>
            <w:proofErr w:type="gramStart"/>
            <w:r w:rsidRPr="00936847">
              <w:rPr>
                <w:rFonts w:ascii="Times New Roman" w:hAnsi="Times New Roman" w:cs="Times New Roman"/>
                <w:szCs w:val="24"/>
              </w:rPr>
              <w:t>High Risk</w:t>
            </w:r>
            <w:proofErr w:type="gramEnd"/>
            <w:r w:rsidRPr="00936847">
              <w:rPr>
                <w:rFonts w:ascii="Times New Roman" w:hAnsi="Times New Roman" w:cs="Times New Roman"/>
                <w:szCs w:val="24"/>
              </w:rPr>
              <w:t xml:space="preserve"> Primary Myelofibrosis, Post-Polycythemia Vera Myelofibrosis, Post-Essential Thrombocythemia Myelofibrosis With Splenomegaly</w:t>
            </w:r>
          </w:p>
        </w:tc>
        <w:tc>
          <w:tcPr>
            <w:tcW w:w="1800" w:type="dxa"/>
          </w:tcPr>
          <w:p w:rsidR="004A3772" w:rsidRPr="00F10E3F" w:rsidRDefault="004A3772" w:rsidP="00A56D5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300, 400 and 500 mg QD</w:t>
            </w:r>
          </w:p>
        </w:tc>
        <w:tc>
          <w:tcPr>
            <w:tcW w:w="2970" w:type="dxa"/>
          </w:tcPr>
          <w:p w:rsidR="004A3772" w:rsidRPr="00F10E3F" w:rsidRDefault="004A3772" w:rsidP="00A56D59">
            <w:pPr>
              <w:rPr>
                <w:rFonts w:ascii="Times New Roman" w:hAnsi="Times New Roman" w:cs="Times New Roman"/>
                <w:szCs w:val="24"/>
              </w:rPr>
            </w:pPr>
            <w:r w:rsidRPr="00996682">
              <w:rPr>
                <w:rFonts w:ascii="Times New Roman" w:hAnsi="Times New Roman" w:cs="Times New Roman"/>
                <w:szCs w:val="24"/>
                <w:u w:val="single"/>
              </w:rPr>
              <w:t>Cycle 1</w:t>
            </w:r>
            <w:r>
              <w:rPr>
                <w:rFonts w:ascii="Times New Roman" w:hAnsi="Times New Roman" w:cs="Times New Roman"/>
                <w:szCs w:val="24"/>
                <w:u w:val="single"/>
              </w:rPr>
              <w:t>, Day 1</w:t>
            </w:r>
            <w:r w:rsidRPr="00F10E3F">
              <w:rPr>
                <w:rFonts w:ascii="Times New Roman" w:hAnsi="Times New Roman" w:cs="Times New Roman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Cs w:val="24"/>
              </w:rPr>
              <w:t>pre-dose and 1, 2, 3, 4, 6 and 8 h post-dose</w:t>
            </w:r>
            <w:r w:rsidRPr="00F10E3F">
              <w:rPr>
                <w:rFonts w:ascii="Times New Roman" w:hAnsi="Times New Roman" w:cs="Times New Roman"/>
                <w:szCs w:val="24"/>
              </w:rPr>
              <w:t>;</w:t>
            </w:r>
          </w:p>
          <w:p w:rsidR="004A3772" w:rsidRPr="00F10E3F" w:rsidRDefault="004A3772" w:rsidP="00A56D59">
            <w:pPr>
              <w:rPr>
                <w:rFonts w:ascii="Times New Roman" w:hAnsi="Times New Roman" w:cs="Times New Roman"/>
                <w:szCs w:val="24"/>
              </w:rPr>
            </w:pPr>
            <w:r w:rsidRPr="00996682">
              <w:rPr>
                <w:rFonts w:ascii="Times New Roman" w:hAnsi="Times New Roman" w:cs="Times New Roman"/>
                <w:szCs w:val="24"/>
                <w:u w:val="single"/>
              </w:rPr>
              <w:t>Cycle 1</w:t>
            </w:r>
            <w:r>
              <w:rPr>
                <w:rFonts w:ascii="Times New Roman" w:hAnsi="Times New Roman" w:cs="Times New Roman"/>
                <w:szCs w:val="24"/>
                <w:u w:val="single"/>
              </w:rPr>
              <w:t>, Days 2 and 15</w:t>
            </w:r>
            <w:r w:rsidRPr="00F10E3F">
              <w:rPr>
                <w:rFonts w:ascii="Times New Roman" w:hAnsi="Times New Roman" w:cs="Times New Roman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Cs w:val="24"/>
              </w:rPr>
              <w:t>pre-dose</w:t>
            </w:r>
            <w:r w:rsidRPr="00F10E3F">
              <w:rPr>
                <w:rFonts w:ascii="Times New Roman" w:hAnsi="Times New Roman" w:cs="Times New Roman"/>
                <w:szCs w:val="24"/>
              </w:rPr>
              <w:t>;</w:t>
            </w:r>
          </w:p>
          <w:p w:rsidR="004A3772" w:rsidRPr="00F10E3F" w:rsidRDefault="004A3772" w:rsidP="00A56D59">
            <w:pPr>
              <w:rPr>
                <w:rFonts w:ascii="Times New Roman" w:hAnsi="Times New Roman" w:cs="Times New Roman"/>
                <w:szCs w:val="24"/>
              </w:rPr>
            </w:pPr>
            <w:r w:rsidRPr="00996682">
              <w:rPr>
                <w:rFonts w:ascii="Times New Roman" w:hAnsi="Times New Roman" w:cs="Times New Roman"/>
                <w:szCs w:val="24"/>
                <w:u w:val="single"/>
              </w:rPr>
              <w:t xml:space="preserve">Cycle </w:t>
            </w:r>
            <w:r>
              <w:rPr>
                <w:rFonts w:ascii="Times New Roman" w:hAnsi="Times New Roman" w:cs="Times New Roman"/>
                <w:szCs w:val="24"/>
                <w:u w:val="single"/>
              </w:rPr>
              <w:t>2, Day 1</w:t>
            </w:r>
            <w:r w:rsidRPr="00F10E3F">
              <w:rPr>
                <w:rFonts w:ascii="Times New Roman" w:hAnsi="Times New Roman" w:cs="Times New Roman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Cs w:val="24"/>
              </w:rPr>
              <w:t>pre-dose and 1, 2, 3, 4, 6 and 8 h post-dose</w:t>
            </w:r>
            <w:r w:rsidRPr="00F10E3F">
              <w:rPr>
                <w:rFonts w:ascii="Times New Roman" w:hAnsi="Times New Roman" w:cs="Times New Roman"/>
                <w:szCs w:val="24"/>
              </w:rPr>
              <w:t>;</w:t>
            </w:r>
          </w:p>
          <w:p w:rsidR="004A3772" w:rsidRPr="00F10E3F" w:rsidRDefault="004A3772" w:rsidP="00A56D59">
            <w:pPr>
              <w:rPr>
                <w:rFonts w:ascii="Times New Roman" w:hAnsi="Times New Roman" w:cs="Times New Roman"/>
                <w:szCs w:val="24"/>
              </w:rPr>
            </w:pPr>
            <w:r w:rsidRPr="00996682">
              <w:rPr>
                <w:rFonts w:ascii="Times New Roman" w:hAnsi="Times New Roman" w:cs="Times New Roman"/>
                <w:szCs w:val="24"/>
                <w:u w:val="single"/>
              </w:rPr>
              <w:t xml:space="preserve">Cycle </w:t>
            </w:r>
            <w:r>
              <w:rPr>
                <w:rFonts w:ascii="Times New Roman" w:hAnsi="Times New Roman" w:cs="Times New Roman"/>
                <w:szCs w:val="24"/>
                <w:u w:val="single"/>
              </w:rPr>
              <w:t>2, Day 2</w:t>
            </w:r>
            <w:r w:rsidRPr="00F10E3F">
              <w:rPr>
                <w:rFonts w:ascii="Times New Roman" w:hAnsi="Times New Roman" w:cs="Times New Roman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Cs w:val="24"/>
              </w:rPr>
              <w:t>pre-dose</w:t>
            </w:r>
            <w:r w:rsidRPr="00F10E3F">
              <w:rPr>
                <w:rFonts w:ascii="Times New Roman" w:hAnsi="Times New Roman" w:cs="Times New Roman"/>
                <w:szCs w:val="24"/>
              </w:rPr>
              <w:t>;</w:t>
            </w:r>
          </w:p>
          <w:p w:rsidR="004A3772" w:rsidRPr="00F10E3F" w:rsidRDefault="004A3772" w:rsidP="00A56D59">
            <w:pPr>
              <w:rPr>
                <w:rFonts w:ascii="Times New Roman" w:hAnsi="Times New Roman" w:cs="Times New Roman"/>
                <w:szCs w:val="24"/>
              </w:rPr>
            </w:pPr>
            <w:r w:rsidRPr="00996682">
              <w:rPr>
                <w:rFonts w:ascii="Times New Roman" w:hAnsi="Times New Roman" w:cs="Times New Roman"/>
                <w:szCs w:val="24"/>
                <w:u w:val="single"/>
              </w:rPr>
              <w:t xml:space="preserve">Cycle </w:t>
            </w:r>
            <w:r>
              <w:rPr>
                <w:rFonts w:ascii="Times New Roman" w:hAnsi="Times New Roman" w:cs="Times New Roman"/>
                <w:szCs w:val="24"/>
                <w:u w:val="single"/>
              </w:rPr>
              <w:t>3, Day 1</w:t>
            </w:r>
            <w:r w:rsidRPr="00F10E3F">
              <w:rPr>
                <w:rFonts w:ascii="Times New Roman" w:hAnsi="Times New Roman" w:cs="Times New Roman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Cs w:val="24"/>
              </w:rPr>
              <w:t>pre-dose</w:t>
            </w:r>
          </w:p>
        </w:tc>
        <w:tc>
          <w:tcPr>
            <w:tcW w:w="1350" w:type="dxa"/>
          </w:tcPr>
          <w:p w:rsidR="004A3772" w:rsidRPr="00F10E3F" w:rsidRDefault="004A3772" w:rsidP="00A56D5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31</w:t>
            </w:r>
          </w:p>
        </w:tc>
        <w:tc>
          <w:tcPr>
            <w:tcW w:w="1345" w:type="dxa"/>
          </w:tcPr>
          <w:p w:rsidR="004A3772" w:rsidRPr="00F10E3F" w:rsidRDefault="004A3772" w:rsidP="00A56D5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516</w:t>
            </w:r>
          </w:p>
        </w:tc>
      </w:tr>
      <w:tr w:rsidR="004A3772" w:rsidRPr="00F10E3F" w:rsidTr="00A56D59">
        <w:tc>
          <w:tcPr>
            <w:tcW w:w="5485" w:type="dxa"/>
          </w:tcPr>
          <w:p w:rsidR="004A3772" w:rsidRPr="00F10E3F" w:rsidRDefault="004A3772" w:rsidP="00A56D59">
            <w:pPr>
              <w:rPr>
                <w:rFonts w:ascii="Times New Roman" w:hAnsi="Times New Roman" w:cs="Times New Roman"/>
                <w:szCs w:val="24"/>
              </w:rPr>
            </w:pPr>
            <w:r w:rsidRPr="003161F5">
              <w:rPr>
                <w:rFonts w:ascii="Times New Roman" w:hAnsi="Times New Roman" w:cs="Times New Roman"/>
                <w:i/>
                <w:szCs w:val="24"/>
                <w:u w:val="single"/>
              </w:rPr>
              <w:lastRenderedPageBreak/>
              <w:t>ARD12042</w:t>
            </w:r>
            <w:r w:rsidRPr="00F10E3F">
              <w:rPr>
                <w:rFonts w:ascii="Times New Roman" w:hAnsi="Times New Roman" w:cs="Times New Roman"/>
                <w:szCs w:val="24"/>
              </w:rPr>
              <w:t xml:space="preserve">: </w:t>
            </w:r>
            <w:r w:rsidRPr="003161F5">
              <w:rPr>
                <w:rFonts w:ascii="Times New Roman" w:hAnsi="Times New Roman" w:cs="Times New Roman"/>
                <w:szCs w:val="24"/>
              </w:rPr>
              <w:t xml:space="preserve">A Randomized Phase II, Open-Label Study of the Efficacy and Safety of Orally Administered SAR302503 in Patients </w:t>
            </w:r>
            <w:r>
              <w:rPr>
                <w:rFonts w:ascii="Times New Roman" w:hAnsi="Times New Roman" w:cs="Times New Roman"/>
                <w:szCs w:val="24"/>
              </w:rPr>
              <w:t>w</w:t>
            </w:r>
            <w:r w:rsidRPr="003161F5">
              <w:rPr>
                <w:rFonts w:ascii="Times New Roman" w:hAnsi="Times New Roman" w:cs="Times New Roman"/>
                <w:szCs w:val="24"/>
              </w:rPr>
              <w:t>ith Polycythemia Vera (PV) or Essential Thrombocythemia (ET) Who Are Resistant or Intolerant to Hydroxyurea</w:t>
            </w:r>
          </w:p>
        </w:tc>
        <w:tc>
          <w:tcPr>
            <w:tcW w:w="1800" w:type="dxa"/>
          </w:tcPr>
          <w:p w:rsidR="004A3772" w:rsidRPr="00F10E3F" w:rsidRDefault="004A3772" w:rsidP="00A56D5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100, 200 and 400 mg QD</w:t>
            </w:r>
          </w:p>
        </w:tc>
        <w:tc>
          <w:tcPr>
            <w:tcW w:w="2970" w:type="dxa"/>
          </w:tcPr>
          <w:p w:rsidR="004A3772" w:rsidRPr="00F10E3F" w:rsidRDefault="004A3772" w:rsidP="00A56D59">
            <w:pPr>
              <w:rPr>
                <w:rFonts w:ascii="Times New Roman" w:hAnsi="Times New Roman" w:cs="Times New Roman"/>
                <w:szCs w:val="24"/>
              </w:rPr>
            </w:pPr>
            <w:r w:rsidRPr="00996682">
              <w:rPr>
                <w:rFonts w:ascii="Times New Roman" w:hAnsi="Times New Roman" w:cs="Times New Roman"/>
                <w:szCs w:val="24"/>
                <w:u w:val="single"/>
              </w:rPr>
              <w:t>Cycle 1</w:t>
            </w:r>
            <w:r>
              <w:rPr>
                <w:rFonts w:ascii="Times New Roman" w:hAnsi="Times New Roman" w:cs="Times New Roman"/>
                <w:szCs w:val="24"/>
                <w:u w:val="single"/>
              </w:rPr>
              <w:t>, Day 1</w:t>
            </w:r>
            <w:r w:rsidRPr="00F10E3F">
              <w:rPr>
                <w:rFonts w:ascii="Times New Roman" w:hAnsi="Times New Roman" w:cs="Times New Roman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Cs w:val="24"/>
              </w:rPr>
              <w:t>pre-dose and 1, 2, 3, 4, 6 and 8 h post-dose</w:t>
            </w:r>
            <w:r w:rsidRPr="00F10E3F">
              <w:rPr>
                <w:rFonts w:ascii="Times New Roman" w:hAnsi="Times New Roman" w:cs="Times New Roman"/>
                <w:szCs w:val="24"/>
              </w:rPr>
              <w:t>;</w:t>
            </w:r>
          </w:p>
          <w:p w:rsidR="004A3772" w:rsidRPr="00F10E3F" w:rsidRDefault="004A3772" w:rsidP="00A56D59">
            <w:pPr>
              <w:rPr>
                <w:rFonts w:ascii="Times New Roman" w:hAnsi="Times New Roman" w:cs="Times New Roman"/>
                <w:szCs w:val="24"/>
              </w:rPr>
            </w:pPr>
            <w:r w:rsidRPr="00996682">
              <w:rPr>
                <w:rFonts w:ascii="Times New Roman" w:hAnsi="Times New Roman" w:cs="Times New Roman"/>
                <w:szCs w:val="24"/>
                <w:u w:val="single"/>
              </w:rPr>
              <w:t>Cycle 1</w:t>
            </w:r>
            <w:r>
              <w:rPr>
                <w:rFonts w:ascii="Times New Roman" w:hAnsi="Times New Roman" w:cs="Times New Roman"/>
                <w:szCs w:val="24"/>
                <w:u w:val="single"/>
              </w:rPr>
              <w:t>, Days 2 and 15</w:t>
            </w:r>
            <w:r w:rsidRPr="00F10E3F">
              <w:rPr>
                <w:rFonts w:ascii="Times New Roman" w:hAnsi="Times New Roman" w:cs="Times New Roman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Cs w:val="24"/>
              </w:rPr>
              <w:t>pre-dose</w:t>
            </w:r>
            <w:r w:rsidRPr="00F10E3F">
              <w:rPr>
                <w:rFonts w:ascii="Times New Roman" w:hAnsi="Times New Roman" w:cs="Times New Roman"/>
                <w:szCs w:val="24"/>
              </w:rPr>
              <w:t>;</w:t>
            </w:r>
          </w:p>
          <w:p w:rsidR="004A3772" w:rsidRPr="00F10E3F" w:rsidRDefault="004A3772" w:rsidP="00A56D59">
            <w:pPr>
              <w:rPr>
                <w:rFonts w:ascii="Times New Roman" w:hAnsi="Times New Roman" w:cs="Times New Roman"/>
                <w:szCs w:val="24"/>
              </w:rPr>
            </w:pPr>
            <w:r w:rsidRPr="00996682">
              <w:rPr>
                <w:rFonts w:ascii="Times New Roman" w:hAnsi="Times New Roman" w:cs="Times New Roman"/>
                <w:szCs w:val="24"/>
                <w:u w:val="single"/>
              </w:rPr>
              <w:t xml:space="preserve">Cycle </w:t>
            </w:r>
            <w:r>
              <w:rPr>
                <w:rFonts w:ascii="Times New Roman" w:hAnsi="Times New Roman" w:cs="Times New Roman"/>
                <w:szCs w:val="24"/>
                <w:u w:val="single"/>
              </w:rPr>
              <w:t>2, Day 1</w:t>
            </w:r>
            <w:r w:rsidRPr="00F10E3F">
              <w:rPr>
                <w:rFonts w:ascii="Times New Roman" w:hAnsi="Times New Roman" w:cs="Times New Roman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Cs w:val="24"/>
              </w:rPr>
              <w:t>pre-dose and 1, 2, 3, 4, 6 and 8 h post-dose</w:t>
            </w:r>
            <w:r w:rsidRPr="00F10E3F">
              <w:rPr>
                <w:rFonts w:ascii="Times New Roman" w:hAnsi="Times New Roman" w:cs="Times New Roman"/>
                <w:szCs w:val="24"/>
              </w:rPr>
              <w:t>;</w:t>
            </w:r>
          </w:p>
          <w:p w:rsidR="004A3772" w:rsidRPr="00F10E3F" w:rsidRDefault="004A3772" w:rsidP="00A56D59">
            <w:pPr>
              <w:rPr>
                <w:rFonts w:ascii="Times New Roman" w:hAnsi="Times New Roman" w:cs="Times New Roman"/>
                <w:szCs w:val="24"/>
              </w:rPr>
            </w:pPr>
            <w:r w:rsidRPr="00996682">
              <w:rPr>
                <w:rFonts w:ascii="Times New Roman" w:hAnsi="Times New Roman" w:cs="Times New Roman"/>
                <w:szCs w:val="24"/>
                <w:u w:val="single"/>
              </w:rPr>
              <w:t xml:space="preserve">Cycle </w:t>
            </w:r>
            <w:r>
              <w:rPr>
                <w:rFonts w:ascii="Times New Roman" w:hAnsi="Times New Roman" w:cs="Times New Roman"/>
                <w:szCs w:val="24"/>
                <w:u w:val="single"/>
              </w:rPr>
              <w:t>2, Day 2</w:t>
            </w:r>
            <w:r w:rsidRPr="00F10E3F">
              <w:rPr>
                <w:rFonts w:ascii="Times New Roman" w:hAnsi="Times New Roman" w:cs="Times New Roman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Cs w:val="24"/>
              </w:rPr>
              <w:t>pre-dose</w:t>
            </w:r>
            <w:r w:rsidRPr="00F10E3F">
              <w:rPr>
                <w:rFonts w:ascii="Times New Roman" w:hAnsi="Times New Roman" w:cs="Times New Roman"/>
                <w:szCs w:val="24"/>
              </w:rPr>
              <w:t>;</w:t>
            </w:r>
          </w:p>
          <w:p w:rsidR="004A3772" w:rsidRPr="00F10E3F" w:rsidRDefault="004A3772" w:rsidP="00A56D59">
            <w:pPr>
              <w:rPr>
                <w:rFonts w:ascii="Times New Roman" w:hAnsi="Times New Roman" w:cs="Times New Roman"/>
                <w:szCs w:val="24"/>
              </w:rPr>
            </w:pPr>
            <w:r w:rsidRPr="00996682">
              <w:rPr>
                <w:rFonts w:ascii="Times New Roman" w:hAnsi="Times New Roman" w:cs="Times New Roman"/>
                <w:szCs w:val="24"/>
                <w:u w:val="single"/>
              </w:rPr>
              <w:t xml:space="preserve">Cycle </w:t>
            </w:r>
            <w:r>
              <w:rPr>
                <w:rFonts w:ascii="Times New Roman" w:hAnsi="Times New Roman" w:cs="Times New Roman"/>
                <w:szCs w:val="24"/>
                <w:u w:val="single"/>
              </w:rPr>
              <w:t>3, Day 1</w:t>
            </w:r>
            <w:r w:rsidRPr="00F10E3F">
              <w:rPr>
                <w:rFonts w:ascii="Times New Roman" w:hAnsi="Times New Roman" w:cs="Times New Roman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Cs w:val="24"/>
              </w:rPr>
              <w:t>pre-dose</w:t>
            </w:r>
          </w:p>
        </w:tc>
        <w:tc>
          <w:tcPr>
            <w:tcW w:w="1350" w:type="dxa"/>
          </w:tcPr>
          <w:p w:rsidR="004A3772" w:rsidRPr="00F10E3F" w:rsidRDefault="004A3772" w:rsidP="00A56D5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78</w:t>
            </w:r>
          </w:p>
        </w:tc>
        <w:tc>
          <w:tcPr>
            <w:tcW w:w="1345" w:type="dxa"/>
          </w:tcPr>
          <w:p w:rsidR="004A3772" w:rsidRPr="00F10E3F" w:rsidRDefault="004A3772" w:rsidP="00A56D5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1206</w:t>
            </w:r>
          </w:p>
        </w:tc>
      </w:tr>
      <w:tr w:rsidR="004A3772" w:rsidRPr="00F10E3F" w:rsidTr="00A56D59">
        <w:tc>
          <w:tcPr>
            <w:tcW w:w="5485" w:type="dxa"/>
          </w:tcPr>
          <w:p w:rsidR="004A3772" w:rsidRPr="00F10E3F" w:rsidRDefault="004A3772" w:rsidP="00A56D59">
            <w:pPr>
              <w:rPr>
                <w:rFonts w:ascii="Times New Roman" w:hAnsi="Times New Roman" w:cs="Times New Roman"/>
                <w:i/>
                <w:szCs w:val="24"/>
              </w:rPr>
            </w:pPr>
            <w:r w:rsidRPr="00881ED4">
              <w:rPr>
                <w:rFonts w:ascii="Times New Roman" w:hAnsi="Times New Roman" w:cs="Times New Roman"/>
                <w:i/>
                <w:szCs w:val="24"/>
                <w:u w:val="single"/>
              </w:rPr>
              <w:t>ARD12181</w:t>
            </w:r>
            <w:r w:rsidRPr="00F10E3F">
              <w:rPr>
                <w:rFonts w:ascii="Times New Roman" w:hAnsi="Times New Roman" w:cs="Times New Roman"/>
                <w:szCs w:val="24"/>
              </w:rPr>
              <w:t xml:space="preserve">: </w:t>
            </w:r>
            <w:r w:rsidRPr="00881ED4">
              <w:rPr>
                <w:rFonts w:ascii="Times New Roman" w:hAnsi="Times New Roman" w:cs="Times New Roman"/>
                <w:szCs w:val="24"/>
              </w:rPr>
              <w:t xml:space="preserve">A Phase II, Multicenter, Open Label, Single Arm Study of SAR302503 in Subjects Previously Treated </w:t>
            </w:r>
            <w:r>
              <w:rPr>
                <w:rFonts w:ascii="Times New Roman" w:hAnsi="Times New Roman" w:cs="Times New Roman"/>
                <w:szCs w:val="24"/>
              </w:rPr>
              <w:t>w</w:t>
            </w:r>
            <w:r w:rsidRPr="00881ED4">
              <w:rPr>
                <w:rFonts w:ascii="Times New Roman" w:hAnsi="Times New Roman" w:cs="Times New Roman"/>
                <w:szCs w:val="24"/>
              </w:rPr>
              <w:t xml:space="preserve">ith </w:t>
            </w:r>
            <w:proofErr w:type="spellStart"/>
            <w:r w:rsidRPr="00881ED4">
              <w:rPr>
                <w:rFonts w:ascii="Times New Roman" w:hAnsi="Times New Roman" w:cs="Times New Roman"/>
                <w:szCs w:val="24"/>
              </w:rPr>
              <w:t>Ruxolitinib</w:t>
            </w:r>
            <w:proofErr w:type="spellEnd"/>
            <w:r w:rsidRPr="00881ED4">
              <w:rPr>
                <w:rFonts w:ascii="Times New Roman" w:hAnsi="Times New Roman" w:cs="Times New Roman"/>
                <w:szCs w:val="24"/>
              </w:rPr>
              <w:t xml:space="preserve"> and With a Current Diagnosis of Intermediate or High-Risk Primary Myelofibrosis, Post-Polycythemia Vera Myelofibrosis, or Post-Essential Thrombocythemia Myelofibrosis</w:t>
            </w:r>
          </w:p>
        </w:tc>
        <w:tc>
          <w:tcPr>
            <w:tcW w:w="1800" w:type="dxa"/>
          </w:tcPr>
          <w:p w:rsidR="004A3772" w:rsidRPr="00F10E3F" w:rsidRDefault="004A3772" w:rsidP="00A56D5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400 mg QD</w:t>
            </w:r>
          </w:p>
        </w:tc>
        <w:tc>
          <w:tcPr>
            <w:tcW w:w="2970" w:type="dxa"/>
          </w:tcPr>
          <w:p w:rsidR="004A3772" w:rsidRPr="00F10E3F" w:rsidRDefault="004A3772" w:rsidP="00A56D59">
            <w:pPr>
              <w:rPr>
                <w:rFonts w:ascii="Times New Roman" w:hAnsi="Times New Roman" w:cs="Times New Roman"/>
                <w:szCs w:val="24"/>
              </w:rPr>
            </w:pPr>
            <w:r w:rsidRPr="00996682">
              <w:rPr>
                <w:rFonts w:ascii="Times New Roman" w:hAnsi="Times New Roman" w:cs="Times New Roman"/>
                <w:szCs w:val="24"/>
                <w:u w:val="single"/>
              </w:rPr>
              <w:t>Cycle</w:t>
            </w:r>
            <w:r>
              <w:rPr>
                <w:rFonts w:ascii="Times New Roman" w:hAnsi="Times New Roman" w:cs="Times New Roman"/>
                <w:szCs w:val="24"/>
                <w:u w:val="single"/>
              </w:rPr>
              <w:t>s</w:t>
            </w:r>
            <w:r w:rsidRPr="00996682">
              <w:rPr>
                <w:rFonts w:ascii="Times New Roman" w:hAnsi="Times New Roman" w:cs="Times New Roman"/>
                <w:szCs w:val="24"/>
                <w:u w:val="single"/>
              </w:rPr>
              <w:t xml:space="preserve"> 1</w:t>
            </w:r>
            <w:r>
              <w:rPr>
                <w:rFonts w:ascii="Times New Roman" w:hAnsi="Times New Roman" w:cs="Times New Roman"/>
                <w:szCs w:val="24"/>
                <w:u w:val="single"/>
              </w:rPr>
              <w:t xml:space="preserve"> and 2, Day 1</w:t>
            </w:r>
            <w:r w:rsidRPr="00F10E3F">
              <w:rPr>
                <w:rFonts w:ascii="Times New Roman" w:hAnsi="Times New Roman" w:cs="Times New Roman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Cs w:val="24"/>
              </w:rPr>
              <w:t>pre-dose and 0.5-2 and 2.5-4 h post-dose</w:t>
            </w:r>
            <w:r w:rsidRPr="00F10E3F">
              <w:rPr>
                <w:rFonts w:ascii="Times New Roman" w:hAnsi="Times New Roman" w:cs="Times New Roman"/>
                <w:szCs w:val="24"/>
              </w:rPr>
              <w:t>;</w:t>
            </w:r>
          </w:p>
          <w:p w:rsidR="004A3772" w:rsidRPr="00F10E3F" w:rsidRDefault="004A3772" w:rsidP="00A56D59">
            <w:pPr>
              <w:rPr>
                <w:rFonts w:ascii="Times New Roman" w:hAnsi="Times New Roman" w:cs="Times New Roman"/>
                <w:szCs w:val="24"/>
              </w:rPr>
            </w:pPr>
            <w:r w:rsidRPr="00996682">
              <w:rPr>
                <w:rFonts w:ascii="Times New Roman" w:hAnsi="Times New Roman" w:cs="Times New Roman"/>
                <w:szCs w:val="24"/>
                <w:u w:val="single"/>
              </w:rPr>
              <w:t xml:space="preserve">Cycle </w:t>
            </w:r>
            <w:r>
              <w:rPr>
                <w:rFonts w:ascii="Times New Roman" w:hAnsi="Times New Roman" w:cs="Times New Roman"/>
                <w:szCs w:val="24"/>
                <w:u w:val="single"/>
              </w:rPr>
              <w:t>4, Day 1</w:t>
            </w:r>
            <w:r w:rsidRPr="00F10E3F">
              <w:rPr>
                <w:rFonts w:ascii="Times New Roman" w:hAnsi="Times New Roman" w:cs="Times New Roman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Cs w:val="24"/>
              </w:rPr>
              <w:t>pre-dose</w:t>
            </w:r>
          </w:p>
        </w:tc>
        <w:tc>
          <w:tcPr>
            <w:tcW w:w="1350" w:type="dxa"/>
          </w:tcPr>
          <w:p w:rsidR="004A3772" w:rsidRPr="00F10E3F" w:rsidRDefault="004A3772" w:rsidP="00A56D5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97</w:t>
            </w:r>
          </w:p>
        </w:tc>
        <w:tc>
          <w:tcPr>
            <w:tcW w:w="1345" w:type="dxa"/>
          </w:tcPr>
          <w:p w:rsidR="004A3772" w:rsidRPr="00F10E3F" w:rsidRDefault="004A3772" w:rsidP="00A56D5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511</w:t>
            </w:r>
          </w:p>
        </w:tc>
      </w:tr>
      <w:tr w:rsidR="004A3772" w:rsidRPr="00F10E3F" w:rsidTr="00A56D59">
        <w:tc>
          <w:tcPr>
            <w:tcW w:w="5485" w:type="dxa"/>
          </w:tcPr>
          <w:p w:rsidR="004A3772" w:rsidRPr="00F10E3F" w:rsidRDefault="004A3772" w:rsidP="00A56D59">
            <w:pPr>
              <w:rPr>
                <w:rFonts w:ascii="Times New Roman" w:hAnsi="Times New Roman" w:cs="Times New Roman"/>
                <w:i/>
                <w:szCs w:val="24"/>
              </w:rPr>
            </w:pPr>
            <w:r w:rsidRPr="00881ED4">
              <w:rPr>
                <w:rFonts w:ascii="Times New Roman" w:hAnsi="Times New Roman" w:cs="Times New Roman"/>
                <w:i/>
                <w:szCs w:val="24"/>
                <w:u w:val="single"/>
              </w:rPr>
              <w:t>ARD1218</w:t>
            </w:r>
            <w:r>
              <w:rPr>
                <w:rFonts w:ascii="Times New Roman" w:hAnsi="Times New Roman" w:cs="Times New Roman"/>
                <w:i/>
                <w:szCs w:val="24"/>
                <w:u w:val="single"/>
              </w:rPr>
              <w:t>8</w:t>
            </w:r>
            <w:r w:rsidRPr="00F10E3F">
              <w:rPr>
                <w:rFonts w:ascii="Times New Roman" w:hAnsi="Times New Roman" w:cs="Times New Roman"/>
                <w:szCs w:val="24"/>
              </w:rPr>
              <w:t xml:space="preserve">: </w:t>
            </w:r>
            <w:r w:rsidRPr="00CC1459">
              <w:rPr>
                <w:rFonts w:ascii="Times New Roman" w:hAnsi="Times New Roman" w:cs="Times New Roman"/>
                <w:szCs w:val="24"/>
              </w:rPr>
              <w:t xml:space="preserve">A Phase 2 Open-Label, Dose-Ranging Study of the Efficacy and Safety of Orally Administered SAR302503 in Japanese Patients </w:t>
            </w:r>
            <w:r>
              <w:rPr>
                <w:rFonts w:ascii="Times New Roman" w:hAnsi="Times New Roman" w:cs="Times New Roman"/>
                <w:szCs w:val="24"/>
              </w:rPr>
              <w:t>w</w:t>
            </w:r>
            <w:r w:rsidRPr="00CC1459">
              <w:rPr>
                <w:rFonts w:ascii="Times New Roman" w:hAnsi="Times New Roman" w:cs="Times New Roman"/>
                <w:szCs w:val="24"/>
              </w:rPr>
              <w:t xml:space="preserve">ith Intermediate-2 or </w:t>
            </w:r>
            <w:proofErr w:type="gramStart"/>
            <w:r w:rsidRPr="00CC1459">
              <w:rPr>
                <w:rFonts w:ascii="Times New Roman" w:hAnsi="Times New Roman" w:cs="Times New Roman"/>
                <w:szCs w:val="24"/>
              </w:rPr>
              <w:t>High Risk</w:t>
            </w:r>
            <w:proofErr w:type="gramEnd"/>
            <w:r w:rsidRPr="00CC1459">
              <w:rPr>
                <w:rFonts w:ascii="Times New Roman" w:hAnsi="Times New Roman" w:cs="Times New Roman"/>
                <w:szCs w:val="24"/>
              </w:rPr>
              <w:t xml:space="preserve"> Primary Myelofibrosis, Post-Polycythemia Vera Myelofibrosis, Post-Essential Thrombocythemia Myelofibrosis </w:t>
            </w:r>
            <w:r>
              <w:rPr>
                <w:rFonts w:ascii="Times New Roman" w:hAnsi="Times New Roman" w:cs="Times New Roman"/>
                <w:szCs w:val="24"/>
              </w:rPr>
              <w:t>w</w:t>
            </w:r>
            <w:r w:rsidRPr="00CC1459">
              <w:rPr>
                <w:rFonts w:ascii="Times New Roman" w:hAnsi="Times New Roman" w:cs="Times New Roman"/>
                <w:szCs w:val="24"/>
              </w:rPr>
              <w:t>ith Splenomegaly</w:t>
            </w:r>
          </w:p>
        </w:tc>
        <w:tc>
          <w:tcPr>
            <w:tcW w:w="1800" w:type="dxa"/>
          </w:tcPr>
          <w:p w:rsidR="004A3772" w:rsidRPr="00F10E3F" w:rsidRDefault="004A3772" w:rsidP="00A56D5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300, 400 and 500 mg QD</w:t>
            </w:r>
          </w:p>
        </w:tc>
        <w:tc>
          <w:tcPr>
            <w:tcW w:w="2970" w:type="dxa"/>
          </w:tcPr>
          <w:p w:rsidR="004A3772" w:rsidRPr="00F10E3F" w:rsidRDefault="004A3772" w:rsidP="00A56D59">
            <w:pPr>
              <w:rPr>
                <w:rFonts w:ascii="Times New Roman" w:hAnsi="Times New Roman" w:cs="Times New Roman"/>
                <w:szCs w:val="24"/>
              </w:rPr>
            </w:pPr>
            <w:r w:rsidRPr="00996682">
              <w:rPr>
                <w:rFonts w:ascii="Times New Roman" w:hAnsi="Times New Roman" w:cs="Times New Roman"/>
                <w:szCs w:val="24"/>
                <w:u w:val="single"/>
              </w:rPr>
              <w:t>Cycle 1</w:t>
            </w:r>
            <w:r>
              <w:rPr>
                <w:rFonts w:ascii="Times New Roman" w:hAnsi="Times New Roman" w:cs="Times New Roman"/>
                <w:szCs w:val="24"/>
                <w:u w:val="single"/>
              </w:rPr>
              <w:t>, Day 1</w:t>
            </w:r>
            <w:r w:rsidRPr="00F10E3F">
              <w:rPr>
                <w:rFonts w:ascii="Times New Roman" w:hAnsi="Times New Roman" w:cs="Times New Roman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Cs w:val="24"/>
              </w:rPr>
              <w:t>pre-dose and 1, 2, 3, 4 and 8 h post-dose</w:t>
            </w:r>
            <w:r w:rsidRPr="00F10E3F">
              <w:rPr>
                <w:rFonts w:ascii="Times New Roman" w:hAnsi="Times New Roman" w:cs="Times New Roman"/>
                <w:szCs w:val="24"/>
              </w:rPr>
              <w:t>;</w:t>
            </w:r>
          </w:p>
          <w:p w:rsidR="004A3772" w:rsidRPr="00F10E3F" w:rsidRDefault="004A3772" w:rsidP="00A56D59">
            <w:pPr>
              <w:rPr>
                <w:rFonts w:ascii="Times New Roman" w:hAnsi="Times New Roman" w:cs="Times New Roman"/>
                <w:szCs w:val="24"/>
              </w:rPr>
            </w:pPr>
            <w:r w:rsidRPr="00996682">
              <w:rPr>
                <w:rFonts w:ascii="Times New Roman" w:hAnsi="Times New Roman" w:cs="Times New Roman"/>
                <w:szCs w:val="24"/>
                <w:u w:val="single"/>
              </w:rPr>
              <w:t>Cycle 1</w:t>
            </w:r>
            <w:r>
              <w:rPr>
                <w:rFonts w:ascii="Times New Roman" w:hAnsi="Times New Roman" w:cs="Times New Roman"/>
                <w:szCs w:val="24"/>
                <w:u w:val="single"/>
              </w:rPr>
              <w:t>, Days 2, 8 and 15</w:t>
            </w:r>
            <w:r w:rsidRPr="00F10E3F">
              <w:rPr>
                <w:rFonts w:ascii="Times New Roman" w:hAnsi="Times New Roman" w:cs="Times New Roman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Cs w:val="24"/>
              </w:rPr>
              <w:t>pre-dose</w:t>
            </w:r>
            <w:r w:rsidRPr="00F10E3F">
              <w:rPr>
                <w:rFonts w:ascii="Times New Roman" w:hAnsi="Times New Roman" w:cs="Times New Roman"/>
                <w:szCs w:val="24"/>
              </w:rPr>
              <w:t>;</w:t>
            </w:r>
          </w:p>
          <w:p w:rsidR="004A3772" w:rsidRPr="00F10E3F" w:rsidRDefault="004A3772" w:rsidP="00A56D59">
            <w:pPr>
              <w:rPr>
                <w:rFonts w:ascii="Times New Roman" w:hAnsi="Times New Roman" w:cs="Times New Roman"/>
                <w:szCs w:val="24"/>
              </w:rPr>
            </w:pPr>
            <w:r w:rsidRPr="00996682">
              <w:rPr>
                <w:rFonts w:ascii="Times New Roman" w:hAnsi="Times New Roman" w:cs="Times New Roman"/>
                <w:szCs w:val="24"/>
                <w:u w:val="single"/>
              </w:rPr>
              <w:t xml:space="preserve">Cycle </w:t>
            </w:r>
            <w:r>
              <w:rPr>
                <w:rFonts w:ascii="Times New Roman" w:hAnsi="Times New Roman" w:cs="Times New Roman"/>
                <w:szCs w:val="24"/>
                <w:u w:val="single"/>
              </w:rPr>
              <w:t>2, Day 1</w:t>
            </w:r>
            <w:r w:rsidRPr="00F10E3F">
              <w:rPr>
                <w:rFonts w:ascii="Times New Roman" w:hAnsi="Times New Roman" w:cs="Times New Roman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Cs w:val="24"/>
              </w:rPr>
              <w:t>pre-dose and 1, 2, 3, 4 and 8 h post-dose</w:t>
            </w:r>
            <w:r w:rsidRPr="00F10E3F">
              <w:rPr>
                <w:rFonts w:ascii="Times New Roman" w:hAnsi="Times New Roman" w:cs="Times New Roman"/>
                <w:szCs w:val="24"/>
              </w:rPr>
              <w:t>;</w:t>
            </w:r>
          </w:p>
          <w:p w:rsidR="004A3772" w:rsidRPr="00F10E3F" w:rsidRDefault="004A3772" w:rsidP="00A56D59">
            <w:pPr>
              <w:rPr>
                <w:rFonts w:ascii="Times New Roman" w:hAnsi="Times New Roman" w:cs="Times New Roman"/>
                <w:szCs w:val="24"/>
              </w:rPr>
            </w:pPr>
            <w:r w:rsidRPr="00996682">
              <w:rPr>
                <w:rFonts w:ascii="Times New Roman" w:hAnsi="Times New Roman" w:cs="Times New Roman"/>
                <w:szCs w:val="24"/>
                <w:u w:val="single"/>
              </w:rPr>
              <w:t xml:space="preserve">Cycle </w:t>
            </w:r>
            <w:r>
              <w:rPr>
                <w:rFonts w:ascii="Times New Roman" w:hAnsi="Times New Roman" w:cs="Times New Roman"/>
                <w:szCs w:val="24"/>
                <w:u w:val="single"/>
              </w:rPr>
              <w:t>2, Day 2</w:t>
            </w:r>
            <w:r w:rsidRPr="00F10E3F">
              <w:rPr>
                <w:rFonts w:ascii="Times New Roman" w:hAnsi="Times New Roman" w:cs="Times New Roman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Cs w:val="24"/>
              </w:rPr>
              <w:t>pre-dose</w:t>
            </w:r>
            <w:r w:rsidRPr="00F10E3F">
              <w:rPr>
                <w:rFonts w:ascii="Times New Roman" w:hAnsi="Times New Roman" w:cs="Times New Roman"/>
                <w:szCs w:val="24"/>
              </w:rPr>
              <w:t>;</w:t>
            </w:r>
          </w:p>
          <w:p w:rsidR="004A3772" w:rsidRPr="00F10E3F" w:rsidRDefault="004A3772" w:rsidP="00A56D59">
            <w:pPr>
              <w:rPr>
                <w:rFonts w:ascii="Times New Roman" w:hAnsi="Times New Roman" w:cs="Times New Roman"/>
                <w:szCs w:val="24"/>
              </w:rPr>
            </w:pPr>
            <w:r w:rsidRPr="00996682">
              <w:rPr>
                <w:rFonts w:ascii="Times New Roman" w:hAnsi="Times New Roman" w:cs="Times New Roman"/>
                <w:szCs w:val="24"/>
                <w:u w:val="single"/>
              </w:rPr>
              <w:t xml:space="preserve">Cycle </w:t>
            </w:r>
            <w:r>
              <w:rPr>
                <w:rFonts w:ascii="Times New Roman" w:hAnsi="Times New Roman" w:cs="Times New Roman"/>
                <w:szCs w:val="24"/>
                <w:u w:val="single"/>
              </w:rPr>
              <w:t>3, Day 1</w:t>
            </w:r>
            <w:r w:rsidRPr="00F10E3F">
              <w:rPr>
                <w:rFonts w:ascii="Times New Roman" w:hAnsi="Times New Roman" w:cs="Times New Roman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Cs w:val="24"/>
              </w:rPr>
              <w:t>pre-dose</w:t>
            </w:r>
          </w:p>
        </w:tc>
        <w:tc>
          <w:tcPr>
            <w:tcW w:w="1350" w:type="dxa"/>
          </w:tcPr>
          <w:p w:rsidR="004A3772" w:rsidRPr="00F10E3F" w:rsidRDefault="004A3772" w:rsidP="00A56D5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1345" w:type="dxa"/>
          </w:tcPr>
          <w:p w:rsidR="004A3772" w:rsidRPr="00F10E3F" w:rsidRDefault="004A3772" w:rsidP="00A56D5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97</w:t>
            </w:r>
          </w:p>
        </w:tc>
      </w:tr>
      <w:tr w:rsidR="004A3772" w:rsidRPr="00F10E3F" w:rsidTr="00A56D59">
        <w:tc>
          <w:tcPr>
            <w:tcW w:w="5485" w:type="dxa"/>
          </w:tcPr>
          <w:p w:rsidR="004A3772" w:rsidRPr="00F10E3F" w:rsidRDefault="004A3772" w:rsidP="00A56D59">
            <w:pPr>
              <w:rPr>
                <w:rFonts w:ascii="Times New Roman" w:hAnsi="Times New Roman" w:cs="Times New Roman"/>
                <w:szCs w:val="24"/>
              </w:rPr>
            </w:pPr>
            <w:r w:rsidRPr="00830974">
              <w:rPr>
                <w:rFonts w:ascii="Times New Roman" w:hAnsi="Times New Roman" w:cs="Times New Roman"/>
                <w:i/>
                <w:szCs w:val="24"/>
                <w:u w:val="single"/>
              </w:rPr>
              <w:t>EFC12153</w:t>
            </w:r>
            <w:r w:rsidRPr="00F10E3F">
              <w:rPr>
                <w:rFonts w:ascii="Times New Roman" w:hAnsi="Times New Roman" w:cs="Times New Roman"/>
                <w:szCs w:val="24"/>
              </w:rPr>
              <w:t xml:space="preserve">: </w:t>
            </w:r>
            <w:r w:rsidRPr="00830974">
              <w:rPr>
                <w:rFonts w:ascii="Times New Roman" w:hAnsi="Times New Roman" w:cs="Times New Roman"/>
                <w:szCs w:val="24"/>
              </w:rPr>
              <w:t xml:space="preserve">A Phase 3, Multicenter, Randomized, Double-Blind, Placebo-Controlled, 3-Arm Study of </w:t>
            </w:r>
            <w:bookmarkStart w:id="0" w:name="_Hlk2153415"/>
            <w:r w:rsidRPr="00830974">
              <w:rPr>
                <w:rFonts w:ascii="Times New Roman" w:hAnsi="Times New Roman" w:cs="Times New Roman"/>
                <w:szCs w:val="24"/>
              </w:rPr>
              <w:t xml:space="preserve">SAR302503 </w:t>
            </w:r>
            <w:bookmarkEnd w:id="0"/>
            <w:r w:rsidRPr="00830974">
              <w:rPr>
                <w:rFonts w:ascii="Times New Roman" w:hAnsi="Times New Roman" w:cs="Times New Roman"/>
                <w:szCs w:val="24"/>
              </w:rPr>
              <w:t xml:space="preserve">in Patients </w:t>
            </w:r>
            <w:r>
              <w:rPr>
                <w:rFonts w:ascii="Times New Roman" w:hAnsi="Times New Roman" w:cs="Times New Roman"/>
                <w:szCs w:val="24"/>
              </w:rPr>
              <w:t>w</w:t>
            </w:r>
            <w:r w:rsidRPr="00830974">
              <w:rPr>
                <w:rFonts w:ascii="Times New Roman" w:hAnsi="Times New Roman" w:cs="Times New Roman"/>
                <w:szCs w:val="24"/>
              </w:rPr>
              <w:t xml:space="preserve">ith Intermediate-2 or High-Risk Primary Myelofibrosis, Post-Polycythemia Vera Myelofibrosis, or Post-Essential Thrombocythemia Myelofibrosis </w:t>
            </w:r>
            <w:r>
              <w:rPr>
                <w:rFonts w:ascii="Times New Roman" w:hAnsi="Times New Roman" w:cs="Times New Roman"/>
                <w:szCs w:val="24"/>
              </w:rPr>
              <w:t>w</w:t>
            </w:r>
            <w:r w:rsidRPr="00830974">
              <w:rPr>
                <w:rFonts w:ascii="Times New Roman" w:hAnsi="Times New Roman" w:cs="Times New Roman"/>
                <w:szCs w:val="24"/>
              </w:rPr>
              <w:t>ith Splenomegaly</w:t>
            </w:r>
          </w:p>
        </w:tc>
        <w:tc>
          <w:tcPr>
            <w:tcW w:w="1800" w:type="dxa"/>
          </w:tcPr>
          <w:p w:rsidR="004A3772" w:rsidRPr="00F10E3F" w:rsidRDefault="004A3772" w:rsidP="00A56D59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400, 500mg and placebo QD</w:t>
            </w:r>
          </w:p>
        </w:tc>
        <w:tc>
          <w:tcPr>
            <w:tcW w:w="2970" w:type="dxa"/>
          </w:tcPr>
          <w:p w:rsidR="004A3772" w:rsidRPr="00F10E3F" w:rsidRDefault="004A3772" w:rsidP="00A56D59">
            <w:pPr>
              <w:rPr>
                <w:rFonts w:ascii="Times New Roman" w:hAnsi="Times New Roman" w:cs="Times New Roman"/>
                <w:szCs w:val="24"/>
              </w:rPr>
            </w:pPr>
            <w:r w:rsidRPr="00996682">
              <w:rPr>
                <w:rFonts w:ascii="Times New Roman" w:hAnsi="Times New Roman" w:cs="Times New Roman"/>
                <w:szCs w:val="24"/>
                <w:u w:val="single"/>
              </w:rPr>
              <w:t>Cycle</w:t>
            </w:r>
            <w:r>
              <w:rPr>
                <w:rFonts w:ascii="Times New Roman" w:hAnsi="Times New Roman" w:cs="Times New Roman"/>
                <w:szCs w:val="24"/>
                <w:u w:val="single"/>
              </w:rPr>
              <w:t>s</w:t>
            </w:r>
            <w:r w:rsidRPr="00996682">
              <w:rPr>
                <w:rFonts w:ascii="Times New Roman" w:hAnsi="Times New Roman" w:cs="Times New Roman"/>
                <w:szCs w:val="24"/>
                <w:u w:val="single"/>
              </w:rPr>
              <w:t xml:space="preserve"> 1</w:t>
            </w:r>
            <w:r>
              <w:rPr>
                <w:rFonts w:ascii="Times New Roman" w:hAnsi="Times New Roman" w:cs="Times New Roman"/>
                <w:szCs w:val="24"/>
                <w:u w:val="single"/>
              </w:rPr>
              <w:t xml:space="preserve"> and 2, Day 1</w:t>
            </w:r>
            <w:r w:rsidRPr="00F10E3F">
              <w:rPr>
                <w:rFonts w:ascii="Times New Roman" w:hAnsi="Times New Roman" w:cs="Times New Roman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Cs w:val="24"/>
              </w:rPr>
              <w:t>pre-dose and up to 4 h post-dose</w:t>
            </w:r>
          </w:p>
        </w:tc>
        <w:tc>
          <w:tcPr>
            <w:tcW w:w="1350" w:type="dxa"/>
          </w:tcPr>
          <w:p w:rsidR="004A3772" w:rsidRPr="00F10E3F" w:rsidRDefault="004A3772" w:rsidP="00A56D5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186</w:t>
            </w:r>
          </w:p>
        </w:tc>
        <w:tc>
          <w:tcPr>
            <w:tcW w:w="1345" w:type="dxa"/>
          </w:tcPr>
          <w:p w:rsidR="004A3772" w:rsidRPr="00F10E3F" w:rsidRDefault="004A3772" w:rsidP="00A56D5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491</w:t>
            </w:r>
          </w:p>
        </w:tc>
      </w:tr>
    </w:tbl>
    <w:p w:rsidR="00F92069" w:rsidRDefault="004A3772" w:rsidP="004A3772">
      <w:pPr>
        <w:spacing w:line="240" w:lineRule="auto"/>
      </w:pPr>
      <w:proofErr w:type="spellStart"/>
      <w:r w:rsidRPr="00511B14">
        <w:rPr>
          <w:rFonts w:ascii="Times New Roman" w:hAnsi="Times New Roman" w:cs="Times New Roman"/>
          <w:szCs w:val="24"/>
        </w:rPr>
        <w:t>PopPK</w:t>
      </w:r>
      <w:proofErr w:type="spellEnd"/>
      <w:r w:rsidRPr="00511B14">
        <w:rPr>
          <w:rFonts w:ascii="Times New Roman" w:hAnsi="Times New Roman" w:cs="Times New Roman"/>
          <w:szCs w:val="24"/>
        </w:rPr>
        <w:t>, population pharmacokinetics; Q</w:t>
      </w:r>
      <w:r>
        <w:rPr>
          <w:rFonts w:ascii="Times New Roman" w:hAnsi="Times New Roman" w:cs="Times New Roman"/>
          <w:szCs w:val="24"/>
        </w:rPr>
        <w:t>D</w:t>
      </w:r>
      <w:r w:rsidRPr="00511B14">
        <w:rPr>
          <w:rFonts w:ascii="Times New Roman" w:hAnsi="Times New Roman" w:cs="Times New Roman"/>
          <w:szCs w:val="24"/>
        </w:rPr>
        <w:t xml:space="preserve">, </w:t>
      </w:r>
      <w:r>
        <w:rPr>
          <w:rFonts w:ascii="Times New Roman" w:hAnsi="Times New Roman" w:cs="Times New Roman"/>
          <w:szCs w:val="24"/>
        </w:rPr>
        <w:t xml:space="preserve">once daily; </w:t>
      </w:r>
      <w:r w:rsidRPr="00DB0178">
        <w:rPr>
          <w:rFonts w:ascii="Times New Roman" w:hAnsi="Times New Roman" w:cs="Times New Roman"/>
          <w:szCs w:val="24"/>
        </w:rPr>
        <w:t>SAR302503</w:t>
      </w:r>
      <w:r>
        <w:rPr>
          <w:rFonts w:ascii="Times New Roman" w:hAnsi="Times New Roman" w:cs="Times New Roman"/>
          <w:szCs w:val="24"/>
        </w:rPr>
        <w:t xml:space="preserve">, fedratinib; </w:t>
      </w:r>
      <w:r w:rsidRPr="00DB0178">
        <w:rPr>
          <w:rFonts w:ascii="Times New Roman" w:hAnsi="Times New Roman" w:cs="Times New Roman"/>
          <w:szCs w:val="24"/>
        </w:rPr>
        <w:t>TG101348</w:t>
      </w:r>
      <w:r>
        <w:rPr>
          <w:rFonts w:ascii="Times New Roman" w:hAnsi="Times New Roman" w:cs="Times New Roman"/>
          <w:szCs w:val="24"/>
        </w:rPr>
        <w:t>, fedrat</w:t>
      </w:r>
      <w:r>
        <w:rPr>
          <w:rFonts w:ascii="Times New Roman" w:hAnsi="Times New Roman" w:cs="Times New Roman"/>
          <w:szCs w:val="24"/>
        </w:rPr>
        <w:t>inib</w:t>
      </w:r>
      <w:bookmarkStart w:id="1" w:name="_GoBack"/>
      <w:bookmarkEnd w:id="1"/>
    </w:p>
    <w:sectPr w:rsidR="00F92069" w:rsidSect="004A377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Yu Gothic Light">
    <w:altName w:val="游ゴシック Light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052FE5"/>
    <w:multiLevelType w:val="hybridMultilevel"/>
    <w:tmpl w:val="3CB0BA36"/>
    <w:lvl w:ilvl="0" w:tplc="0409000F">
      <w:start w:val="1"/>
      <w:numFmt w:val="decimal"/>
      <w:lvlText w:val="%1."/>
      <w:lvlJc w:val="left"/>
      <w:pPr>
        <w:ind w:left="600" w:hanging="360"/>
      </w:p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772"/>
    <w:rsid w:val="004A3772"/>
    <w:rsid w:val="00F92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F721AA"/>
  <w15:chartTrackingRefBased/>
  <w15:docId w15:val="{B8387CBC-E0C7-47A8-B700-2E829A753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A37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37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A377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yali@celgene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499</Words>
  <Characters>2850</Characters>
  <Application>Microsoft Office Word</Application>
  <DocSecurity>0</DocSecurity>
  <Lines>23</Lines>
  <Paragraphs>6</Paragraphs>
  <ScaleCrop>false</ScaleCrop>
  <Company/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 Ogasawara</dc:creator>
  <cp:keywords/>
  <dc:description/>
  <cp:lastModifiedBy>Ken Ogasawara</cp:lastModifiedBy>
  <cp:revision>1</cp:revision>
  <dcterms:created xsi:type="dcterms:W3CDTF">2019-06-08T18:45:00Z</dcterms:created>
  <dcterms:modified xsi:type="dcterms:W3CDTF">2019-06-08T18:52:00Z</dcterms:modified>
</cp:coreProperties>
</file>