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71" w:rsidRDefault="00E92171" w:rsidP="00E92171">
      <w:pPr>
        <w:pStyle w:val="Heading1"/>
        <w:spacing w:line="360" w:lineRule="auto"/>
        <w:rPr>
          <w:rFonts w:ascii="Times New Roman" w:hAnsi="Times New Roman"/>
          <w:sz w:val="28"/>
          <w:szCs w:val="28"/>
        </w:rPr>
      </w:pPr>
      <w:r w:rsidRPr="007066C6">
        <w:rPr>
          <w:rFonts w:ascii="Times New Roman" w:hAnsi="Times New Roman"/>
          <w:sz w:val="28"/>
          <w:szCs w:val="28"/>
        </w:rPr>
        <w:t>SUPPLEMENTARY MATERIAL</w:t>
      </w:r>
      <w:bookmarkStart w:id="0" w:name="_GoBack"/>
      <w:bookmarkEnd w:id="0"/>
    </w:p>
    <w:p w:rsidR="00E92171" w:rsidRPr="00386A28" w:rsidRDefault="00E92171" w:rsidP="00E92171">
      <w:pPr>
        <w:pStyle w:val="Caption"/>
        <w:spacing w:line="360" w:lineRule="auto"/>
        <w:ind w:left="0" w:firstLine="0"/>
      </w:pPr>
      <w:bookmarkStart w:id="1" w:name="_Ref1941733"/>
      <w:bookmarkStart w:id="2" w:name="_Toc36599423"/>
      <w:r w:rsidRPr="00386A28">
        <w:t>Table 1</w:t>
      </w:r>
      <w:r w:rsidRPr="00386A28">
        <w:tab/>
        <w:t xml:space="preserve">Summary of </w:t>
      </w:r>
      <w:r>
        <w:t>s</w:t>
      </w:r>
      <w:r w:rsidRPr="00386A28">
        <w:t xml:space="preserve">tudies </w:t>
      </w:r>
      <w:r>
        <w:t>i</w:t>
      </w:r>
      <w:r w:rsidRPr="00386A28">
        <w:t xml:space="preserve">ncluded in the </w:t>
      </w:r>
      <w:r>
        <w:t>p</w:t>
      </w:r>
      <w:r w:rsidRPr="00386A28">
        <w:t xml:space="preserve">opulation PK </w:t>
      </w:r>
      <w:r>
        <w:t>a</w:t>
      </w:r>
      <w:r w:rsidRPr="00386A28">
        <w:t>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577"/>
        <w:gridCol w:w="445"/>
        <w:gridCol w:w="2303"/>
        <w:gridCol w:w="3642"/>
        <w:gridCol w:w="3250"/>
      </w:tblGrid>
      <w:tr w:rsidR="00E92171" w:rsidRPr="0042020F" w:rsidTr="00FE50E1">
        <w:trPr>
          <w:trHeight w:val="378"/>
          <w:tblHeader/>
        </w:trPr>
        <w:tc>
          <w:tcPr>
            <w:tcW w:w="669" w:type="pct"/>
            <w:shd w:val="clear" w:color="auto" w:fill="auto"/>
            <w:vAlign w:val="center"/>
          </w:tcPr>
          <w:p w:rsidR="00E92171" w:rsidRPr="0042020F" w:rsidRDefault="00E92171" w:rsidP="00FE50E1">
            <w:pPr>
              <w:tabs>
                <w:tab w:val="left" w:pos="0"/>
              </w:tabs>
              <w:jc w:val="center"/>
              <w:rPr>
                <w:rFonts w:ascii="Times New Roman" w:hAnsi="Times New Roman" w:cs="Times New Roman"/>
                <w:b/>
                <w:sz w:val="20"/>
                <w:szCs w:val="20"/>
              </w:rPr>
            </w:pPr>
            <w:r>
              <w:rPr>
                <w:rFonts w:ascii="Times New Roman" w:hAnsi="Times New Roman" w:cs="Times New Roman"/>
                <w:b/>
                <w:sz w:val="20"/>
                <w:szCs w:val="20"/>
              </w:rPr>
              <w:t>Trial</w:t>
            </w:r>
            <w:r w:rsidRPr="0042020F">
              <w:rPr>
                <w:rFonts w:ascii="Times New Roman" w:hAnsi="Times New Roman" w:cs="Times New Roman"/>
                <w:b/>
                <w:sz w:val="20"/>
                <w:szCs w:val="20"/>
              </w:rPr>
              <w:t xml:space="preserve"> No.</w:t>
            </w:r>
          </w:p>
        </w:tc>
        <w:tc>
          <w:tcPr>
            <w:tcW w:w="609" w:type="pct"/>
            <w:shd w:val="clear" w:color="auto" w:fill="auto"/>
            <w:vAlign w:val="center"/>
          </w:tcPr>
          <w:p w:rsidR="00E92171" w:rsidRPr="0042020F" w:rsidDel="00B93B3A" w:rsidRDefault="00E92171" w:rsidP="00FE50E1">
            <w:pPr>
              <w:tabs>
                <w:tab w:val="left" w:pos="0"/>
              </w:tabs>
              <w:jc w:val="center"/>
              <w:rPr>
                <w:rFonts w:ascii="Times New Roman" w:hAnsi="Times New Roman" w:cs="Times New Roman"/>
                <w:b/>
                <w:sz w:val="20"/>
                <w:szCs w:val="20"/>
              </w:rPr>
            </w:pPr>
            <w:r w:rsidRPr="0042020F">
              <w:rPr>
                <w:rFonts w:ascii="Times New Roman" w:hAnsi="Times New Roman" w:cs="Times New Roman"/>
                <w:b/>
                <w:sz w:val="20"/>
                <w:szCs w:val="20"/>
              </w:rPr>
              <w:t>Dose Regimen</w:t>
            </w:r>
          </w:p>
        </w:tc>
        <w:tc>
          <w:tcPr>
            <w:tcW w:w="172" w:type="pct"/>
            <w:shd w:val="clear" w:color="auto" w:fill="auto"/>
            <w:vAlign w:val="center"/>
          </w:tcPr>
          <w:p w:rsidR="00E92171" w:rsidRPr="0042020F" w:rsidRDefault="00E92171" w:rsidP="00FE50E1">
            <w:pPr>
              <w:tabs>
                <w:tab w:val="left" w:pos="0"/>
              </w:tabs>
              <w:jc w:val="center"/>
              <w:rPr>
                <w:rFonts w:ascii="Times New Roman" w:hAnsi="Times New Roman" w:cs="Times New Roman"/>
                <w:b/>
                <w:sz w:val="20"/>
                <w:szCs w:val="20"/>
              </w:rPr>
            </w:pPr>
            <w:r w:rsidRPr="0042020F">
              <w:rPr>
                <w:rFonts w:ascii="Times New Roman" w:hAnsi="Times New Roman" w:cs="Times New Roman"/>
                <w:b/>
                <w:bCs/>
                <w:sz w:val="20"/>
                <w:szCs w:val="20"/>
              </w:rPr>
              <w:t>N</w:t>
            </w:r>
          </w:p>
        </w:tc>
        <w:tc>
          <w:tcPr>
            <w:tcW w:w="889" w:type="pct"/>
            <w:shd w:val="clear" w:color="auto" w:fill="auto"/>
            <w:vAlign w:val="center"/>
          </w:tcPr>
          <w:p w:rsidR="00E92171" w:rsidRPr="0042020F" w:rsidRDefault="00E92171" w:rsidP="00FE50E1">
            <w:pPr>
              <w:tabs>
                <w:tab w:val="left" w:pos="0"/>
              </w:tabs>
              <w:jc w:val="center"/>
              <w:rPr>
                <w:rFonts w:ascii="Times New Roman" w:hAnsi="Times New Roman" w:cs="Times New Roman"/>
                <w:b/>
                <w:bCs/>
                <w:sz w:val="20"/>
                <w:szCs w:val="20"/>
              </w:rPr>
            </w:pPr>
            <w:r>
              <w:rPr>
                <w:rFonts w:ascii="Times New Roman" w:hAnsi="Times New Roman" w:cs="Times New Roman"/>
                <w:b/>
                <w:bCs/>
                <w:sz w:val="20"/>
                <w:szCs w:val="20"/>
              </w:rPr>
              <w:t>Trial</w:t>
            </w:r>
            <w:r w:rsidRPr="0042020F">
              <w:rPr>
                <w:rFonts w:ascii="Times New Roman" w:hAnsi="Times New Roman" w:cs="Times New Roman"/>
                <w:b/>
                <w:bCs/>
                <w:sz w:val="20"/>
                <w:szCs w:val="20"/>
              </w:rPr>
              <w:t xml:space="preserve"> Description</w:t>
            </w:r>
          </w:p>
        </w:tc>
        <w:tc>
          <w:tcPr>
            <w:tcW w:w="1406" w:type="pct"/>
            <w:shd w:val="clear" w:color="auto" w:fill="auto"/>
            <w:vAlign w:val="center"/>
          </w:tcPr>
          <w:p w:rsidR="00E92171" w:rsidRPr="0042020F" w:rsidRDefault="00E92171" w:rsidP="00FE50E1">
            <w:pPr>
              <w:tabs>
                <w:tab w:val="left" w:pos="0"/>
              </w:tabs>
              <w:jc w:val="center"/>
              <w:rPr>
                <w:rFonts w:ascii="Times New Roman" w:hAnsi="Times New Roman" w:cs="Times New Roman"/>
                <w:b/>
                <w:sz w:val="20"/>
                <w:szCs w:val="20"/>
              </w:rPr>
            </w:pPr>
            <w:r w:rsidRPr="0042020F">
              <w:rPr>
                <w:rFonts w:ascii="Times New Roman" w:hAnsi="Times New Roman" w:cs="Times New Roman"/>
                <w:b/>
                <w:sz w:val="20"/>
                <w:szCs w:val="20"/>
              </w:rPr>
              <w:t>PK Sampling Design</w:t>
            </w:r>
          </w:p>
        </w:tc>
        <w:tc>
          <w:tcPr>
            <w:tcW w:w="1256" w:type="pct"/>
          </w:tcPr>
          <w:p w:rsidR="00E92171" w:rsidRPr="0042020F" w:rsidRDefault="00E92171" w:rsidP="00FE50E1">
            <w:pPr>
              <w:tabs>
                <w:tab w:val="left" w:pos="0"/>
              </w:tabs>
              <w:jc w:val="center"/>
              <w:rPr>
                <w:rFonts w:ascii="Times New Roman" w:hAnsi="Times New Roman" w:cs="Times New Roman"/>
                <w:b/>
                <w:sz w:val="20"/>
                <w:szCs w:val="20"/>
              </w:rPr>
            </w:pPr>
            <w:r>
              <w:rPr>
                <w:rFonts w:ascii="Times New Roman" w:hAnsi="Times New Roman" w:cs="Times New Roman"/>
                <w:b/>
                <w:sz w:val="20"/>
                <w:szCs w:val="20"/>
              </w:rPr>
              <w:t>ADA Sampling Design</w:t>
            </w:r>
          </w:p>
        </w:tc>
      </w:tr>
      <w:tr w:rsidR="00E92171" w:rsidRPr="0042020F" w:rsidTr="00FE50E1">
        <w:trPr>
          <w:trHeight w:val="1478"/>
        </w:trPr>
        <w:tc>
          <w:tcPr>
            <w:tcW w:w="669" w:type="pct"/>
            <w:shd w:val="clear" w:color="auto" w:fill="auto"/>
            <w:vAlign w:val="center"/>
          </w:tcPr>
          <w:p w:rsidR="00E92171" w:rsidRPr="0042020F" w:rsidRDefault="00E92171" w:rsidP="00FE50E1">
            <w:pPr>
              <w:tabs>
                <w:tab w:val="left" w:pos="0"/>
              </w:tabs>
              <w:ind w:right="72"/>
              <w:jc w:val="center"/>
              <w:rPr>
                <w:rFonts w:ascii="Times New Roman" w:hAnsi="Times New Roman" w:cs="Times New Roman"/>
                <w:sz w:val="20"/>
                <w:szCs w:val="20"/>
              </w:rPr>
            </w:pPr>
            <w:r w:rsidRPr="0042020F">
              <w:rPr>
                <w:rFonts w:ascii="Times New Roman" w:hAnsi="Times New Roman" w:cs="Times New Roman"/>
                <w:sz w:val="20"/>
                <w:szCs w:val="20"/>
              </w:rPr>
              <w:t>FPA144-001</w:t>
            </w:r>
            <w:r>
              <w:rPr>
                <w:rFonts w:ascii="Times New Roman" w:hAnsi="Times New Roman" w:cs="Times New Roman"/>
                <w:sz w:val="20"/>
                <w:szCs w:val="20"/>
              </w:rPr>
              <w:t xml:space="preserve"> (</w:t>
            </w:r>
            <w:r w:rsidRPr="00EA5B71">
              <w:rPr>
                <w:rFonts w:ascii="Times New Roman" w:hAnsi="Times New Roman" w:cs="Times New Roman"/>
                <w:sz w:val="20"/>
                <w:szCs w:val="20"/>
              </w:rPr>
              <w:t>NCT02318329</w:t>
            </w:r>
            <w:r>
              <w:rPr>
                <w:rFonts w:ascii="Times New Roman" w:hAnsi="Times New Roman" w:cs="Times New Roman"/>
                <w:sz w:val="20"/>
                <w:szCs w:val="20"/>
              </w:rPr>
              <w:t>)</w:t>
            </w:r>
          </w:p>
        </w:tc>
        <w:tc>
          <w:tcPr>
            <w:tcW w:w="609" w:type="pct"/>
          </w:tcPr>
          <w:p w:rsidR="00E92171" w:rsidRPr="0042020F" w:rsidRDefault="00E92171" w:rsidP="00FE50E1">
            <w:pPr>
              <w:tabs>
                <w:tab w:val="left" w:pos="0"/>
              </w:tabs>
              <w:jc w:val="center"/>
              <w:rPr>
                <w:rFonts w:ascii="Times New Roman" w:hAnsi="Times New Roman" w:cs="Times New Roman"/>
                <w:sz w:val="20"/>
                <w:szCs w:val="20"/>
              </w:rPr>
            </w:pPr>
            <w:r w:rsidRPr="0042020F">
              <w:rPr>
                <w:rFonts w:ascii="Times New Roman" w:hAnsi="Times New Roman" w:cs="Times New Roman"/>
                <w:sz w:val="20"/>
                <w:szCs w:val="20"/>
              </w:rPr>
              <w:t>Every two weeks in 28-day cycles at multiple dose levels</w:t>
            </w:r>
            <w:r>
              <w:rPr>
                <w:rFonts w:ascii="Times New Roman" w:hAnsi="Times New Roman" w:cs="Times New Roman"/>
                <w:sz w:val="20"/>
                <w:szCs w:val="20"/>
              </w:rPr>
              <w:t xml:space="preserve"> (0.3 mg/kg, 1 mg/kg, 3 mg/kg, 6 mg/kg, 10 mg/kg, and 15 mg/kg)</w:t>
            </w:r>
          </w:p>
        </w:tc>
        <w:tc>
          <w:tcPr>
            <w:tcW w:w="172" w:type="pct"/>
          </w:tcPr>
          <w:p w:rsidR="00E92171" w:rsidRPr="0042020F" w:rsidRDefault="00E92171" w:rsidP="00FE50E1">
            <w:pPr>
              <w:tabs>
                <w:tab w:val="left" w:pos="0"/>
              </w:tabs>
              <w:jc w:val="center"/>
              <w:rPr>
                <w:rFonts w:ascii="Times New Roman" w:hAnsi="Times New Roman" w:cs="Times New Roman"/>
                <w:sz w:val="20"/>
                <w:szCs w:val="20"/>
              </w:rPr>
            </w:pPr>
            <w:r>
              <w:rPr>
                <w:rFonts w:ascii="Times New Roman" w:hAnsi="Times New Roman" w:cs="Times New Roman"/>
                <w:sz w:val="20"/>
                <w:szCs w:val="20"/>
              </w:rPr>
              <w:t>79</w:t>
            </w:r>
          </w:p>
        </w:tc>
        <w:tc>
          <w:tcPr>
            <w:tcW w:w="889" w:type="pct"/>
            <w:shd w:val="clear" w:color="auto" w:fill="auto"/>
          </w:tcPr>
          <w:p w:rsidR="00E92171" w:rsidRPr="0042020F" w:rsidRDefault="00E92171" w:rsidP="00FE50E1">
            <w:pPr>
              <w:tabs>
                <w:tab w:val="left" w:pos="0"/>
              </w:tabs>
              <w:jc w:val="center"/>
              <w:rPr>
                <w:rFonts w:ascii="Times New Roman" w:hAnsi="Times New Roman" w:cs="Times New Roman"/>
                <w:sz w:val="20"/>
                <w:szCs w:val="20"/>
              </w:rPr>
            </w:pPr>
            <w:r w:rsidRPr="0042020F">
              <w:rPr>
                <w:rFonts w:ascii="Times New Roman" w:hAnsi="Times New Roman" w:cs="Times New Roman"/>
                <w:sz w:val="20"/>
                <w:szCs w:val="20"/>
              </w:rPr>
              <w:t>A Phase 1 Open-Label, Dose-Finding Study</w:t>
            </w:r>
            <w:r>
              <w:rPr>
                <w:rFonts w:ascii="Times New Roman" w:hAnsi="Times New Roman" w:cs="Times New Roman"/>
                <w:sz w:val="20"/>
                <w:szCs w:val="20"/>
              </w:rPr>
              <w:t xml:space="preserve"> </w:t>
            </w:r>
            <w:r w:rsidRPr="0042020F">
              <w:rPr>
                <w:rFonts w:ascii="Times New Roman" w:hAnsi="Times New Roman" w:cs="Times New Roman"/>
                <w:sz w:val="20"/>
                <w:szCs w:val="20"/>
              </w:rPr>
              <w:t>Evaluating Safety and Pharmacokinetics of FPA144</w:t>
            </w:r>
            <w:r>
              <w:rPr>
                <w:rFonts w:ascii="Times New Roman" w:hAnsi="Times New Roman" w:cs="Times New Roman"/>
                <w:sz w:val="20"/>
                <w:szCs w:val="20"/>
              </w:rPr>
              <w:t xml:space="preserve"> </w:t>
            </w:r>
            <w:r w:rsidRPr="0042020F">
              <w:rPr>
                <w:rFonts w:ascii="Times New Roman" w:hAnsi="Times New Roman" w:cs="Times New Roman"/>
                <w:sz w:val="20"/>
                <w:szCs w:val="20"/>
              </w:rPr>
              <w:t>in Patients with Advanced Solid Tumors</w:t>
            </w:r>
          </w:p>
        </w:tc>
        <w:tc>
          <w:tcPr>
            <w:tcW w:w="1406" w:type="pct"/>
          </w:tcPr>
          <w:p w:rsidR="00E92171" w:rsidRPr="0042020F" w:rsidRDefault="00E92171" w:rsidP="00FE50E1">
            <w:pPr>
              <w:tabs>
                <w:tab w:val="left" w:pos="0"/>
              </w:tabs>
              <w:rPr>
                <w:rFonts w:ascii="Times New Roman" w:hAnsi="Times New Roman" w:cs="Times New Roman"/>
                <w:sz w:val="20"/>
                <w:szCs w:val="20"/>
              </w:rPr>
            </w:pPr>
            <w:r>
              <w:rPr>
                <w:rFonts w:ascii="Times New Roman" w:hAnsi="Times New Roman" w:cs="Times New Roman"/>
                <w:sz w:val="20"/>
                <w:szCs w:val="20"/>
              </w:rPr>
              <w:t xml:space="preserve">Parts 1A and 1B: Rich sampling with </w:t>
            </w:r>
            <w:r>
              <w:rPr>
                <w:rFonts w:ascii="Calibri" w:hAnsi="Calibri" w:cs="Calibri"/>
                <w:sz w:val="20"/>
                <w:szCs w:val="20"/>
              </w:rPr>
              <w:t>≤</w:t>
            </w:r>
            <w:r>
              <w:rPr>
                <w:rFonts w:ascii="Times New Roman" w:hAnsi="Times New Roman" w:cs="Times New Roman"/>
                <w:sz w:val="20"/>
                <w:szCs w:val="20"/>
              </w:rPr>
              <w:t xml:space="preserve">9 samples for Cycle 1 and sparse sampling for other cycles. Part 2: rich sampling with </w:t>
            </w:r>
            <w:r>
              <w:rPr>
                <w:rFonts w:ascii="Calibri" w:hAnsi="Calibri" w:cs="Calibri"/>
                <w:sz w:val="20"/>
                <w:szCs w:val="20"/>
              </w:rPr>
              <w:t>≤</w:t>
            </w:r>
            <w:r>
              <w:rPr>
                <w:rFonts w:ascii="Times New Roman" w:hAnsi="Times New Roman" w:cs="Times New Roman"/>
                <w:sz w:val="20"/>
                <w:szCs w:val="20"/>
              </w:rPr>
              <w:t>5 samples for Cycle 1 and sparse sampling for other cycles.</w:t>
            </w:r>
          </w:p>
        </w:tc>
        <w:tc>
          <w:tcPr>
            <w:tcW w:w="1256" w:type="pct"/>
          </w:tcPr>
          <w:p w:rsidR="00E92171" w:rsidRDefault="00E92171" w:rsidP="00FE50E1">
            <w:pPr>
              <w:tabs>
                <w:tab w:val="left" w:pos="0"/>
              </w:tabs>
              <w:rPr>
                <w:rFonts w:ascii="Times New Roman" w:hAnsi="Times New Roman" w:cs="Times New Roman"/>
                <w:sz w:val="20"/>
                <w:szCs w:val="20"/>
              </w:rPr>
            </w:pPr>
            <w:r>
              <w:rPr>
                <w:rFonts w:ascii="Times New Roman" w:hAnsi="Times New Roman" w:cs="Times New Roman"/>
                <w:sz w:val="20"/>
                <w:szCs w:val="20"/>
              </w:rPr>
              <w:t>Anti-drug antibody samples were collected prior to dosing on Day 1 of Cycles 1 to 5, every other cycle after Cycle 5, and at the EOT.</w:t>
            </w:r>
          </w:p>
        </w:tc>
      </w:tr>
      <w:tr w:rsidR="00E92171" w:rsidRPr="0042020F" w:rsidTr="00FE50E1">
        <w:trPr>
          <w:trHeight w:val="575"/>
        </w:trPr>
        <w:tc>
          <w:tcPr>
            <w:tcW w:w="669" w:type="pct"/>
            <w:shd w:val="clear" w:color="auto" w:fill="auto"/>
            <w:vAlign w:val="center"/>
          </w:tcPr>
          <w:p w:rsidR="00E92171" w:rsidRPr="0042020F" w:rsidRDefault="00E92171" w:rsidP="00FE50E1">
            <w:pPr>
              <w:tabs>
                <w:tab w:val="left" w:pos="0"/>
              </w:tabs>
              <w:ind w:right="72"/>
              <w:jc w:val="center"/>
              <w:rPr>
                <w:rFonts w:ascii="Times New Roman" w:hAnsi="Times New Roman" w:cs="Times New Roman"/>
                <w:sz w:val="20"/>
                <w:szCs w:val="20"/>
              </w:rPr>
            </w:pPr>
            <w:r w:rsidRPr="0042020F">
              <w:rPr>
                <w:rFonts w:ascii="Times New Roman" w:hAnsi="Times New Roman" w:cs="Times New Roman"/>
                <w:sz w:val="20"/>
                <w:szCs w:val="20"/>
              </w:rPr>
              <w:t>FPA144-002</w:t>
            </w:r>
          </w:p>
        </w:tc>
        <w:tc>
          <w:tcPr>
            <w:tcW w:w="609" w:type="pct"/>
          </w:tcPr>
          <w:p w:rsidR="00E92171" w:rsidRPr="0042020F" w:rsidRDefault="00E92171" w:rsidP="00FE50E1">
            <w:pPr>
              <w:tabs>
                <w:tab w:val="left" w:pos="0"/>
              </w:tabs>
              <w:jc w:val="center"/>
              <w:rPr>
                <w:rFonts w:ascii="Times New Roman" w:hAnsi="Times New Roman" w:cs="Times New Roman"/>
                <w:sz w:val="20"/>
                <w:szCs w:val="20"/>
              </w:rPr>
            </w:pPr>
            <w:r w:rsidRPr="0042020F">
              <w:rPr>
                <w:rFonts w:ascii="Times New Roman" w:hAnsi="Times New Roman" w:cs="Times New Roman"/>
                <w:sz w:val="20"/>
                <w:szCs w:val="20"/>
              </w:rPr>
              <w:t>Every two weeks in 28-day cycles at 2 dose levels</w:t>
            </w:r>
            <w:r>
              <w:rPr>
                <w:rFonts w:ascii="Times New Roman" w:hAnsi="Times New Roman" w:cs="Times New Roman"/>
                <w:sz w:val="20"/>
                <w:szCs w:val="20"/>
              </w:rPr>
              <w:t xml:space="preserve"> (6 mg/kg and 15 mg/kg)</w:t>
            </w:r>
          </w:p>
        </w:tc>
        <w:tc>
          <w:tcPr>
            <w:tcW w:w="172" w:type="pct"/>
          </w:tcPr>
          <w:p w:rsidR="00E92171" w:rsidRPr="0042020F" w:rsidRDefault="00E92171" w:rsidP="00FE50E1">
            <w:pPr>
              <w:tabs>
                <w:tab w:val="left" w:pos="0"/>
              </w:tabs>
              <w:jc w:val="center"/>
              <w:rPr>
                <w:rFonts w:ascii="Times New Roman" w:hAnsi="Times New Roman" w:cs="Times New Roman"/>
                <w:sz w:val="20"/>
                <w:szCs w:val="20"/>
              </w:rPr>
            </w:pPr>
            <w:r>
              <w:rPr>
                <w:rFonts w:ascii="Times New Roman" w:hAnsi="Times New Roman" w:cs="Times New Roman"/>
                <w:sz w:val="20"/>
                <w:szCs w:val="20"/>
              </w:rPr>
              <w:t>6</w:t>
            </w:r>
          </w:p>
        </w:tc>
        <w:tc>
          <w:tcPr>
            <w:tcW w:w="889" w:type="pct"/>
            <w:shd w:val="clear" w:color="auto" w:fill="auto"/>
          </w:tcPr>
          <w:p w:rsidR="00E92171" w:rsidRPr="0042020F" w:rsidRDefault="00E92171" w:rsidP="00FE50E1">
            <w:pPr>
              <w:tabs>
                <w:tab w:val="left" w:pos="0"/>
              </w:tabs>
              <w:jc w:val="center"/>
              <w:rPr>
                <w:rFonts w:ascii="Times New Roman" w:hAnsi="Times New Roman" w:cs="Times New Roman"/>
                <w:sz w:val="20"/>
                <w:szCs w:val="20"/>
              </w:rPr>
            </w:pPr>
            <w:r w:rsidRPr="0042020F">
              <w:rPr>
                <w:rFonts w:ascii="Times New Roman" w:hAnsi="Times New Roman" w:cs="Times New Roman"/>
                <w:sz w:val="20"/>
                <w:szCs w:val="20"/>
              </w:rPr>
              <w:t>A Phase 1 Open-Label, Dose-Finding Study</w:t>
            </w:r>
            <w:r>
              <w:rPr>
                <w:rFonts w:ascii="Times New Roman" w:hAnsi="Times New Roman" w:cs="Times New Roman"/>
                <w:sz w:val="20"/>
                <w:szCs w:val="20"/>
              </w:rPr>
              <w:t xml:space="preserve"> </w:t>
            </w:r>
            <w:r w:rsidRPr="0042020F">
              <w:rPr>
                <w:rFonts w:ascii="Times New Roman" w:hAnsi="Times New Roman" w:cs="Times New Roman"/>
                <w:sz w:val="20"/>
                <w:szCs w:val="20"/>
              </w:rPr>
              <w:t>Evaluating Safety and Pharmacokinetics of FPA144</w:t>
            </w:r>
            <w:r>
              <w:rPr>
                <w:rFonts w:ascii="Times New Roman" w:hAnsi="Times New Roman" w:cs="Times New Roman"/>
                <w:sz w:val="20"/>
                <w:szCs w:val="20"/>
              </w:rPr>
              <w:t xml:space="preserve"> </w:t>
            </w:r>
            <w:r w:rsidRPr="0042020F">
              <w:rPr>
                <w:rFonts w:ascii="Times New Roman" w:hAnsi="Times New Roman" w:cs="Times New Roman"/>
                <w:sz w:val="20"/>
                <w:szCs w:val="20"/>
              </w:rPr>
              <w:t>in Japanese Patients with Advanced Gastric or Gastroesophageal Cancer</w:t>
            </w:r>
          </w:p>
        </w:tc>
        <w:tc>
          <w:tcPr>
            <w:tcW w:w="1406" w:type="pct"/>
          </w:tcPr>
          <w:p w:rsidR="00E92171" w:rsidRPr="00E34579" w:rsidRDefault="00E92171" w:rsidP="00FE50E1">
            <w:pPr>
              <w:tabs>
                <w:tab w:val="left" w:pos="0"/>
              </w:tabs>
              <w:rPr>
                <w:sz w:val="20"/>
                <w:szCs w:val="20"/>
              </w:rPr>
            </w:pPr>
            <w:r>
              <w:rPr>
                <w:rFonts w:ascii="Times New Roman" w:hAnsi="Times New Roman" w:cs="Times New Roman"/>
                <w:sz w:val="20"/>
                <w:szCs w:val="20"/>
              </w:rPr>
              <w:t xml:space="preserve">Rich samplings with </w:t>
            </w:r>
            <w:r>
              <w:rPr>
                <w:rFonts w:ascii="Calibri" w:hAnsi="Calibri" w:cs="Calibri"/>
                <w:sz w:val="20"/>
                <w:szCs w:val="20"/>
              </w:rPr>
              <w:t>≤</w:t>
            </w:r>
            <w:r>
              <w:rPr>
                <w:rFonts w:ascii="Times New Roman" w:hAnsi="Times New Roman" w:cs="Times New Roman"/>
                <w:sz w:val="20"/>
                <w:szCs w:val="20"/>
              </w:rPr>
              <w:t>14 samples for Cycle 1 and sparse sampling for patients that are continuing in the Extended Treatment Period.</w:t>
            </w:r>
          </w:p>
        </w:tc>
        <w:tc>
          <w:tcPr>
            <w:tcW w:w="1256" w:type="pct"/>
          </w:tcPr>
          <w:p w:rsidR="00E92171" w:rsidRDefault="00E92171" w:rsidP="00FE50E1">
            <w:pPr>
              <w:tabs>
                <w:tab w:val="left" w:pos="0"/>
              </w:tabs>
              <w:rPr>
                <w:rFonts w:ascii="Times New Roman" w:hAnsi="Times New Roman" w:cs="Times New Roman"/>
                <w:sz w:val="20"/>
                <w:szCs w:val="20"/>
              </w:rPr>
            </w:pPr>
            <w:r w:rsidRPr="00C71687">
              <w:rPr>
                <w:rFonts w:ascii="Times New Roman" w:hAnsi="Times New Roman" w:cs="Times New Roman"/>
                <w:sz w:val="20"/>
                <w:szCs w:val="20"/>
              </w:rPr>
              <w:t>Anti-drug antibody samples were collected prior to dosing on Day 1</w:t>
            </w:r>
            <w:r>
              <w:rPr>
                <w:rFonts w:ascii="Times New Roman" w:hAnsi="Times New Roman" w:cs="Times New Roman"/>
                <w:sz w:val="20"/>
                <w:szCs w:val="20"/>
              </w:rPr>
              <w:t xml:space="preserve"> and Day 15 on Cycle 1 and prior dose of each cycle</w:t>
            </w:r>
            <w:r w:rsidRPr="00C71687">
              <w:rPr>
                <w:rFonts w:ascii="Times New Roman" w:hAnsi="Times New Roman" w:cs="Times New Roman"/>
                <w:sz w:val="20"/>
                <w:szCs w:val="20"/>
              </w:rPr>
              <w:t xml:space="preserve"> and at the EOT.</w:t>
            </w:r>
          </w:p>
        </w:tc>
      </w:tr>
      <w:tr w:rsidR="00E92171" w:rsidRPr="0042020F" w:rsidTr="00FE50E1">
        <w:trPr>
          <w:trHeight w:val="560"/>
        </w:trPr>
        <w:tc>
          <w:tcPr>
            <w:tcW w:w="669" w:type="pct"/>
            <w:shd w:val="clear" w:color="auto" w:fill="auto"/>
            <w:vAlign w:val="center"/>
          </w:tcPr>
          <w:p w:rsidR="00E92171" w:rsidRPr="0042020F" w:rsidRDefault="00E92171" w:rsidP="00FE50E1">
            <w:pPr>
              <w:tabs>
                <w:tab w:val="left" w:pos="0"/>
              </w:tabs>
              <w:ind w:right="72"/>
              <w:jc w:val="center"/>
              <w:rPr>
                <w:rFonts w:ascii="Times New Roman" w:hAnsi="Times New Roman" w:cs="Times New Roman"/>
                <w:sz w:val="20"/>
                <w:szCs w:val="20"/>
              </w:rPr>
            </w:pPr>
            <w:r w:rsidRPr="0042020F">
              <w:rPr>
                <w:rFonts w:ascii="Times New Roman" w:hAnsi="Times New Roman" w:cs="Times New Roman"/>
                <w:sz w:val="20"/>
                <w:szCs w:val="20"/>
              </w:rPr>
              <w:t>FPA144-004 (NCT03343301)</w:t>
            </w:r>
          </w:p>
        </w:tc>
        <w:tc>
          <w:tcPr>
            <w:tcW w:w="609" w:type="pct"/>
          </w:tcPr>
          <w:p w:rsidR="00E92171" w:rsidRPr="0042020F" w:rsidRDefault="00E92171" w:rsidP="00FE50E1">
            <w:pPr>
              <w:tabs>
                <w:tab w:val="left" w:pos="0"/>
              </w:tabs>
              <w:jc w:val="center"/>
              <w:rPr>
                <w:rFonts w:ascii="Times New Roman" w:hAnsi="Times New Roman" w:cs="Times New Roman"/>
                <w:sz w:val="20"/>
                <w:szCs w:val="20"/>
              </w:rPr>
            </w:pPr>
            <w:r w:rsidRPr="0042020F">
              <w:rPr>
                <w:rFonts w:ascii="Times New Roman" w:hAnsi="Times New Roman" w:cs="Times New Roman"/>
                <w:sz w:val="20"/>
                <w:szCs w:val="20"/>
              </w:rPr>
              <w:t xml:space="preserve">15 mg/kg </w:t>
            </w:r>
            <w:r>
              <w:rPr>
                <w:rFonts w:ascii="Times New Roman" w:hAnsi="Times New Roman" w:cs="Times New Roman"/>
                <w:sz w:val="20"/>
                <w:szCs w:val="20"/>
              </w:rPr>
              <w:t xml:space="preserve">Q2W </w:t>
            </w:r>
            <w:r w:rsidRPr="0042020F">
              <w:rPr>
                <w:rFonts w:ascii="Times New Roman" w:hAnsi="Times New Roman" w:cs="Times New Roman"/>
                <w:sz w:val="20"/>
                <w:szCs w:val="20"/>
              </w:rPr>
              <w:t xml:space="preserve">with 1 </w:t>
            </w:r>
            <w:r>
              <w:rPr>
                <w:rFonts w:ascii="Times New Roman" w:hAnsi="Times New Roman" w:cs="Times New Roman"/>
                <w:sz w:val="20"/>
                <w:szCs w:val="20"/>
              </w:rPr>
              <w:t xml:space="preserve">additional </w:t>
            </w:r>
            <w:r w:rsidRPr="0042020F">
              <w:rPr>
                <w:rFonts w:ascii="Times New Roman" w:hAnsi="Times New Roman" w:cs="Times New Roman"/>
                <w:sz w:val="20"/>
                <w:szCs w:val="20"/>
              </w:rPr>
              <w:t xml:space="preserve">dose of 7.5 mg/kg on Cycle 1 </w:t>
            </w:r>
            <w:r>
              <w:rPr>
                <w:rFonts w:ascii="Times New Roman" w:hAnsi="Times New Roman" w:cs="Times New Roman"/>
                <w:sz w:val="20"/>
                <w:szCs w:val="20"/>
              </w:rPr>
              <w:t xml:space="preserve">Day 8 </w:t>
            </w:r>
            <w:r w:rsidRPr="0042020F">
              <w:rPr>
                <w:rFonts w:ascii="Times New Roman" w:hAnsi="Times New Roman" w:cs="Times New Roman"/>
                <w:sz w:val="20"/>
                <w:szCs w:val="20"/>
              </w:rPr>
              <w:t>in 14-day cycles</w:t>
            </w:r>
          </w:p>
        </w:tc>
        <w:tc>
          <w:tcPr>
            <w:tcW w:w="172" w:type="pct"/>
          </w:tcPr>
          <w:p w:rsidR="00E92171" w:rsidRPr="0042020F" w:rsidRDefault="00E92171" w:rsidP="00FE50E1">
            <w:pPr>
              <w:tabs>
                <w:tab w:val="left" w:pos="0"/>
              </w:tabs>
              <w:jc w:val="center"/>
              <w:rPr>
                <w:rFonts w:ascii="Times New Roman" w:hAnsi="Times New Roman" w:cs="Times New Roman"/>
                <w:sz w:val="20"/>
                <w:szCs w:val="20"/>
              </w:rPr>
            </w:pPr>
            <w:r w:rsidRPr="0042020F">
              <w:rPr>
                <w:rFonts w:ascii="Times New Roman" w:hAnsi="Times New Roman" w:cs="Times New Roman"/>
                <w:sz w:val="20"/>
                <w:szCs w:val="20"/>
              </w:rPr>
              <w:t>1</w:t>
            </w:r>
            <w:r>
              <w:rPr>
                <w:rFonts w:ascii="Times New Roman" w:hAnsi="Times New Roman" w:cs="Times New Roman"/>
                <w:sz w:val="20"/>
                <w:szCs w:val="20"/>
              </w:rPr>
              <w:t>2</w:t>
            </w:r>
          </w:p>
        </w:tc>
        <w:tc>
          <w:tcPr>
            <w:tcW w:w="889" w:type="pct"/>
            <w:shd w:val="clear" w:color="auto" w:fill="auto"/>
          </w:tcPr>
          <w:p w:rsidR="00E92171" w:rsidRPr="0042020F" w:rsidRDefault="00E92171" w:rsidP="00FE50E1">
            <w:pPr>
              <w:tabs>
                <w:tab w:val="left" w:pos="0"/>
              </w:tabs>
              <w:jc w:val="center"/>
              <w:rPr>
                <w:rFonts w:ascii="Times New Roman" w:hAnsi="Times New Roman" w:cs="Times New Roman"/>
                <w:sz w:val="20"/>
                <w:szCs w:val="20"/>
              </w:rPr>
            </w:pPr>
            <w:r>
              <w:rPr>
                <w:rFonts w:ascii="Times New Roman" w:hAnsi="Times New Roman" w:cs="Times New Roman"/>
                <w:sz w:val="20"/>
                <w:szCs w:val="20"/>
              </w:rPr>
              <w:t>A</w:t>
            </w:r>
            <w:r w:rsidRPr="00EA5B71">
              <w:rPr>
                <w:rFonts w:ascii="Times New Roman" w:hAnsi="Times New Roman" w:cs="Times New Roman"/>
                <w:sz w:val="20"/>
                <w:szCs w:val="20"/>
              </w:rPr>
              <w:t xml:space="preserve"> multi-center study to evaluate the safety, tolerability, PK, and PD of FPA144 in combination with 5</w:t>
            </w:r>
            <w:r>
              <w:rPr>
                <w:rFonts w:ascii="Times New Roman" w:hAnsi="Times New Roman" w:cs="Times New Roman"/>
                <w:sz w:val="20"/>
                <w:szCs w:val="20"/>
              </w:rPr>
              <w:noBreakHyphen/>
            </w:r>
            <w:r w:rsidRPr="00EA5B71">
              <w:rPr>
                <w:rFonts w:ascii="Times New Roman" w:hAnsi="Times New Roman" w:cs="Times New Roman"/>
                <w:sz w:val="20"/>
                <w:szCs w:val="20"/>
              </w:rPr>
              <w:t xml:space="preserve">fluorouracil, leucovorin and oxaliplatin (mFOLFOX6) for patients with </w:t>
            </w:r>
            <w:r w:rsidRPr="00EA5B71">
              <w:rPr>
                <w:rFonts w:ascii="Times New Roman" w:hAnsi="Times New Roman" w:cs="Times New Roman"/>
                <w:sz w:val="20"/>
                <w:szCs w:val="20"/>
              </w:rPr>
              <w:lastRenderedPageBreak/>
              <w:t xml:space="preserve">gastrointestinal malignancies. </w:t>
            </w:r>
          </w:p>
        </w:tc>
        <w:tc>
          <w:tcPr>
            <w:tcW w:w="1406" w:type="pct"/>
          </w:tcPr>
          <w:p w:rsidR="00E92171" w:rsidRPr="0042020F" w:rsidRDefault="00E92171" w:rsidP="00FE50E1">
            <w:pPr>
              <w:pStyle w:val="TableTextCenter"/>
              <w:jc w:val="left"/>
              <w:rPr>
                <w:rFonts w:cs="Times New Roman"/>
              </w:rPr>
            </w:pPr>
            <w:r>
              <w:rPr>
                <w:rFonts w:cs="Times New Roman"/>
              </w:rPr>
              <w:lastRenderedPageBreak/>
              <w:t>Rich sampling with &lt;9 samples for Cycles 1 and 2 and sparse sampling for other cycles.</w:t>
            </w:r>
          </w:p>
        </w:tc>
        <w:tc>
          <w:tcPr>
            <w:tcW w:w="1256" w:type="pct"/>
          </w:tcPr>
          <w:p w:rsidR="00E92171" w:rsidRDefault="00E92171" w:rsidP="00FE50E1">
            <w:pPr>
              <w:pStyle w:val="TableTextCenter"/>
              <w:jc w:val="left"/>
              <w:rPr>
                <w:rFonts w:cs="Times New Roman"/>
              </w:rPr>
            </w:pPr>
            <w:r w:rsidRPr="00894C10">
              <w:rPr>
                <w:rFonts w:cs="Times New Roman"/>
              </w:rPr>
              <w:t xml:space="preserve">Anti-drug antibody samples were collected prior to dosing </w:t>
            </w:r>
            <w:r>
              <w:rPr>
                <w:rFonts w:cs="Times New Roman"/>
              </w:rPr>
              <w:t>on Cycle 1, 2, 3, 7, 10</w:t>
            </w:r>
            <w:r w:rsidRPr="00894C10">
              <w:rPr>
                <w:rFonts w:cs="Times New Roman"/>
              </w:rPr>
              <w:t xml:space="preserve"> </w:t>
            </w:r>
            <w:r>
              <w:rPr>
                <w:rFonts w:cs="Times New Roman"/>
              </w:rPr>
              <w:t>and</w:t>
            </w:r>
            <w:r w:rsidRPr="00894C10">
              <w:rPr>
                <w:rFonts w:cs="Times New Roman"/>
              </w:rPr>
              <w:t xml:space="preserve"> at the EOT.</w:t>
            </w:r>
          </w:p>
        </w:tc>
      </w:tr>
      <w:tr w:rsidR="00E92171" w:rsidRPr="0042020F" w:rsidTr="00FE50E1">
        <w:trPr>
          <w:trHeight w:val="431"/>
        </w:trPr>
        <w:tc>
          <w:tcPr>
            <w:tcW w:w="669" w:type="pct"/>
            <w:shd w:val="clear" w:color="auto" w:fill="auto"/>
            <w:vAlign w:val="center"/>
          </w:tcPr>
          <w:p w:rsidR="00E92171" w:rsidRPr="0042020F" w:rsidRDefault="00E92171" w:rsidP="00FE50E1">
            <w:pPr>
              <w:tabs>
                <w:tab w:val="left" w:pos="0"/>
              </w:tabs>
              <w:ind w:right="72"/>
              <w:jc w:val="center"/>
              <w:rPr>
                <w:rFonts w:ascii="Times New Roman" w:hAnsi="Times New Roman" w:cs="Times New Roman"/>
                <w:sz w:val="20"/>
                <w:szCs w:val="20"/>
              </w:rPr>
            </w:pPr>
            <w:r w:rsidRPr="0042020F">
              <w:rPr>
                <w:rFonts w:ascii="Times New Roman" w:hAnsi="Times New Roman" w:cs="Times New Roman"/>
                <w:sz w:val="20"/>
                <w:szCs w:val="20"/>
              </w:rPr>
              <w:t>FPA144-004 (</w:t>
            </w:r>
            <w:r w:rsidRPr="00EA5B71">
              <w:rPr>
                <w:rFonts w:ascii="Times New Roman" w:hAnsi="Times New Roman" w:cs="Times New Roman"/>
                <w:sz w:val="20"/>
                <w:szCs w:val="20"/>
              </w:rPr>
              <w:t>NCT03694522</w:t>
            </w:r>
            <w:r w:rsidRPr="0042020F">
              <w:rPr>
                <w:rFonts w:ascii="Times New Roman" w:hAnsi="Times New Roman" w:cs="Times New Roman"/>
                <w:sz w:val="20"/>
                <w:szCs w:val="20"/>
              </w:rPr>
              <w:t>)</w:t>
            </w:r>
          </w:p>
        </w:tc>
        <w:tc>
          <w:tcPr>
            <w:tcW w:w="609" w:type="pct"/>
          </w:tcPr>
          <w:p w:rsidR="00E92171" w:rsidRPr="0042020F" w:rsidRDefault="00E92171" w:rsidP="00FE50E1">
            <w:pPr>
              <w:tabs>
                <w:tab w:val="left" w:pos="0"/>
              </w:tabs>
              <w:jc w:val="center"/>
              <w:rPr>
                <w:rFonts w:ascii="Times New Roman" w:hAnsi="Times New Roman" w:cs="Times New Roman"/>
                <w:sz w:val="20"/>
                <w:szCs w:val="20"/>
              </w:rPr>
            </w:pPr>
            <w:r w:rsidRPr="0042020F">
              <w:rPr>
                <w:rFonts w:ascii="Times New Roman" w:hAnsi="Times New Roman" w:cs="Times New Roman"/>
                <w:sz w:val="20"/>
                <w:szCs w:val="20"/>
              </w:rPr>
              <w:t xml:space="preserve">15 mg/kg </w:t>
            </w:r>
            <w:r>
              <w:rPr>
                <w:rFonts w:ascii="Times New Roman" w:hAnsi="Times New Roman" w:cs="Times New Roman"/>
                <w:sz w:val="20"/>
                <w:szCs w:val="20"/>
              </w:rPr>
              <w:t xml:space="preserve">Q2W </w:t>
            </w:r>
            <w:r w:rsidRPr="0042020F">
              <w:rPr>
                <w:rFonts w:ascii="Times New Roman" w:hAnsi="Times New Roman" w:cs="Times New Roman"/>
                <w:sz w:val="20"/>
                <w:szCs w:val="20"/>
              </w:rPr>
              <w:t xml:space="preserve">with 1 </w:t>
            </w:r>
            <w:r>
              <w:rPr>
                <w:rFonts w:ascii="Times New Roman" w:hAnsi="Times New Roman" w:cs="Times New Roman"/>
                <w:sz w:val="20"/>
                <w:szCs w:val="20"/>
              </w:rPr>
              <w:t xml:space="preserve">additional </w:t>
            </w:r>
            <w:r w:rsidRPr="0042020F">
              <w:rPr>
                <w:rFonts w:ascii="Times New Roman" w:hAnsi="Times New Roman" w:cs="Times New Roman"/>
                <w:sz w:val="20"/>
                <w:szCs w:val="20"/>
              </w:rPr>
              <w:t xml:space="preserve">dose of 7.5 mg/kg on Cycle 1 </w:t>
            </w:r>
            <w:r>
              <w:rPr>
                <w:rFonts w:ascii="Times New Roman" w:hAnsi="Times New Roman" w:cs="Times New Roman"/>
                <w:sz w:val="20"/>
                <w:szCs w:val="20"/>
              </w:rPr>
              <w:t xml:space="preserve">Day 8 </w:t>
            </w:r>
            <w:r w:rsidRPr="0042020F">
              <w:rPr>
                <w:rFonts w:ascii="Times New Roman" w:hAnsi="Times New Roman" w:cs="Times New Roman"/>
                <w:sz w:val="20"/>
                <w:szCs w:val="20"/>
              </w:rPr>
              <w:t>in 14-day cycles</w:t>
            </w:r>
          </w:p>
        </w:tc>
        <w:tc>
          <w:tcPr>
            <w:tcW w:w="172" w:type="pct"/>
          </w:tcPr>
          <w:p w:rsidR="00E92171" w:rsidRPr="0042020F" w:rsidRDefault="00E92171" w:rsidP="00FE50E1">
            <w:pPr>
              <w:tabs>
                <w:tab w:val="left" w:pos="0"/>
              </w:tabs>
              <w:jc w:val="center"/>
              <w:rPr>
                <w:rFonts w:ascii="Times New Roman" w:hAnsi="Times New Roman" w:cs="Times New Roman"/>
                <w:sz w:val="20"/>
                <w:szCs w:val="20"/>
              </w:rPr>
            </w:pPr>
            <w:r>
              <w:rPr>
                <w:rFonts w:ascii="Times New Roman" w:hAnsi="Times New Roman" w:cs="Times New Roman" w:hint="eastAsia"/>
                <w:sz w:val="20"/>
                <w:szCs w:val="20"/>
              </w:rPr>
              <w:t>7</w:t>
            </w:r>
            <w:r>
              <w:rPr>
                <w:rFonts w:ascii="Times New Roman" w:hAnsi="Times New Roman" w:cs="Times New Roman"/>
                <w:sz w:val="20"/>
                <w:szCs w:val="20"/>
              </w:rPr>
              <w:t>6</w:t>
            </w:r>
          </w:p>
        </w:tc>
        <w:tc>
          <w:tcPr>
            <w:tcW w:w="889" w:type="pct"/>
            <w:shd w:val="clear" w:color="auto" w:fill="auto"/>
          </w:tcPr>
          <w:p w:rsidR="00E92171" w:rsidRPr="0042020F" w:rsidRDefault="00E92171" w:rsidP="00FE50E1">
            <w:pPr>
              <w:tabs>
                <w:tab w:val="left" w:pos="0"/>
              </w:tabs>
              <w:jc w:val="center"/>
              <w:rPr>
                <w:rFonts w:ascii="Times New Roman" w:hAnsi="Times New Roman" w:cs="Times New Roman"/>
                <w:sz w:val="20"/>
                <w:szCs w:val="20"/>
              </w:rPr>
            </w:pPr>
            <w:r>
              <w:rPr>
                <w:rFonts w:ascii="Times New Roman" w:hAnsi="Times New Roman" w:cs="Times New Roman"/>
                <w:sz w:val="20"/>
                <w:szCs w:val="20"/>
              </w:rPr>
              <w:t>A</w:t>
            </w:r>
            <w:r w:rsidRPr="00EA5B71">
              <w:rPr>
                <w:rFonts w:ascii="Times New Roman" w:hAnsi="Times New Roman" w:cs="Times New Roman"/>
                <w:sz w:val="20"/>
                <w:szCs w:val="20"/>
              </w:rPr>
              <w:t xml:space="preserve"> global, randomized, double-blind, controlled study to evaluate the efficacy of bemarituzumab + mFOLFOX6 versus placebo + mFOLFOX6 in patients with FGFR2 selected Gastric Cancer (as determined by prospective IHC FGFR2b overexpression and/or a ctDNA blood assay demonstrating FGFR2 gene amplification)</w:t>
            </w:r>
          </w:p>
        </w:tc>
        <w:tc>
          <w:tcPr>
            <w:tcW w:w="1406" w:type="pct"/>
          </w:tcPr>
          <w:p w:rsidR="00E92171" w:rsidRPr="0042020F" w:rsidRDefault="00E92171" w:rsidP="00FE50E1">
            <w:pPr>
              <w:tabs>
                <w:tab w:val="left" w:pos="0"/>
              </w:tabs>
              <w:rPr>
                <w:rFonts w:ascii="Times New Roman" w:hAnsi="Times New Roman" w:cs="Times New Roman"/>
                <w:sz w:val="20"/>
                <w:szCs w:val="20"/>
              </w:rPr>
            </w:pPr>
            <w:r>
              <w:rPr>
                <w:rFonts w:ascii="Times New Roman" w:hAnsi="Times New Roman" w:cs="Times New Roman"/>
                <w:sz w:val="20"/>
                <w:szCs w:val="20"/>
              </w:rPr>
              <w:t>Sparse sampling with total of 7 collection time points for a patient stay on the study ≥17 Cycles.</w:t>
            </w:r>
          </w:p>
        </w:tc>
        <w:tc>
          <w:tcPr>
            <w:tcW w:w="1256" w:type="pct"/>
          </w:tcPr>
          <w:p w:rsidR="00E92171" w:rsidRDefault="00E92171" w:rsidP="00FE50E1">
            <w:pPr>
              <w:tabs>
                <w:tab w:val="left" w:pos="0"/>
              </w:tabs>
              <w:rPr>
                <w:rFonts w:ascii="Times New Roman" w:hAnsi="Times New Roman" w:cs="Times New Roman"/>
                <w:sz w:val="20"/>
                <w:szCs w:val="20"/>
              </w:rPr>
            </w:pPr>
            <w:r w:rsidRPr="00117DDA">
              <w:rPr>
                <w:rFonts w:ascii="Times New Roman" w:hAnsi="Times New Roman" w:cs="Times New Roman"/>
                <w:sz w:val="20"/>
                <w:szCs w:val="20"/>
              </w:rPr>
              <w:t xml:space="preserve">Anti-drug antibody samples were collected prior to dosing on Cycle 1, </w:t>
            </w:r>
            <w:r>
              <w:rPr>
                <w:rFonts w:ascii="Times New Roman" w:hAnsi="Times New Roman" w:cs="Times New Roman"/>
                <w:sz w:val="20"/>
                <w:szCs w:val="20"/>
              </w:rPr>
              <w:t>3, 5, 9, 17</w:t>
            </w:r>
            <w:r w:rsidRPr="00117DDA">
              <w:rPr>
                <w:rFonts w:ascii="Times New Roman" w:hAnsi="Times New Roman" w:cs="Times New Roman"/>
                <w:sz w:val="20"/>
                <w:szCs w:val="20"/>
              </w:rPr>
              <w:t xml:space="preserve"> and at the EOT.</w:t>
            </w:r>
          </w:p>
        </w:tc>
      </w:tr>
    </w:tbl>
    <w:p w:rsidR="00E92171" w:rsidRDefault="00E92171" w:rsidP="00E92171">
      <w:pPr>
        <w:pStyle w:val="C-BodyText"/>
        <w:spacing w:line="240" w:lineRule="auto"/>
      </w:pPr>
      <w:r w:rsidRPr="00E41A69">
        <w:rPr>
          <w:sz w:val="20"/>
        </w:rPr>
        <w:t xml:space="preserve">Abbreviations: </w:t>
      </w:r>
      <w:r>
        <w:rPr>
          <w:sz w:val="20"/>
        </w:rPr>
        <w:t>Q2W</w:t>
      </w:r>
      <w:r w:rsidRPr="00E41A69">
        <w:rPr>
          <w:sz w:val="20"/>
        </w:rPr>
        <w:t xml:space="preserve">, </w:t>
      </w:r>
      <w:r>
        <w:rPr>
          <w:sz w:val="20"/>
        </w:rPr>
        <w:t>once every two weeks</w:t>
      </w:r>
      <w:r w:rsidRPr="00E41A69">
        <w:rPr>
          <w:sz w:val="20"/>
        </w:rPr>
        <w:t>;</w:t>
      </w:r>
      <w:r>
        <w:rPr>
          <w:sz w:val="20"/>
        </w:rPr>
        <w:t xml:space="preserve"> C, cycle; D, day.</w:t>
      </w:r>
    </w:p>
    <w:p w:rsidR="00E92171" w:rsidRDefault="00E92171" w:rsidP="00E92171">
      <w:pPr>
        <w:pStyle w:val="tabletitle"/>
        <w:spacing w:after="120"/>
      </w:pPr>
      <w:bookmarkStart w:id="3" w:name="_Ref61635038"/>
      <w:bookmarkStart w:id="4" w:name="_Toc65340879"/>
    </w:p>
    <w:p w:rsidR="00E92171" w:rsidRPr="000F69D6" w:rsidRDefault="00E92171" w:rsidP="00E92171">
      <w:pPr>
        <w:pStyle w:val="tabletitle"/>
        <w:spacing w:after="120"/>
        <w:rPr>
          <w:rFonts w:eastAsia="DengXian"/>
        </w:rPr>
        <w:sectPr w:rsidR="00E92171" w:rsidRPr="000F69D6" w:rsidSect="00F353AC">
          <w:pgSz w:w="15840" w:h="12240" w:orient="landscape" w:code="1"/>
          <w:pgMar w:top="1440" w:right="1440" w:bottom="1440" w:left="1440" w:header="720" w:footer="720" w:gutter="0"/>
          <w:cols w:space="720"/>
          <w:docGrid w:linePitch="360"/>
        </w:sectPr>
      </w:pPr>
    </w:p>
    <w:bookmarkEnd w:id="1"/>
    <w:bookmarkEnd w:id="2"/>
    <w:bookmarkEnd w:id="3"/>
    <w:bookmarkEnd w:id="4"/>
    <w:p w:rsidR="00E92171" w:rsidRPr="00D925A8" w:rsidRDefault="00E92171" w:rsidP="00E92171">
      <w:pPr>
        <w:pStyle w:val="C-BodyText"/>
        <w:rPr>
          <w:b/>
          <w:bCs/>
        </w:rPr>
      </w:pPr>
      <w:r w:rsidRPr="00D925A8">
        <w:rPr>
          <w:b/>
          <w:bCs/>
        </w:rPr>
        <w:lastRenderedPageBreak/>
        <w:t>Fig</w:t>
      </w:r>
      <w:r>
        <w:rPr>
          <w:b/>
          <w:bCs/>
        </w:rPr>
        <w:t>.</w:t>
      </w:r>
      <w:r w:rsidRPr="00D925A8">
        <w:rPr>
          <w:b/>
          <w:bCs/>
        </w:rPr>
        <w:t> 1</w:t>
      </w:r>
      <w:r w:rsidRPr="00D925A8">
        <w:rPr>
          <w:b/>
          <w:bCs/>
        </w:rPr>
        <w:tab/>
        <w:t>Diagnostic plots for the final population pharmacokinetic model</w:t>
      </w:r>
    </w:p>
    <w:p w:rsidR="00E92171" w:rsidRPr="00005B68" w:rsidRDefault="00E92171" w:rsidP="00E92171">
      <w:pPr>
        <w:pStyle w:val="C-BodyText"/>
        <w:rPr>
          <w:sz w:val="20"/>
        </w:rPr>
      </w:pPr>
      <w:r w:rsidRPr="00005B68">
        <w:rPr>
          <w:rFonts w:eastAsia="SimSun"/>
          <w:sz w:val="20"/>
        </w:rPr>
        <w:t>Observed versus individual predicted concentrations (</w:t>
      </w:r>
      <w:r>
        <w:rPr>
          <w:rFonts w:eastAsia="SimSun"/>
          <w:sz w:val="20"/>
        </w:rPr>
        <w:t xml:space="preserve">top </w:t>
      </w:r>
      <w:r w:rsidRPr="00005B68">
        <w:rPr>
          <w:rFonts w:eastAsia="SimSun"/>
          <w:sz w:val="20"/>
        </w:rPr>
        <w:t>left) and observed versus population predicted (PRED) concentrations (</w:t>
      </w:r>
      <w:r>
        <w:rPr>
          <w:rFonts w:eastAsia="SimSun"/>
          <w:sz w:val="20"/>
        </w:rPr>
        <w:t xml:space="preserve">top </w:t>
      </w:r>
      <w:r w:rsidRPr="00005B68">
        <w:rPr>
          <w:rFonts w:eastAsia="SimSun"/>
          <w:sz w:val="20"/>
        </w:rPr>
        <w:t xml:space="preserve">right) for the final popPK model. Points are individual data, red lines represent the </w:t>
      </w:r>
      <w:r w:rsidRPr="00005B68">
        <w:rPr>
          <w:sz w:val="20"/>
        </w:rPr>
        <w:t>line of unity, and blue dashed lines are lowess smooth curves showing the relationship between the two variables</w:t>
      </w:r>
      <w:r w:rsidRPr="00005B68" w:rsidDel="00D82D33">
        <w:rPr>
          <w:rFonts w:eastAsia="SimSun"/>
          <w:sz w:val="20"/>
        </w:rPr>
        <w:t>.</w:t>
      </w:r>
      <w:r w:rsidRPr="00005B68">
        <w:rPr>
          <w:rFonts w:eastAsia="SimSun"/>
          <w:sz w:val="20"/>
        </w:rPr>
        <w:t xml:space="preserve"> </w:t>
      </w:r>
      <w:r w:rsidRPr="00005B68">
        <w:rPr>
          <w:sz w:val="20"/>
        </w:rPr>
        <w:t>Conditional weighted residuals (CWRES) versus time (</w:t>
      </w:r>
      <w:r>
        <w:rPr>
          <w:sz w:val="20"/>
        </w:rPr>
        <w:t xml:space="preserve">bottom </w:t>
      </w:r>
      <w:r w:rsidRPr="00005B68">
        <w:rPr>
          <w:sz w:val="20"/>
        </w:rPr>
        <w:t xml:space="preserve">left) and population predicted (PRED; </w:t>
      </w:r>
      <w:r>
        <w:rPr>
          <w:sz w:val="20"/>
        </w:rPr>
        <w:t xml:space="preserve">bottom </w:t>
      </w:r>
      <w:r w:rsidRPr="00005B68">
        <w:rPr>
          <w:sz w:val="20"/>
        </w:rPr>
        <w:t>right). Points are individual data. Red solid lines represent the horizontal line at zero. Green dotted lines represent |CWRES| of 5. The blue dashed lines are lowess smooth curves showing the relationship between the two variables.</w:t>
      </w:r>
    </w:p>
    <w:p w:rsidR="00E92171" w:rsidRPr="00D925A8" w:rsidRDefault="00E92171" w:rsidP="00E92171">
      <w:pPr>
        <w:pStyle w:val="C-BodyText"/>
        <w:rPr>
          <w:b/>
          <w:bCs/>
        </w:rPr>
      </w:pPr>
      <w:r w:rsidRPr="00D925A8">
        <w:rPr>
          <w:b/>
          <w:bCs/>
        </w:rPr>
        <w:t>Fig</w:t>
      </w:r>
      <w:r>
        <w:rPr>
          <w:b/>
          <w:bCs/>
        </w:rPr>
        <w:t>. </w:t>
      </w:r>
      <w:r w:rsidRPr="00D925A8">
        <w:rPr>
          <w:b/>
          <w:bCs/>
        </w:rPr>
        <w:t>2</w:t>
      </w:r>
      <w:r w:rsidRPr="00D925A8">
        <w:rPr>
          <w:b/>
          <w:bCs/>
        </w:rPr>
        <w:tab/>
        <w:t>ETA histograms for the final population pharmacokinetic model</w:t>
      </w:r>
    </w:p>
    <w:p w:rsidR="00E92171" w:rsidRDefault="00E92171" w:rsidP="00E92171">
      <w:pPr>
        <w:pStyle w:val="C-BodyText"/>
        <w:rPr>
          <w:rFonts w:eastAsia="SimSun"/>
          <w:sz w:val="20"/>
        </w:rPr>
      </w:pPr>
      <w:r w:rsidRPr="00B15071">
        <w:rPr>
          <w:rFonts w:eastAsia="SimSun"/>
          <w:sz w:val="20"/>
        </w:rPr>
        <w:t xml:space="preserve">Red solid lines represent the unit line at zero. Blue dashed lines represent the median value of ETAs. </w:t>
      </w:r>
    </w:p>
    <w:p w:rsidR="00E92171" w:rsidRPr="00D925A8" w:rsidRDefault="00E92171" w:rsidP="00E92171">
      <w:pPr>
        <w:pStyle w:val="C-BodyText"/>
        <w:rPr>
          <w:rFonts w:eastAsia="SimSun"/>
          <w:sz w:val="20"/>
        </w:rPr>
      </w:pPr>
      <w:r>
        <w:rPr>
          <w:rFonts w:eastAsia="SimSun"/>
          <w:sz w:val="20"/>
        </w:rPr>
        <w:t xml:space="preserve">Abbreviations: </w:t>
      </w:r>
      <w:r w:rsidRPr="00B15071">
        <w:rPr>
          <w:rFonts w:eastAsia="SimSun"/>
          <w:sz w:val="20"/>
        </w:rPr>
        <w:t>etaV</w:t>
      </w:r>
      <w:r w:rsidRPr="00B15071">
        <w:rPr>
          <w:rFonts w:eastAsia="SimSun"/>
          <w:sz w:val="20"/>
          <w:vertAlign w:val="subscript"/>
        </w:rPr>
        <w:t>M</w:t>
      </w:r>
      <w:r w:rsidRPr="00B15071">
        <w:rPr>
          <w:rFonts w:eastAsia="SimSun"/>
          <w:sz w:val="20"/>
        </w:rPr>
        <w:t>, individual ETA for V</w:t>
      </w:r>
      <w:r w:rsidRPr="00B15071">
        <w:rPr>
          <w:rFonts w:eastAsia="SimSun"/>
          <w:sz w:val="20"/>
          <w:vertAlign w:val="subscript"/>
        </w:rPr>
        <w:t>M</w:t>
      </w:r>
      <w:r>
        <w:rPr>
          <w:rFonts w:eastAsia="SimSun"/>
          <w:sz w:val="20"/>
        </w:rPr>
        <w:t xml:space="preserve">; </w:t>
      </w:r>
      <w:r w:rsidRPr="00B15071">
        <w:rPr>
          <w:rFonts w:eastAsia="SimSun"/>
          <w:sz w:val="20"/>
        </w:rPr>
        <w:t>etaCL, individual ETA for CL; etaV</w:t>
      </w:r>
      <w:r w:rsidRPr="00B15071">
        <w:rPr>
          <w:rFonts w:eastAsia="SimSun"/>
          <w:sz w:val="20"/>
          <w:vertAlign w:val="subscript"/>
        </w:rPr>
        <w:t>c</w:t>
      </w:r>
      <w:r w:rsidRPr="00B15071">
        <w:rPr>
          <w:rFonts w:eastAsia="SimSun"/>
          <w:sz w:val="20"/>
        </w:rPr>
        <w:t xml:space="preserve">, individual ETA for </w:t>
      </w:r>
      <w:r>
        <w:rPr>
          <w:rFonts w:eastAsia="SimSun"/>
          <w:sz w:val="20"/>
        </w:rPr>
        <w:t>V</w:t>
      </w:r>
      <w:r w:rsidRPr="00B15071">
        <w:rPr>
          <w:rFonts w:eastAsia="SimSun"/>
          <w:sz w:val="20"/>
          <w:vertAlign w:val="subscript"/>
        </w:rPr>
        <w:t>c</w:t>
      </w:r>
      <w:r w:rsidRPr="00B15071">
        <w:rPr>
          <w:rFonts w:eastAsia="SimSun"/>
          <w:sz w:val="20"/>
        </w:rPr>
        <w:t>; etaVp, individual ETA for Vp; ETA, random effects; CL, linear clearance; V</w:t>
      </w:r>
      <w:r w:rsidRPr="00B15071">
        <w:rPr>
          <w:rFonts w:eastAsia="SimSun"/>
          <w:sz w:val="20"/>
          <w:vertAlign w:val="subscript"/>
        </w:rPr>
        <w:t>c</w:t>
      </w:r>
      <w:r w:rsidRPr="00B15071">
        <w:rPr>
          <w:rFonts w:eastAsia="SimSun"/>
          <w:sz w:val="20"/>
        </w:rPr>
        <w:t>, central compartment volume; V</w:t>
      </w:r>
      <w:r w:rsidRPr="00B15071">
        <w:rPr>
          <w:rFonts w:eastAsia="SimSun"/>
          <w:sz w:val="20"/>
          <w:vertAlign w:val="subscript"/>
        </w:rPr>
        <w:t>p</w:t>
      </w:r>
      <w:r w:rsidRPr="00B15071">
        <w:rPr>
          <w:rFonts w:eastAsia="SimSun"/>
          <w:sz w:val="20"/>
        </w:rPr>
        <w:t>, peripheral compartment volume; V</w:t>
      </w:r>
      <w:r w:rsidRPr="00B15071">
        <w:rPr>
          <w:rFonts w:eastAsia="SimSun"/>
          <w:sz w:val="20"/>
          <w:vertAlign w:val="subscript"/>
        </w:rPr>
        <w:t>M</w:t>
      </w:r>
      <w:r w:rsidRPr="00B15071">
        <w:rPr>
          <w:rFonts w:eastAsia="SimSun"/>
          <w:sz w:val="20"/>
        </w:rPr>
        <w:t>, maximum drug elimination by nonlinear clearance.</w:t>
      </w:r>
    </w:p>
    <w:p w:rsidR="00E92171" w:rsidRPr="00D925A8" w:rsidRDefault="00E92171" w:rsidP="00E92171">
      <w:pPr>
        <w:pStyle w:val="C-BodyText"/>
        <w:rPr>
          <w:b/>
          <w:bCs/>
        </w:rPr>
      </w:pPr>
      <w:r w:rsidRPr="00D925A8">
        <w:rPr>
          <w:b/>
          <w:bCs/>
        </w:rPr>
        <w:t>Fig</w:t>
      </w:r>
      <w:r>
        <w:rPr>
          <w:b/>
          <w:bCs/>
        </w:rPr>
        <w:t>.</w:t>
      </w:r>
      <w:r w:rsidRPr="00D925A8">
        <w:rPr>
          <w:b/>
          <w:bCs/>
        </w:rPr>
        <w:t> 3</w:t>
      </w:r>
      <w:r w:rsidRPr="00D925A8">
        <w:rPr>
          <w:b/>
          <w:bCs/>
        </w:rPr>
        <w:tab/>
        <w:t>Pairwise correlation plots of the individual ETA estimates from the final population pharmacokinetic model</w:t>
      </w:r>
    </w:p>
    <w:p w:rsidR="00E92171" w:rsidRDefault="00E92171" w:rsidP="00E92171">
      <w:pPr>
        <w:pStyle w:val="C-BodyText"/>
        <w:rPr>
          <w:rFonts w:eastAsia="SimSun"/>
          <w:sz w:val="20"/>
        </w:rPr>
      </w:pPr>
      <w:r w:rsidRPr="00B36D0E">
        <w:rPr>
          <w:rFonts w:eastAsia="SimSun"/>
          <w:sz w:val="20"/>
        </w:rPr>
        <w:t xml:space="preserve">Points are the post-hoc estimates from NONMEM. Red lines are smooth curves (lowess) showing the relationship between two variables. </w:t>
      </w:r>
    </w:p>
    <w:p w:rsidR="00E92171" w:rsidRPr="00D925A8" w:rsidRDefault="00E92171" w:rsidP="00E92171">
      <w:pPr>
        <w:pStyle w:val="C-BodyText"/>
        <w:rPr>
          <w:rFonts w:eastAsia="SimSun"/>
          <w:sz w:val="20"/>
        </w:rPr>
      </w:pPr>
      <w:r>
        <w:rPr>
          <w:rFonts w:eastAsia="SimSun"/>
          <w:sz w:val="20"/>
        </w:rPr>
        <w:t xml:space="preserve">Abbreviations: </w:t>
      </w:r>
      <w:r w:rsidRPr="00B36D0E">
        <w:rPr>
          <w:rFonts w:eastAsia="SimSun"/>
          <w:sz w:val="20"/>
        </w:rPr>
        <w:t>etaCL, individual ETA for CL; etaV</w:t>
      </w:r>
      <w:r w:rsidRPr="00B36D0E">
        <w:rPr>
          <w:rFonts w:eastAsia="SimSun"/>
          <w:sz w:val="20"/>
          <w:vertAlign w:val="subscript"/>
        </w:rPr>
        <w:t>c</w:t>
      </w:r>
      <w:r w:rsidRPr="00B36D0E">
        <w:rPr>
          <w:rFonts w:eastAsia="SimSun"/>
          <w:sz w:val="20"/>
        </w:rPr>
        <w:t>, individual ETA for V</w:t>
      </w:r>
      <w:r w:rsidRPr="00B36D0E">
        <w:rPr>
          <w:rFonts w:eastAsia="SimSun"/>
          <w:sz w:val="20"/>
          <w:vertAlign w:val="subscript"/>
        </w:rPr>
        <w:t>c</w:t>
      </w:r>
      <w:r w:rsidRPr="00B36D0E">
        <w:rPr>
          <w:rFonts w:eastAsia="SimSun"/>
          <w:sz w:val="20"/>
        </w:rPr>
        <w:t>; etaV</w:t>
      </w:r>
      <w:r w:rsidRPr="00B36D0E">
        <w:rPr>
          <w:rFonts w:eastAsia="SimSun"/>
          <w:sz w:val="20"/>
          <w:vertAlign w:val="subscript"/>
        </w:rPr>
        <w:t>p</w:t>
      </w:r>
      <w:r w:rsidRPr="00B36D0E">
        <w:rPr>
          <w:rFonts w:eastAsia="SimSun"/>
          <w:sz w:val="20"/>
        </w:rPr>
        <w:t>, individual ETA for V</w:t>
      </w:r>
      <w:r w:rsidRPr="00B36D0E">
        <w:rPr>
          <w:rFonts w:eastAsia="SimSun"/>
          <w:sz w:val="20"/>
          <w:vertAlign w:val="subscript"/>
        </w:rPr>
        <w:t>p</w:t>
      </w:r>
      <w:r w:rsidRPr="00B36D0E">
        <w:rPr>
          <w:rFonts w:eastAsia="SimSun"/>
          <w:sz w:val="20"/>
        </w:rPr>
        <w:t>; etaV</w:t>
      </w:r>
      <w:r w:rsidRPr="00B36D0E">
        <w:rPr>
          <w:rFonts w:eastAsia="SimSun"/>
          <w:sz w:val="20"/>
          <w:vertAlign w:val="subscript"/>
        </w:rPr>
        <w:t>M</w:t>
      </w:r>
      <w:r w:rsidRPr="00B36D0E">
        <w:rPr>
          <w:rFonts w:eastAsia="SimSun"/>
          <w:sz w:val="20"/>
        </w:rPr>
        <w:t>, individual ETA for V</w:t>
      </w:r>
      <w:r w:rsidRPr="00B36D0E">
        <w:rPr>
          <w:rFonts w:eastAsia="SimSun"/>
          <w:sz w:val="20"/>
          <w:vertAlign w:val="subscript"/>
        </w:rPr>
        <w:t>M</w:t>
      </w:r>
      <w:r w:rsidRPr="00B36D0E">
        <w:rPr>
          <w:rFonts w:eastAsia="SimSun"/>
          <w:sz w:val="20"/>
        </w:rPr>
        <w:t>; ETA, random effects; CL, linear clearance; V</w:t>
      </w:r>
      <w:r w:rsidRPr="00B36D0E">
        <w:rPr>
          <w:rFonts w:eastAsia="SimSun"/>
          <w:sz w:val="20"/>
          <w:vertAlign w:val="subscript"/>
        </w:rPr>
        <w:t>c</w:t>
      </w:r>
      <w:r w:rsidRPr="00B36D0E">
        <w:rPr>
          <w:rFonts w:eastAsia="SimSun"/>
          <w:sz w:val="20"/>
        </w:rPr>
        <w:t>, central compartment volume; V</w:t>
      </w:r>
      <w:r w:rsidRPr="00B36D0E">
        <w:rPr>
          <w:rFonts w:eastAsia="SimSun"/>
          <w:sz w:val="20"/>
          <w:vertAlign w:val="subscript"/>
        </w:rPr>
        <w:t>p</w:t>
      </w:r>
      <w:r w:rsidRPr="00B36D0E">
        <w:rPr>
          <w:rFonts w:eastAsia="SimSun"/>
          <w:sz w:val="20"/>
        </w:rPr>
        <w:t>, peripheral compartment volume; V</w:t>
      </w:r>
      <w:r w:rsidRPr="00B36D0E">
        <w:rPr>
          <w:rFonts w:eastAsia="SimSun"/>
          <w:sz w:val="20"/>
          <w:vertAlign w:val="subscript"/>
        </w:rPr>
        <w:t>M</w:t>
      </w:r>
      <w:r w:rsidRPr="00B36D0E">
        <w:rPr>
          <w:rFonts w:eastAsia="SimSun"/>
          <w:sz w:val="20"/>
        </w:rPr>
        <w:t>, maximum drug elimination by nonlinear clearance.</w:t>
      </w:r>
    </w:p>
    <w:p w:rsidR="00E92171" w:rsidRPr="00D925A8" w:rsidRDefault="00E92171" w:rsidP="00E92171">
      <w:pPr>
        <w:pStyle w:val="C-BodyText"/>
        <w:rPr>
          <w:b/>
          <w:bCs/>
        </w:rPr>
      </w:pPr>
      <w:r w:rsidRPr="00D925A8">
        <w:rPr>
          <w:b/>
          <w:bCs/>
        </w:rPr>
        <w:t>Fig</w:t>
      </w:r>
      <w:r>
        <w:rPr>
          <w:b/>
          <w:bCs/>
        </w:rPr>
        <w:t>.</w:t>
      </w:r>
      <w:r w:rsidRPr="00D925A8">
        <w:rPr>
          <w:b/>
          <w:bCs/>
        </w:rPr>
        <w:t> 4</w:t>
      </w:r>
      <w:r w:rsidRPr="00D925A8">
        <w:rPr>
          <w:b/>
          <w:bCs/>
        </w:rPr>
        <w:tab/>
        <w:t>pcVPC of bemarituzumab serum concentration-time profiles across all studies</w:t>
      </w:r>
    </w:p>
    <w:p w:rsidR="00E92171" w:rsidRDefault="00E92171" w:rsidP="00E92171">
      <w:pPr>
        <w:pStyle w:val="C-BodyText"/>
        <w:rPr>
          <w:rFonts w:eastAsia="SimSun"/>
          <w:sz w:val="20"/>
        </w:rPr>
      </w:pPr>
      <w:r w:rsidRPr="00090CB1">
        <w:rPr>
          <w:rFonts w:eastAsia="SimSun"/>
          <w:sz w:val="20"/>
        </w:rPr>
        <w:t>Black open circle are individual observed concentrations, solid red lines represent the median observed concentrations, and dashed red lines represent 2.5%ile and 97.5%iles of the observed concentrations over time. Pink shaded areas represent the 95% CI of the predicted median concentrations, and blue shaded areas represent the 95% CI of the predicted 2.5</w:t>
      </w:r>
      <w:r w:rsidRPr="00090CB1">
        <w:rPr>
          <w:rFonts w:eastAsia="SimSun"/>
          <w:sz w:val="20"/>
          <w:vertAlign w:val="superscript"/>
        </w:rPr>
        <w:t>th</w:t>
      </w:r>
      <w:r w:rsidRPr="00090CB1">
        <w:rPr>
          <w:rFonts w:eastAsia="SimSun"/>
          <w:sz w:val="20"/>
        </w:rPr>
        <w:t xml:space="preserve"> and 97.5</w:t>
      </w:r>
      <w:r w:rsidRPr="00090CB1">
        <w:rPr>
          <w:rFonts w:eastAsia="SimSun"/>
          <w:sz w:val="20"/>
          <w:vertAlign w:val="superscript"/>
        </w:rPr>
        <w:t>th</w:t>
      </w:r>
      <w:r w:rsidRPr="00090CB1">
        <w:rPr>
          <w:rFonts w:eastAsia="SimSun"/>
          <w:sz w:val="20"/>
        </w:rPr>
        <w:t xml:space="preserve"> %iles of the concentrations over time. The top panel included all patients (n=173) while the bottom panel included patients with GEA (N=135). 11 data points after 56 days were not shown. </w:t>
      </w:r>
    </w:p>
    <w:p w:rsidR="00E92171" w:rsidRPr="00D925A8" w:rsidRDefault="00E92171" w:rsidP="00E92171">
      <w:pPr>
        <w:pStyle w:val="C-BodyText"/>
        <w:rPr>
          <w:rFonts w:eastAsia="SimSun"/>
          <w:sz w:val="20"/>
        </w:rPr>
      </w:pPr>
      <w:r>
        <w:rPr>
          <w:rFonts w:eastAsia="SimSun"/>
          <w:sz w:val="20"/>
        </w:rPr>
        <w:t xml:space="preserve">Abbreviations: </w:t>
      </w:r>
      <w:r w:rsidRPr="00090CB1">
        <w:rPr>
          <w:rFonts w:eastAsia="SimSun"/>
          <w:sz w:val="20"/>
        </w:rPr>
        <w:t>pcVPC, prediction-corrected visual predictive check; GEA, gastric and gastroesophageal junction adenocarcinoma.</w:t>
      </w:r>
    </w:p>
    <w:p w:rsidR="00E92171" w:rsidRDefault="00E92171" w:rsidP="00E92171">
      <w:pPr>
        <w:pStyle w:val="C-Footnote"/>
        <w:spacing w:line="360" w:lineRule="auto"/>
      </w:pPr>
    </w:p>
    <w:p w:rsidR="00E92171" w:rsidRPr="00C00AD9" w:rsidRDefault="00E92171" w:rsidP="00E92171">
      <w:pPr>
        <w:pStyle w:val="Caption"/>
        <w:spacing w:line="360" w:lineRule="auto"/>
        <w:rPr>
          <w:snapToGrid w:val="0"/>
        </w:rPr>
      </w:pPr>
      <w:r w:rsidRPr="00734FDA">
        <w:lastRenderedPageBreak/>
        <w:t>Fig</w:t>
      </w:r>
      <w:r>
        <w:t>. 5</w:t>
      </w:r>
      <w:r>
        <w:tab/>
      </w:r>
      <w:r w:rsidRPr="00353A6A">
        <w:rPr>
          <w:snapToGrid w:val="0"/>
        </w:rPr>
        <w:t>Sensitivity</w:t>
      </w:r>
      <w:r>
        <w:rPr>
          <w:snapToGrid w:val="0"/>
        </w:rPr>
        <w:t xml:space="preserve"> analysis</w:t>
      </w:r>
      <w:r w:rsidRPr="00353A6A">
        <w:rPr>
          <w:snapToGrid w:val="0"/>
        </w:rPr>
        <w:t xml:space="preserve"> </w:t>
      </w:r>
      <w:r>
        <w:rPr>
          <w:snapToGrid w:val="0"/>
        </w:rPr>
        <w:t>p</w:t>
      </w:r>
      <w:r w:rsidRPr="00353A6A">
        <w:rPr>
          <w:snapToGrid w:val="0"/>
        </w:rPr>
        <w:t xml:space="preserve">lot </w:t>
      </w:r>
      <w:r>
        <w:rPr>
          <w:snapToGrid w:val="0"/>
        </w:rPr>
        <w:t>c</w:t>
      </w:r>
      <w:r w:rsidRPr="00353A6A">
        <w:rPr>
          <w:snapToGrid w:val="0"/>
        </w:rPr>
        <w:t xml:space="preserve">omparing the </w:t>
      </w:r>
      <w:r>
        <w:rPr>
          <w:snapToGrid w:val="0"/>
        </w:rPr>
        <w:t>e</w:t>
      </w:r>
      <w:r w:rsidRPr="00353A6A">
        <w:rPr>
          <w:snapToGrid w:val="0"/>
        </w:rPr>
        <w:t xml:space="preserve">ffect of </w:t>
      </w:r>
      <w:r>
        <w:t xml:space="preserve">significant </w:t>
      </w:r>
      <w:r>
        <w:rPr>
          <w:snapToGrid w:val="0"/>
        </w:rPr>
        <w:t>c</w:t>
      </w:r>
      <w:r w:rsidRPr="00353A6A">
        <w:rPr>
          <w:snapToGrid w:val="0"/>
        </w:rPr>
        <w:t xml:space="preserve">ovariates on </w:t>
      </w:r>
      <w:r>
        <w:t>bemarituzumab</w:t>
      </w:r>
      <w:r w:rsidRPr="00353A6A">
        <w:rPr>
          <w:snapToGrid w:val="0"/>
        </w:rPr>
        <w:t xml:space="preserve"> </w:t>
      </w:r>
      <w:r>
        <w:rPr>
          <w:snapToGrid w:val="0"/>
        </w:rPr>
        <w:t>s</w:t>
      </w:r>
      <w:r w:rsidRPr="00353A6A">
        <w:rPr>
          <w:snapToGrid w:val="0"/>
        </w:rPr>
        <w:t>teady</w:t>
      </w:r>
      <w:r>
        <w:rPr>
          <w:snapToGrid w:val="0"/>
        </w:rPr>
        <w:t>-s</w:t>
      </w:r>
      <w:r w:rsidRPr="00353A6A">
        <w:rPr>
          <w:snapToGrid w:val="0"/>
        </w:rPr>
        <w:t>tate</w:t>
      </w:r>
      <w:r>
        <w:rPr>
          <w:snapToGrid w:val="0"/>
        </w:rPr>
        <w:t xml:space="preserve"> exposure (AUC</w:t>
      </w:r>
      <w:r>
        <w:rPr>
          <w:snapToGrid w:val="0"/>
          <w:vertAlign w:val="subscript"/>
        </w:rPr>
        <w:t>ss</w:t>
      </w:r>
      <w:r>
        <w:rPr>
          <w:snapToGrid w:val="0"/>
        </w:rPr>
        <w:t xml:space="preserve">, </w:t>
      </w:r>
      <w:r w:rsidRPr="00353A6A">
        <w:rPr>
          <w:snapToGrid w:val="0"/>
        </w:rPr>
        <w:t>C</w:t>
      </w:r>
      <w:r>
        <w:rPr>
          <w:snapToGrid w:val="0"/>
          <w:vertAlign w:val="subscript"/>
        </w:rPr>
        <w:t>max,ss</w:t>
      </w:r>
      <w:r>
        <w:rPr>
          <w:snapToGrid w:val="0"/>
        </w:rPr>
        <w:t>, and C</w:t>
      </w:r>
      <w:r>
        <w:rPr>
          <w:snapToGrid w:val="0"/>
          <w:vertAlign w:val="subscript"/>
        </w:rPr>
        <w:t>trough,ss</w:t>
      </w:r>
      <w:r w:rsidRPr="00353A6A">
        <w:rPr>
          <w:snapToGrid w:val="0"/>
        </w:rPr>
        <w:t>)</w:t>
      </w:r>
    </w:p>
    <w:p w:rsidR="00E92171" w:rsidRDefault="00E92171" w:rsidP="00E92171">
      <w:pPr>
        <w:pStyle w:val="C-Footnote"/>
        <w:spacing w:line="360" w:lineRule="auto"/>
      </w:pPr>
      <w:r w:rsidRPr="00C00AD9">
        <w:t>The black vertical line refers to the predicted exposure (AUC</w:t>
      </w:r>
      <w:r w:rsidRPr="00C00AD9">
        <w:rPr>
          <w:vertAlign w:val="subscript"/>
        </w:rPr>
        <w:t>ss</w:t>
      </w:r>
      <w:r w:rsidRPr="00C00AD9">
        <w:t>, C</w:t>
      </w:r>
      <w:r w:rsidRPr="00C00AD9">
        <w:rPr>
          <w:vertAlign w:val="subscript"/>
        </w:rPr>
        <w:t>max,ss</w:t>
      </w:r>
      <w:r w:rsidRPr="00C00AD9">
        <w:t>, and C</w:t>
      </w:r>
      <w:r w:rsidRPr="00C00AD9">
        <w:rPr>
          <w:vertAlign w:val="subscript"/>
        </w:rPr>
        <w:t>trough,ss</w:t>
      </w:r>
      <w:r w:rsidRPr="00C00AD9">
        <w:t xml:space="preserve">) of bemarituzumab in a typical patient after 15 mg/kg Q2W with 1 </w:t>
      </w:r>
      <w:r>
        <w:t xml:space="preserve">additional </w:t>
      </w:r>
      <w:r w:rsidRPr="00C00AD9">
        <w:t xml:space="preserve">dose of bemarituzumab 7.5 mg/kg on Cycle 1 </w:t>
      </w:r>
      <w:r>
        <w:t>Day 8</w:t>
      </w:r>
      <w:r w:rsidRPr="00C00AD9">
        <w:t xml:space="preserve"> for 1 year which serve as the reference values. All percentage values shown in each plot are the relative changes in exposure relative to the reference value. The black shaded bar with values at each end shows the 5th to 95th percentile exposure range across the GEA patient population. Each blue shaded bar represents the magnitude of influence of the respective covariate on the exposure. The length of each bar represents the range of predicted bemarituzumab exposure between the high/low or possible values of the covariate (indicated at each end of the bar). The covariates shown in each plot are ordered from the most influential covariate at the top to the least influential covariate at the bottom. </w:t>
      </w:r>
    </w:p>
    <w:p w:rsidR="00E92171" w:rsidRPr="00DC3E23" w:rsidRDefault="00E92171" w:rsidP="00E92171">
      <w:pPr>
        <w:pStyle w:val="C-Footnote"/>
        <w:spacing w:line="360" w:lineRule="auto"/>
      </w:pPr>
      <w:r>
        <w:t xml:space="preserve">Abbreviations: </w:t>
      </w:r>
      <w:r w:rsidRPr="00C00AD9">
        <w:t>AUC</w:t>
      </w:r>
      <w:r w:rsidRPr="00C00AD9">
        <w:rPr>
          <w:vertAlign w:val="subscript"/>
        </w:rPr>
        <w:t>ss</w:t>
      </w:r>
      <w:r w:rsidRPr="00C00AD9">
        <w:t xml:space="preserve">, area under curve at </w:t>
      </w:r>
      <w:r>
        <w:t>steady-state</w:t>
      </w:r>
      <w:r w:rsidRPr="00C00AD9">
        <w:t>; C</w:t>
      </w:r>
      <w:r w:rsidRPr="00C00AD9">
        <w:rPr>
          <w:vertAlign w:val="subscript"/>
        </w:rPr>
        <w:t>max,ss</w:t>
      </w:r>
      <w:r w:rsidRPr="00C00AD9">
        <w:t xml:space="preserve">, peak concentration at </w:t>
      </w:r>
      <w:r>
        <w:t>steady-state</w:t>
      </w:r>
      <w:r w:rsidRPr="00C00AD9">
        <w:t>; C</w:t>
      </w:r>
      <w:r w:rsidRPr="00C00AD9">
        <w:rPr>
          <w:vertAlign w:val="subscript"/>
        </w:rPr>
        <w:t>trough,ss</w:t>
      </w:r>
      <w:r w:rsidRPr="00C00AD9">
        <w:t xml:space="preserve">, trough concentration at </w:t>
      </w:r>
      <w:r>
        <w:t>steady-state</w:t>
      </w:r>
      <w:r w:rsidRPr="00C00AD9">
        <w:t>; PI, prediction interval; Q2W, once every two weeks; GEA, gastric and gastroesophageal junction adenocarcinoma.</w:t>
      </w:r>
    </w:p>
    <w:p w:rsidR="00E92171" w:rsidRDefault="00E92171" w:rsidP="00E92171">
      <w:pPr>
        <w:pStyle w:val="Heading1"/>
        <w:spacing w:line="360" w:lineRule="auto"/>
        <w:rPr>
          <w:rFonts w:ascii="Times New Roman" w:hAnsi="Times New Roman"/>
          <w:sz w:val="28"/>
          <w:szCs w:val="28"/>
        </w:rPr>
      </w:pPr>
    </w:p>
    <w:p w:rsidR="00E92171" w:rsidRDefault="00E92171" w:rsidP="00E92171">
      <w:pPr>
        <w:pStyle w:val="Heading1"/>
        <w:spacing w:line="360" w:lineRule="auto"/>
        <w:rPr>
          <w:rFonts w:ascii="Times New Roman" w:hAnsi="Times New Roman"/>
          <w:sz w:val="28"/>
          <w:szCs w:val="28"/>
        </w:rPr>
      </w:pPr>
    </w:p>
    <w:p w:rsidR="00E92171" w:rsidRPr="007066C6" w:rsidRDefault="00E92171" w:rsidP="00E92171">
      <w:pPr>
        <w:pStyle w:val="Heading1"/>
        <w:spacing w:line="360" w:lineRule="auto"/>
        <w:rPr>
          <w:rFonts w:ascii="Times New Roman" w:hAnsi="Times New Roman"/>
          <w:sz w:val="28"/>
          <w:szCs w:val="28"/>
        </w:rPr>
      </w:pPr>
    </w:p>
    <w:p w:rsidR="00E92171" w:rsidRDefault="00E92171" w:rsidP="00E92171">
      <w:pPr>
        <w:pStyle w:val="Caption"/>
        <w:spacing w:line="360" w:lineRule="auto"/>
      </w:pPr>
      <w:r w:rsidRPr="00386A28">
        <w:lastRenderedPageBreak/>
        <w:t>Fig</w:t>
      </w:r>
      <w:r>
        <w:t>.</w:t>
      </w:r>
      <w:r w:rsidRPr="00386A28">
        <w:t> 1</w:t>
      </w:r>
      <w:r w:rsidRPr="00386A28">
        <w:tab/>
        <w:t xml:space="preserve">Diagnostic </w:t>
      </w:r>
      <w:r>
        <w:t>p</w:t>
      </w:r>
      <w:r w:rsidRPr="00386A28">
        <w:t xml:space="preserve">lots for the </w:t>
      </w:r>
      <w:r>
        <w:t>f</w:t>
      </w:r>
      <w:r w:rsidRPr="00386A28">
        <w:t xml:space="preserve">inal </w:t>
      </w:r>
      <w:r>
        <w:t>p</w:t>
      </w:r>
      <w:r w:rsidRPr="00386A28">
        <w:t xml:space="preserve">opulation </w:t>
      </w:r>
      <w:r>
        <w:t>pharmacokinetic</w:t>
      </w:r>
      <w:r w:rsidRPr="00386A28">
        <w:t xml:space="preserve"> </w:t>
      </w:r>
      <w:r>
        <w:t>m</w:t>
      </w:r>
      <w:r w:rsidRPr="00386A28">
        <w:t>odel</w:t>
      </w:r>
    </w:p>
    <w:p w:rsidR="00E92171" w:rsidRPr="006177FC" w:rsidRDefault="00E92171" w:rsidP="00E92171">
      <w:pPr>
        <w:pStyle w:val="C-BodyText"/>
      </w:pPr>
      <w:r>
        <w:rPr>
          <w:noProof/>
        </w:rPr>
        <w:drawing>
          <wp:inline distT="0" distB="0" distL="0" distR="0" wp14:anchorId="576E95F9" wp14:editId="487C690B">
            <wp:extent cx="5040000" cy="5040000"/>
            <wp:effectExtent l="0" t="0" r="8255" b="8255"/>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40000" cy="5040000"/>
                    </a:xfrm>
                    <a:prstGeom prst="rect">
                      <a:avLst/>
                    </a:prstGeom>
                    <a:noFill/>
                    <a:ln>
                      <a:noFill/>
                    </a:ln>
                  </pic:spPr>
                </pic:pic>
              </a:graphicData>
            </a:graphic>
          </wp:inline>
        </w:drawing>
      </w:r>
    </w:p>
    <w:p w:rsidR="00E92171" w:rsidRDefault="00E92171" w:rsidP="00E92171">
      <w:pPr>
        <w:pStyle w:val="Caption"/>
        <w:spacing w:line="360" w:lineRule="auto"/>
        <w:ind w:left="0" w:firstLine="0"/>
      </w:pPr>
      <w:r w:rsidRPr="00826370">
        <w:lastRenderedPageBreak/>
        <w:t>Fig</w:t>
      </w:r>
      <w:r>
        <w:t>. 2</w:t>
      </w:r>
      <w:r>
        <w:tab/>
      </w:r>
      <w:r w:rsidRPr="002A7979">
        <w:t>E</w:t>
      </w:r>
      <w:r>
        <w:t>TA</w:t>
      </w:r>
      <w:r w:rsidRPr="002A7979">
        <w:t xml:space="preserve"> </w:t>
      </w:r>
      <w:r>
        <w:t>h</w:t>
      </w:r>
      <w:r w:rsidRPr="002A7979">
        <w:t xml:space="preserve">istograms for the </w:t>
      </w:r>
      <w:r>
        <w:t>f</w:t>
      </w:r>
      <w:r w:rsidRPr="002A7979">
        <w:t xml:space="preserve">inal </w:t>
      </w:r>
      <w:r>
        <w:t>population pharmacokinetic</w:t>
      </w:r>
      <w:r w:rsidRPr="002A7979">
        <w:t xml:space="preserve"> </w:t>
      </w:r>
      <w:r>
        <w:t>m</w:t>
      </w:r>
      <w:r w:rsidRPr="002A7979">
        <w:t>odel</w:t>
      </w:r>
    </w:p>
    <w:p w:rsidR="00E92171" w:rsidRPr="0027196C" w:rsidRDefault="00E92171" w:rsidP="00E92171">
      <w:pPr>
        <w:pStyle w:val="C-BodyText"/>
      </w:pPr>
      <w:r>
        <w:rPr>
          <w:noProof/>
        </w:rPr>
        <w:drawing>
          <wp:inline distT="0" distB="0" distL="0" distR="0" wp14:anchorId="67D6A0F0" wp14:editId="2FE8FE24">
            <wp:extent cx="4800000" cy="3600000"/>
            <wp:effectExtent l="0" t="0" r="635" b="635"/>
            <wp:docPr id="13"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E92171" w:rsidRPr="00EC39C9" w:rsidRDefault="00E92171" w:rsidP="00E92171">
      <w:pPr>
        <w:pStyle w:val="Caption"/>
        <w:spacing w:line="360" w:lineRule="auto"/>
        <w:rPr>
          <w:color w:val="000000" w:themeColor="text1"/>
        </w:rPr>
      </w:pPr>
      <w:r w:rsidRPr="00EC39C9">
        <w:rPr>
          <w:color w:val="000000" w:themeColor="text1"/>
        </w:rPr>
        <w:lastRenderedPageBreak/>
        <w:t>Fig</w:t>
      </w:r>
      <w:r>
        <w:rPr>
          <w:color w:val="000000" w:themeColor="text1"/>
        </w:rPr>
        <w:t>.</w:t>
      </w:r>
      <w:r w:rsidRPr="00EC39C9">
        <w:rPr>
          <w:color w:val="000000" w:themeColor="text1"/>
        </w:rPr>
        <w:t> </w:t>
      </w:r>
      <w:r>
        <w:rPr>
          <w:color w:val="000000" w:themeColor="text1"/>
        </w:rPr>
        <w:t>3</w:t>
      </w:r>
      <w:r w:rsidRPr="00EC39C9">
        <w:rPr>
          <w:color w:val="000000" w:themeColor="text1"/>
        </w:rPr>
        <w:tab/>
        <w:t xml:space="preserve">Pairwise </w:t>
      </w:r>
      <w:r>
        <w:rPr>
          <w:color w:val="000000" w:themeColor="text1"/>
        </w:rPr>
        <w:t>c</w:t>
      </w:r>
      <w:r w:rsidRPr="00EC39C9">
        <w:rPr>
          <w:color w:val="000000" w:themeColor="text1"/>
        </w:rPr>
        <w:t xml:space="preserve">orrelation </w:t>
      </w:r>
      <w:r>
        <w:rPr>
          <w:color w:val="000000" w:themeColor="text1"/>
        </w:rPr>
        <w:t>p</w:t>
      </w:r>
      <w:r w:rsidRPr="00EC39C9">
        <w:rPr>
          <w:color w:val="000000" w:themeColor="text1"/>
        </w:rPr>
        <w:t xml:space="preserve">lots of the </w:t>
      </w:r>
      <w:r>
        <w:rPr>
          <w:color w:val="000000" w:themeColor="text1"/>
        </w:rPr>
        <w:t>i</w:t>
      </w:r>
      <w:r w:rsidRPr="00EC39C9">
        <w:rPr>
          <w:color w:val="000000" w:themeColor="text1"/>
        </w:rPr>
        <w:t xml:space="preserve">ndividual ETA </w:t>
      </w:r>
      <w:r>
        <w:rPr>
          <w:color w:val="000000" w:themeColor="text1"/>
        </w:rPr>
        <w:t>e</w:t>
      </w:r>
      <w:r w:rsidRPr="00EC39C9">
        <w:rPr>
          <w:color w:val="000000" w:themeColor="text1"/>
        </w:rPr>
        <w:t xml:space="preserve">stimates </w:t>
      </w:r>
      <w:r>
        <w:rPr>
          <w:color w:val="000000" w:themeColor="text1"/>
        </w:rPr>
        <w:t>f</w:t>
      </w:r>
      <w:r w:rsidRPr="00EC39C9">
        <w:rPr>
          <w:color w:val="000000" w:themeColor="text1"/>
        </w:rPr>
        <w:t xml:space="preserve">rom the </w:t>
      </w:r>
      <w:r>
        <w:rPr>
          <w:color w:val="000000" w:themeColor="text1"/>
        </w:rPr>
        <w:t>f</w:t>
      </w:r>
      <w:r w:rsidRPr="00EC39C9">
        <w:rPr>
          <w:color w:val="000000" w:themeColor="text1"/>
        </w:rPr>
        <w:t xml:space="preserve">inal </w:t>
      </w:r>
      <w:r>
        <w:rPr>
          <w:color w:val="000000" w:themeColor="text1"/>
        </w:rPr>
        <w:t>population pharmacokinetic</w:t>
      </w:r>
      <w:r w:rsidRPr="00EC39C9">
        <w:rPr>
          <w:color w:val="000000" w:themeColor="text1"/>
        </w:rPr>
        <w:t xml:space="preserve"> </w:t>
      </w:r>
      <w:r>
        <w:rPr>
          <w:color w:val="000000" w:themeColor="text1"/>
        </w:rPr>
        <w:t>m</w:t>
      </w:r>
      <w:r w:rsidRPr="00EC39C9">
        <w:rPr>
          <w:color w:val="000000" w:themeColor="text1"/>
        </w:rPr>
        <w:t>odel</w:t>
      </w:r>
    </w:p>
    <w:p w:rsidR="00E92171" w:rsidRDefault="00E92171" w:rsidP="00E92171">
      <w:pPr>
        <w:pStyle w:val="C-BodyText"/>
        <w:rPr>
          <w:color w:val="000000" w:themeColor="text1"/>
        </w:rPr>
      </w:pPr>
      <w:r>
        <w:rPr>
          <w:noProof/>
        </w:rPr>
        <w:drawing>
          <wp:inline distT="0" distB="0" distL="0" distR="0" wp14:anchorId="186A7496" wp14:editId="4707593C">
            <wp:extent cx="5407660" cy="360299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7660" cy="3602990"/>
                    </a:xfrm>
                    <a:prstGeom prst="rect">
                      <a:avLst/>
                    </a:prstGeom>
                    <a:noFill/>
                  </pic:spPr>
                </pic:pic>
              </a:graphicData>
            </a:graphic>
          </wp:inline>
        </w:drawing>
      </w:r>
    </w:p>
    <w:p w:rsidR="00E92171" w:rsidRDefault="00E92171" w:rsidP="00E92171">
      <w:pPr>
        <w:pStyle w:val="C-BodyText"/>
        <w:rPr>
          <w:color w:val="000000" w:themeColor="text1"/>
        </w:rPr>
      </w:pPr>
    </w:p>
    <w:p w:rsidR="00E92171" w:rsidRDefault="00E92171" w:rsidP="00E92171">
      <w:pPr>
        <w:pStyle w:val="Caption"/>
        <w:spacing w:line="360" w:lineRule="auto"/>
        <w:rPr>
          <w:color w:val="000000" w:themeColor="text1"/>
        </w:rPr>
      </w:pPr>
      <w:r w:rsidRPr="00EC39C9">
        <w:rPr>
          <w:color w:val="000000" w:themeColor="text1"/>
        </w:rPr>
        <w:lastRenderedPageBreak/>
        <w:t>Fig</w:t>
      </w:r>
      <w:r>
        <w:rPr>
          <w:color w:val="000000" w:themeColor="text1"/>
        </w:rPr>
        <w:t>. 4</w:t>
      </w:r>
      <w:r>
        <w:rPr>
          <w:color w:val="000000" w:themeColor="text1"/>
        </w:rPr>
        <w:tab/>
      </w:r>
      <w:r w:rsidRPr="00EC39C9">
        <w:rPr>
          <w:color w:val="000000" w:themeColor="text1"/>
        </w:rPr>
        <w:t xml:space="preserve">pcVPC of </w:t>
      </w:r>
      <w:r>
        <w:rPr>
          <w:color w:val="000000" w:themeColor="text1"/>
        </w:rPr>
        <w:t>bemarituzumab serum</w:t>
      </w:r>
      <w:r w:rsidRPr="00EC39C9">
        <w:rPr>
          <w:color w:val="000000" w:themeColor="text1"/>
        </w:rPr>
        <w:t xml:space="preserve"> </w:t>
      </w:r>
      <w:r>
        <w:rPr>
          <w:color w:val="000000" w:themeColor="text1"/>
        </w:rPr>
        <w:t>co</w:t>
      </w:r>
      <w:r w:rsidRPr="00EC39C9">
        <w:rPr>
          <w:color w:val="000000" w:themeColor="text1"/>
        </w:rPr>
        <w:t>ncentration-</w:t>
      </w:r>
      <w:r>
        <w:rPr>
          <w:color w:val="000000" w:themeColor="text1"/>
        </w:rPr>
        <w:t>t</w:t>
      </w:r>
      <w:r w:rsidRPr="00EC39C9">
        <w:rPr>
          <w:color w:val="000000" w:themeColor="text1"/>
        </w:rPr>
        <w:t xml:space="preserve">ime </w:t>
      </w:r>
      <w:r>
        <w:rPr>
          <w:color w:val="000000" w:themeColor="text1"/>
        </w:rPr>
        <w:t>p</w:t>
      </w:r>
      <w:r w:rsidRPr="00EC39C9">
        <w:rPr>
          <w:color w:val="000000" w:themeColor="text1"/>
        </w:rPr>
        <w:t xml:space="preserve">rofiles </w:t>
      </w:r>
      <w:r>
        <w:rPr>
          <w:color w:val="000000" w:themeColor="text1"/>
        </w:rPr>
        <w:t>a</w:t>
      </w:r>
      <w:r w:rsidRPr="00EC39C9">
        <w:rPr>
          <w:color w:val="000000" w:themeColor="text1"/>
        </w:rPr>
        <w:t xml:space="preserve">cross </w:t>
      </w:r>
      <w:r>
        <w:rPr>
          <w:color w:val="000000" w:themeColor="text1"/>
        </w:rPr>
        <w:t>a</w:t>
      </w:r>
      <w:r w:rsidRPr="00EC39C9">
        <w:rPr>
          <w:color w:val="000000" w:themeColor="text1"/>
        </w:rPr>
        <w:t xml:space="preserve">ll </w:t>
      </w:r>
      <w:r>
        <w:rPr>
          <w:color w:val="000000" w:themeColor="text1"/>
        </w:rPr>
        <w:t>s</w:t>
      </w:r>
      <w:r w:rsidRPr="00EC39C9">
        <w:rPr>
          <w:color w:val="000000" w:themeColor="text1"/>
        </w:rPr>
        <w:t>tudies</w:t>
      </w:r>
    </w:p>
    <w:p w:rsidR="00E92171" w:rsidRPr="00314C2E" w:rsidRDefault="00E92171" w:rsidP="00E92171">
      <w:pPr>
        <w:pStyle w:val="C-BodyText"/>
        <w:jc w:val="center"/>
      </w:pPr>
      <w:r>
        <w:rPr>
          <w:noProof/>
        </w:rPr>
        <w:drawing>
          <wp:inline distT="0" distB="0" distL="0" distR="0" wp14:anchorId="7FF73C38" wp14:editId="4ACE1FFD">
            <wp:extent cx="4031828" cy="2880000"/>
            <wp:effectExtent l="0" t="0" r="6985"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1828" cy="2880000"/>
                    </a:xfrm>
                    <a:prstGeom prst="rect">
                      <a:avLst/>
                    </a:prstGeom>
                    <a:noFill/>
                    <a:ln>
                      <a:noFill/>
                    </a:ln>
                  </pic:spPr>
                </pic:pic>
              </a:graphicData>
            </a:graphic>
          </wp:inline>
        </w:drawing>
      </w:r>
    </w:p>
    <w:p w:rsidR="00E92171" w:rsidRDefault="00E92171" w:rsidP="00E92171">
      <w:pPr>
        <w:autoSpaceDE w:val="0"/>
        <w:autoSpaceDN w:val="0"/>
        <w:adjustRightInd w:val="0"/>
        <w:spacing w:before="240" w:after="240"/>
        <w:jc w:val="center"/>
        <w:rPr>
          <w:rFonts w:ascii="TimesNewRomanPS-BoldMT" w:hAnsi="TimesNewRomanPS-BoldMT" w:cs="TimesNewRomanPS-BoldMT"/>
          <w:b/>
          <w:bCs/>
        </w:rPr>
      </w:pPr>
      <w:r>
        <w:rPr>
          <w:noProof/>
        </w:rPr>
        <w:drawing>
          <wp:inline distT="0" distB="0" distL="0" distR="0" wp14:anchorId="60ADF943" wp14:editId="0D405CB4">
            <wp:extent cx="4031828" cy="2880000"/>
            <wp:effectExtent l="0" t="0" r="6985"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1828" cy="2880000"/>
                    </a:xfrm>
                    <a:prstGeom prst="rect">
                      <a:avLst/>
                    </a:prstGeom>
                    <a:noFill/>
                    <a:ln>
                      <a:noFill/>
                    </a:ln>
                  </pic:spPr>
                </pic:pic>
              </a:graphicData>
            </a:graphic>
          </wp:inline>
        </w:drawing>
      </w:r>
    </w:p>
    <w:p w:rsidR="00E92171" w:rsidRDefault="00E92171" w:rsidP="00E92171">
      <w:pPr>
        <w:autoSpaceDE w:val="0"/>
        <w:autoSpaceDN w:val="0"/>
        <w:adjustRightInd w:val="0"/>
        <w:spacing w:before="240" w:after="240"/>
        <w:jc w:val="center"/>
        <w:rPr>
          <w:rFonts w:ascii="TimesNewRomanPS-BoldMT" w:hAnsi="TimesNewRomanPS-BoldMT" w:cs="TimesNewRomanPS-BoldMT"/>
          <w:b/>
          <w:bCs/>
        </w:rPr>
      </w:pPr>
    </w:p>
    <w:p w:rsidR="00E92171" w:rsidRDefault="00E92171" w:rsidP="00E92171">
      <w:pPr>
        <w:pStyle w:val="Caption"/>
        <w:spacing w:line="360" w:lineRule="auto"/>
        <w:rPr>
          <w:snapToGrid w:val="0"/>
        </w:rPr>
      </w:pPr>
      <w:r w:rsidRPr="00734FDA">
        <w:lastRenderedPageBreak/>
        <w:t>Fig</w:t>
      </w:r>
      <w:r>
        <w:t>. 5</w:t>
      </w:r>
      <w:r>
        <w:tab/>
      </w:r>
      <w:r w:rsidRPr="00353A6A">
        <w:rPr>
          <w:snapToGrid w:val="0"/>
        </w:rPr>
        <w:t>Sensitivity</w:t>
      </w:r>
      <w:r>
        <w:rPr>
          <w:snapToGrid w:val="0"/>
        </w:rPr>
        <w:t xml:space="preserve"> analysis</w:t>
      </w:r>
      <w:r w:rsidRPr="00353A6A">
        <w:rPr>
          <w:snapToGrid w:val="0"/>
        </w:rPr>
        <w:t xml:space="preserve"> </w:t>
      </w:r>
      <w:r>
        <w:rPr>
          <w:snapToGrid w:val="0"/>
        </w:rPr>
        <w:t>p</w:t>
      </w:r>
      <w:r w:rsidRPr="00353A6A">
        <w:rPr>
          <w:snapToGrid w:val="0"/>
        </w:rPr>
        <w:t xml:space="preserve">lot </w:t>
      </w:r>
      <w:r>
        <w:rPr>
          <w:snapToGrid w:val="0"/>
        </w:rPr>
        <w:t>c</w:t>
      </w:r>
      <w:r w:rsidRPr="00353A6A">
        <w:rPr>
          <w:snapToGrid w:val="0"/>
        </w:rPr>
        <w:t xml:space="preserve">omparing the </w:t>
      </w:r>
      <w:r>
        <w:rPr>
          <w:snapToGrid w:val="0"/>
        </w:rPr>
        <w:t>e</w:t>
      </w:r>
      <w:r w:rsidRPr="00353A6A">
        <w:rPr>
          <w:snapToGrid w:val="0"/>
        </w:rPr>
        <w:t xml:space="preserve">ffect of </w:t>
      </w:r>
      <w:r>
        <w:t xml:space="preserve">significant </w:t>
      </w:r>
      <w:r>
        <w:rPr>
          <w:snapToGrid w:val="0"/>
        </w:rPr>
        <w:t>c</w:t>
      </w:r>
      <w:r w:rsidRPr="00353A6A">
        <w:rPr>
          <w:snapToGrid w:val="0"/>
        </w:rPr>
        <w:t xml:space="preserve">ovariates on </w:t>
      </w:r>
      <w:r>
        <w:t>bemarituzumab</w:t>
      </w:r>
      <w:r w:rsidRPr="00353A6A">
        <w:rPr>
          <w:snapToGrid w:val="0"/>
        </w:rPr>
        <w:t xml:space="preserve"> </w:t>
      </w:r>
      <w:r>
        <w:rPr>
          <w:snapToGrid w:val="0"/>
        </w:rPr>
        <w:t>s</w:t>
      </w:r>
      <w:r w:rsidRPr="00353A6A">
        <w:rPr>
          <w:snapToGrid w:val="0"/>
        </w:rPr>
        <w:t>teady</w:t>
      </w:r>
      <w:r>
        <w:rPr>
          <w:snapToGrid w:val="0"/>
        </w:rPr>
        <w:t>-s</w:t>
      </w:r>
      <w:r w:rsidRPr="00353A6A">
        <w:rPr>
          <w:snapToGrid w:val="0"/>
        </w:rPr>
        <w:t>tate</w:t>
      </w:r>
      <w:r>
        <w:rPr>
          <w:snapToGrid w:val="0"/>
        </w:rPr>
        <w:t xml:space="preserve"> exposure (AUC</w:t>
      </w:r>
      <w:r>
        <w:rPr>
          <w:snapToGrid w:val="0"/>
          <w:vertAlign w:val="subscript"/>
        </w:rPr>
        <w:t>ss</w:t>
      </w:r>
      <w:r>
        <w:rPr>
          <w:snapToGrid w:val="0"/>
        </w:rPr>
        <w:t xml:space="preserve">, </w:t>
      </w:r>
      <w:r w:rsidRPr="00353A6A">
        <w:rPr>
          <w:snapToGrid w:val="0"/>
        </w:rPr>
        <w:t>C</w:t>
      </w:r>
      <w:r>
        <w:rPr>
          <w:snapToGrid w:val="0"/>
          <w:vertAlign w:val="subscript"/>
        </w:rPr>
        <w:t>max,ss</w:t>
      </w:r>
      <w:r>
        <w:rPr>
          <w:snapToGrid w:val="0"/>
        </w:rPr>
        <w:t>, and C</w:t>
      </w:r>
      <w:r>
        <w:rPr>
          <w:snapToGrid w:val="0"/>
          <w:vertAlign w:val="subscript"/>
        </w:rPr>
        <w:t>trough,ss</w:t>
      </w:r>
      <w:r w:rsidRPr="00353A6A">
        <w:rPr>
          <w:snapToGrid w:val="0"/>
        </w:rPr>
        <w:t>)</w:t>
      </w:r>
    </w:p>
    <w:p w:rsidR="00E92171" w:rsidRDefault="00E92171" w:rsidP="00E92171">
      <w:pPr>
        <w:pStyle w:val="C-BodyText"/>
        <w:jc w:val="center"/>
        <w:rPr>
          <w:noProof/>
        </w:rPr>
      </w:pPr>
      <w:r>
        <w:rPr>
          <w:noProof/>
        </w:rPr>
        <w:drawing>
          <wp:inline distT="0" distB="0" distL="0" distR="0" wp14:anchorId="7931254D" wp14:editId="6D70F8DA">
            <wp:extent cx="2680364" cy="22680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0364" cy="2268000"/>
                    </a:xfrm>
                    <a:prstGeom prst="rect">
                      <a:avLst/>
                    </a:prstGeom>
                    <a:noFill/>
                    <a:ln>
                      <a:noFill/>
                    </a:ln>
                  </pic:spPr>
                </pic:pic>
              </a:graphicData>
            </a:graphic>
          </wp:inline>
        </w:drawing>
      </w:r>
      <w:r w:rsidRPr="009F46B1">
        <w:t xml:space="preserve"> </w:t>
      </w:r>
      <w:r>
        <w:rPr>
          <w:noProof/>
        </w:rPr>
        <w:drawing>
          <wp:inline distT="0" distB="0" distL="0" distR="0" wp14:anchorId="2207A308" wp14:editId="1A0629AC">
            <wp:extent cx="2680364" cy="22680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0364" cy="2268000"/>
                    </a:xfrm>
                    <a:prstGeom prst="rect">
                      <a:avLst/>
                    </a:prstGeom>
                    <a:noFill/>
                    <a:ln>
                      <a:noFill/>
                    </a:ln>
                  </pic:spPr>
                </pic:pic>
              </a:graphicData>
            </a:graphic>
          </wp:inline>
        </w:drawing>
      </w:r>
    </w:p>
    <w:p w:rsidR="00E92171" w:rsidRPr="0018714E" w:rsidRDefault="00E92171" w:rsidP="00E92171">
      <w:pPr>
        <w:pStyle w:val="C-BodyText"/>
        <w:jc w:val="center"/>
        <w:rPr>
          <w:noProof/>
        </w:rPr>
      </w:pPr>
      <w:r>
        <w:rPr>
          <w:noProof/>
        </w:rPr>
        <w:drawing>
          <wp:inline distT="0" distB="0" distL="0" distR="0" wp14:anchorId="79797510" wp14:editId="438CCEE3">
            <wp:extent cx="2680364" cy="22680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0364" cy="2268000"/>
                    </a:xfrm>
                    <a:prstGeom prst="rect">
                      <a:avLst/>
                    </a:prstGeom>
                    <a:noFill/>
                    <a:ln>
                      <a:noFill/>
                    </a:ln>
                  </pic:spPr>
                </pic:pic>
              </a:graphicData>
            </a:graphic>
          </wp:inline>
        </w:drawing>
      </w:r>
    </w:p>
    <w:p w:rsidR="000410CC" w:rsidRDefault="000410CC"/>
    <w:sectPr w:rsidR="000410CC" w:rsidSect="00F35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71"/>
    <w:rsid w:val="000114E9"/>
    <w:rsid w:val="00013B94"/>
    <w:rsid w:val="00015674"/>
    <w:rsid w:val="000204B6"/>
    <w:rsid w:val="00023649"/>
    <w:rsid w:val="000259B2"/>
    <w:rsid w:val="00030F2C"/>
    <w:rsid w:val="000410CC"/>
    <w:rsid w:val="00044A1E"/>
    <w:rsid w:val="00054CBB"/>
    <w:rsid w:val="00057CE0"/>
    <w:rsid w:val="00064C28"/>
    <w:rsid w:val="000663FC"/>
    <w:rsid w:val="00066E29"/>
    <w:rsid w:val="000701EA"/>
    <w:rsid w:val="000854A0"/>
    <w:rsid w:val="0009089D"/>
    <w:rsid w:val="000921B4"/>
    <w:rsid w:val="000A3B31"/>
    <w:rsid w:val="000B3E6F"/>
    <w:rsid w:val="000B4D7F"/>
    <w:rsid w:val="000B5C54"/>
    <w:rsid w:val="000C3179"/>
    <w:rsid w:val="000C5B95"/>
    <w:rsid w:val="000F494B"/>
    <w:rsid w:val="000F5AA1"/>
    <w:rsid w:val="000F7CDD"/>
    <w:rsid w:val="00106F12"/>
    <w:rsid w:val="00117F86"/>
    <w:rsid w:val="001259F1"/>
    <w:rsid w:val="0014259C"/>
    <w:rsid w:val="00142FE6"/>
    <w:rsid w:val="00143E56"/>
    <w:rsid w:val="001442ED"/>
    <w:rsid w:val="00154412"/>
    <w:rsid w:val="00164AD5"/>
    <w:rsid w:val="00165C49"/>
    <w:rsid w:val="001711B0"/>
    <w:rsid w:val="00181944"/>
    <w:rsid w:val="0018430D"/>
    <w:rsid w:val="001946E2"/>
    <w:rsid w:val="001A63DA"/>
    <w:rsid w:val="001B7342"/>
    <w:rsid w:val="001C12EB"/>
    <w:rsid w:val="001C371E"/>
    <w:rsid w:val="001C447F"/>
    <w:rsid w:val="001C54CC"/>
    <w:rsid w:val="001D4D61"/>
    <w:rsid w:val="001E2B32"/>
    <w:rsid w:val="001F17B6"/>
    <w:rsid w:val="001F1F7C"/>
    <w:rsid w:val="001F4C44"/>
    <w:rsid w:val="001F70EB"/>
    <w:rsid w:val="00200D87"/>
    <w:rsid w:val="0020604B"/>
    <w:rsid w:val="0020757F"/>
    <w:rsid w:val="00207F9B"/>
    <w:rsid w:val="00221620"/>
    <w:rsid w:val="002476EA"/>
    <w:rsid w:val="002563EC"/>
    <w:rsid w:val="002603B6"/>
    <w:rsid w:val="0027727D"/>
    <w:rsid w:val="00284B00"/>
    <w:rsid w:val="00292F4B"/>
    <w:rsid w:val="00296C24"/>
    <w:rsid w:val="00297747"/>
    <w:rsid w:val="002C0F08"/>
    <w:rsid w:val="002C4182"/>
    <w:rsid w:val="002C4300"/>
    <w:rsid w:val="0030182E"/>
    <w:rsid w:val="00302914"/>
    <w:rsid w:val="00305FA7"/>
    <w:rsid w:val="00310062"/>
    <w:rsid w:val="00331EE8"/>
    <w:rsid w:val="00333A6B"/>
    <w:rsid w:val="003356EA"/>
    <w:rsid w:val="00336E83"/>
    <w:rsid w:val="00357FC7"/>
    <w:rsid w:val="00382A23"/>
    <w:rsid w:val="00392B70"/>
    <w:rsid w:val="00395A04"/>
    <w:rsid w:val="00396E32"/>
    <w:rsid w:val="003B0174"/>
    <w:rsid w:val="003C1325"/>
    <w:rsid w:val="003D2407"/>
    <w:rsid w:val="003D61EE"/>
    <w:rsid w:val="003E38B3"/>
    <w:rsid w:val="003E576A"/>
    <w:rsid w:val="003E7581"/>
    <w:rsid w:val="003F4AEF"/>
    <w:rsid w:val="003F791E"/>
    <w:rsid w:val="00415585"/>
    <w:rsid w:val="00425BAD"/>
    <w:rsid w:val="00426A70"/>
    <w:rsid w:val="00436BFB"/>
    <w:rsid w:val="004418A7"/>
    <w:rsid w:val="00445A28"/>
    <w:rsid w:val="004501AA"/>
    <w:rsid w:val="00454117"/>
    <w:rsid w:val="0046438F"/>
    <w:rsid w:val="004732DC"/>
    <w:rsid w:val="0049428B"/>
    <w:rsid w:val="00495087"/>
    <w:rsid w:val="004A1DD8"/>
    <w:rsid w:val="004A6659"/>
    <w:rsid w:val="004B2DB2"/>
    <w:rsid w:val="004B76D7"/>
    <w:rsid w:val="004C7878"/>
    <w:rsid w:val="004D1C66"/>
    <w:rsid w:val="004E4A1C"/>
    <w:rsid w:val="004E686B"/>
    <w:rsid w:val="004E68A8"/>
    <w:rsid w:val="004F2EF1"/>
    <w:rsid w:val="004F48B1"/>
    <w:rsid w:val="0051641B"/>
    <w:rsid w:val="00516686"/>
    <w:rsid w:val="00535BCA"/>
    <w:rsid w:val="00551985"/>
    <w:rsid w:val="005546E8"/>
    <w:rsid w:val="00565C36"/>
    <w:rsid w:val="00565D5D"/>
    <w:rsid w:val="00572B9C"/>
    <w:rsid w:val="005828DA"/>
    <w:rsid w:val="0058692F"/>
    <w:rsid w:val="00591446"/>
    <w:rsid w:val="005A536F"/>
    <w:rsid w:val="005B15A6"/>
    <w:rsid w:val="005D3606"/>
    <w:rsid w:val="005E37D7"/>
    <w:rsid w:val="005E4FA7"/>
    <w:rsid w:val="005F1903"/>
    <w:rsid w:val="005F1C38"/>
    <w:rsid w:val="005F3589"/>
    <w:rsid w:val="00601553"/>
    <w:rsid w:val="00601793"/>
    <w:rsid w:val="006069B3"/>
    <w:rsid w:val="00606D8E"/>
    <w:rsid w:val="0061139E"/>
    <w:rsid w:val="006134EF"/>
    <w:rsid w:val="0061445D"/>
    <w:rsid w:val="00664945"/>
    <w:rsid w:val="00670B2D"/>
    <w:rsid w:val="00692D0C"/>
    <w:rsid w:val="006A12C1"/>
    <w:rsid w:val="006B7AE5"/>
    <w:rsid w:val="006C6287"/>
    <w:rsid w:val="006C73CD"/>
    <w:rsid w:val="006D29AC"/>
    <w:rsid w:val="00701995"/>
    <w:rsid w:val="007023A9"/>
    <w:rsid w:val="0070681E"/>
    <w:rsid w:val="00713281"/>
    <w:rsid w:val="0074524F"/>
    <w:rsid w:val="00747081"/>
    <w:rsid w:val="0074743F"/>
    <w:rsid w:val="007728DC"/>
    <w:rsid w:val="007913FA"/>
    <w:rsid w:val="00791790"/>
    <w:rsid w:val="00791BA2"/>
    <w:rsid w:val="00793904"/>
    <w:rsid w:val="00796DFB"/>
    <w:rsid w:val="007A275D"/>
    <w:rsid w:val="007A328E"/>
    <w:rsid w:val="007B1DA6"/>
    <w:rsid w:val="007B4B2C"/>
    <w:rsid w:val="007C3FFE"/>
    <w:rsid w:val="007D142B"/>
    <w:rsid w:val="007F4B87"/>
    <w:rsid w:val="00817024"/>
    <w:rsid w:val="0082141F"/>
    <w:rsid w:val="008249E7"/>
    <w:rsid w:val="00826F9A"/>
    <w:rsid w:val="0083402E"/>
    <w:rsid w:val="00845113"/>
    <w:rsid w:val="00852243"/>
    <w:rsid w:val="008647F0"/>
    <w:rsid w:val="008846D6"/>
    <w:rsid w:val="00886E75"/>
    <w:rsid w:val="00887DA5"/>
    <w:rsid w:val="008923B9"/>
    <w:rsid w:val="00894FB0"/>
    <w:rsid w:val="0089520C"/>
    <w:rsid w:val="00897D47"/>
    <w:rsid w:val="008B0833"/>
    <w:rsid w:val="008C3C49"/>
    <w:rsid w:val="008C602B"/>
    <w:rsid w:val="008C7313"/>
    <w:rsid w:val="008D5C50"/>
    <w:rsid w:val="008E4D03"/>
    <w:rsid w:val="008F19EB"/>
    <w:rsid w:val="008F2DC6"/>
    <w:rsid w:val="008F4B87"/>
    <w:rsid w:val="00904A24"/>
    <w:rsid w:val="00927BCC"/>
    <w:rsid w:val="00930800"/>
    <w:rsid w:val="00953619"/>
    <w:rsid w:val="00962372"/>
    <w:rsid w:val="00964068"/>
    <w:rsid w:val="00995947"/>
    <w:rsid w:val="009A6DF7"/>
    <w:rsid w:val="009B02CC"/>
    <w:rsid w:val="009E5C1A"/>
    <w:rsid w:val="009E607A"/>
    <w:rsid w:val="00A01403"/>
    <w:rsid w:val="00A01EB5"/>
    <w:rsid w:val="00A075BF"/>
    <w:rsid w:val="00A1057D"/>
    <w:rsid w:val="00A1242E"/>
    <w:rsid w:val="00A15E9A"/>
    <w:rsid w:val="00A23A48"/>
    <w:rsid w:val="00A2545F"/>
    <w:rsid w:val="00A42430"/>
    <w:rsid w:val="00A42CFD"/>
    <w:rsid w:val="00A4499D"/>
    <w:rsid w:val="00A56B78"/>
    <w:rsid w:val="00A666F1"/>
    <w:rsid w:val="00A72735"/>
    <w:rsid w:val="00A911AD"/>
    <w:rsid w:val="00A97B80"/>
    <w:rsid w:val="00AA2C61"/>
    <w:rsid w:val="00AA5B31"/>
    <w:rsid w:val="00AA7F29"/>
    <w:rsid w:val="00AB1F14"/>
    <w:rsid w:val="00AB2E9D"/>
    <w:rsid w:val="00AB4B4F"/>
    <w:rsid w:val="00AC2BF2"/>
    <w:rsid w:val="00AC6AA1"/>
    <w:rsid w:val="00AE0131"/>
    <w:rsid w:val="00AE7A3B"/>
    <w:rsid w:val="00AF0FE9"/>
    <w:rsid w:val="00B00A5F"/>
    <w:rsid w:val="00B0710C"/>
    <w:rsid w:val="00B12FE6"/>
    <w:rsid w:val="00B34B1E"/>
    <w:rsid w:val="00B362CD"/>
    <w:rsid w:val="00B36F2C"/>
    <w:rsid w:val="00B50582"/>
    <w:rsid w:val="00B53B38"/>
    <w:rsid w:val="00B54165"/>
    <w:rsid w:val="00B61E83"/>
    <w:rsid w:val="00B71672"/>
    <w:rsid w:val="00B90658"/>
    <w:rsid w:val="00B966BF"/>
    <w:rsid w:val="00BC1870"/>
    <w:rsid w:val="00BC2D6B"/>
    <w:rsid w:val="00BC7F94"/>
    <w:rsid w:val="00BD3665"/>
    <w:rsid w:val="00C040B4"/>
    <w:rsid w:val="00C0443E"/>
    <w:rsid w:val="00C070D4"/>
    <w:rsid w:val="00C119E9"/>
    <w:rsid w:val="00C12CC1"/>
    <w:rsid w:val="00C15E24"/>
    <w:rsid w:val="00C2464E"/>
    <w:rsid w:val="00C30B12"/>
    <w:rsid w:val="00C35677"/>
    <w:rsid w:val="00C51364"/>
    <w:rsid w:val="00C60FD3"/>
    <w:rsid w:val="00C970F2"/>
    <w:rsid w:val="00CA01B5"/>
    <w:rsid w:val="00CA7553"/>
    <w:rsid w:val="00CD5C1C"/>
    <w:rsid w:val="00CF50B0"/>
    <w:rsid w:val="00CF72C4"/>
    <w:rsid w:val="00D016DB"/>
    <w:rsid w:val="00D02875"/>
    <w:rsid w:val="00D079C0"/>
    <w:rsid w:val="00D17D1D"/>
    <w:rsid w:val="00D23D92"/>
    <w:rsid w:val="00D275AC"/>
    <w:rsid w:val="00D52B05"/>
    <w:rsid w:val="00D627FA"/>
    <w:rsid w:val="00D676A2"/>
    <w:rsid w:val="00D75578"/>
    <w:rsid w:val="00D97119"/>
    <w:rsid w:val="00DA6805"/>
    <w:rsid w:val="00DA6B9F"/>
    <w:rsid w:val="00DA7A5C"/>
    <w:rsid w:val="00DB0781"/>
    <w:rsid w:val="00DB5005"/>
    <w:rsid w:val="00DB6024"/>
    <w:rsid w:val="00DC7BDB"/>
    <w:rsid w:val="00DD5BEF"/>
    <w:rsid w:val="00DD6202"/>
    <w:rsid w:val="00DD7FE1"/>
    <w:rsid w:val="00DE1D96"/>
    <w:rsid w:val="00DE200D"/>
    <w:rsid w:val="00E72E54"/>
    <w:rsid w:val="00E75377"/>
    <w:rsid w:val="00E803F6"/>
    <w:rsid w:val="00E822CE"/>
    <w:rsid w:val="00E84CF1"/>
    <w:rsid w:val="00E871F7"/>
    <w:rsid w:val="00E92171"/>
    <w:rsid w:val="00EC6BC2"/>
    <w:rsid w:val="00ED29BB"/>
    <w:rsid w:val="00ED2DEF"/>
    <w:rsid w:val="00EE4122"/>
    <w:rsid w:val="00EE5366"/>
    <w:rsid w:val="00EF4B32"/>
    <w:rsid w:val="00EF51EA"/>
    <w:rsid w:val="00F006BB"/>
    <w:rsid w:val="00F16B3A"/>
    <w:rsid w:val="00F36E91"/>
    <w:rsid w:val="00F4194E"/>
    <w:rsid w:val="00F42D90"/>
    <w:rsid w:val="00F532B3"/>
    <w:rsid w:val="00F55097"/>
    <w:rsid w:val="00F5586A"/>
    <w:rsid w:val="00F56BB9"/>
    <w:rsid w:val="00F60ACF"/>
    <w:rsid w:val="00F87DD4"/>
    <w:rsid w:val="00F913B6"/>
    <w:rsid w:val="00FA3CAC"/>
    <w:rsid w:val="00FA5637"/>
    <w:rsid w:val="00FA6E91"/>
    <w:rsid w:val="00FB6C0C"/>
    <w:rsid w:val="00FC55F7"/>
    <w:rsid w:val="00FC68D3"/>
    <w:rsid w:val="00FE0444"/>
    <w:rsid w:val="00FE523E"/>
    <w:rsid w:val="00FF02AD"/>
    <w:rsid w:val="00FF6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27DBA9-1D44-4EE2-B7CA-3F9A3391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E92171"/>
    <w:pPr>
      <w:spacing w:before="150" w:after="225" w:line="288" w:lineRule="atLeast"/>
      <w:textAlignment w:val="baseline"/>
      <w:outlineLvl w:val="0"/>
    </w:pPr>
    <w:rPr>
      <w:rFonts w:ascii="Georgia" w:eastAsia="Times New Roman" w:hAnsi="Georgia" w:cs="Times New Roman"/>
      <w:b/>
      <w:bCs/>
      <w:color w:val="251F1C"/>
      <w:spacing w:val="-7"/>
      <w:kern w:val="36"/>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2171"/>
    <w:rPr>
      <w:rFonts w:ascii="Georgia" w:eastAsia="Times New Roman" w:hAnsi="Georgia" w:cs="Times New Roman"/>
      <w:b/>
      <w:bCs/>
      <w:color w:val="251F1C"/>
      <w:spacing w:val="-7"/>
      <w:kern w:val="36"/>
      <w:sz w:val="36"/>
      <w:szCs w:val="36"/>
      <w:lang w:eastAsia="zh-CN"/>
    </w:rPr>
  </w:style>
  <w:style w:type="paragraph" w:styleId="Caption">
    <w:name w:val="caption"/>
    <w:aliases w:val="Caption Char Char Char,Caption Char Char Char Char Char Char,Caption Char Char Char Char Char Char Char Char Char Char Char Char Char Char Char Char Char Char Char Char Char Char Char Char Char Char,Char,Caption Char Char"/>
    <w:next w:val="C-BodyText"/>
    <w:link w:val="CaptionChar"/>
    <w:qFormat/>
    <w:rsid w:val="00E92171"/>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C-BodyText">
    <w:name w:val="C-Body Text"/>
    <w:link w:val="C-BodyTextChar"/>
    <w:rsid w:val="00E92171"/>
    <w:pPr>
      <w:spacing w:after="240" w:line="360" w:lineRule="auto"/>
    </w:pPr>
    <w:rPr>
      <w:rFonts w:ascii="Times New Roman" w:eastAsia="Times New Roman" w:hAnsi="Times New Roman" w:cs="Times New Roman"/>
      <w:sz w:val="24"/>
      <w:szCs w:val="20"/>
    </w:rPr>
  </w:style>
  <w:style w:type="character" w:customStyle="1" w:styleId="C-BodyTextChar">
    <w:name w:val="C-Body Text Char"/>
    <w:link w:val="C-BodyText"/>
    <w:rsid w:val="00E92171"/>
    <w:rPr>
      <w:rFonts w:ascii="Times New Roman" w:eastAsia="Times New Roman" w:hAnsi="Times New Roman" w:cs="Times New Roman"/>
      <w:sz w:val="24"/>
      <w:szCs w:val="20"/>
    </w:rPr>
  </w:style>
  <w:style w:type="character" w:customStyle="1" w:styleId="CaptionChar">
    <w:name w:val="Caption Char"/>
    <w:aliases w:val="Caption Char Char Char Char,Caption Char Char Char Char Char Char Char,Caption Char Char Char Char Char Char Char Char Char Char Char Char Char Char Char Char Char Char Char Char Char Char Char Char Char Char Char,Char Char1"/>
    <w:basedOn w:val="DefaultParagraphFont"/>
    <w:link w:val="Caption"/>
    <w:rsid w:val="00E92171"/>
    <w:rPr>
      <w:rFonts w:ascii="Times New Roman" w:eastAsia="Times New Roman" w:hAnsi="Times New Roman" w:cs="Times New Roman"/>
      <w:b/>
      <w:bCs/>
      <w:sz w:val="24"/>
      <w:szCs w:val="24"/>
    </w:rPr>
  </w:style>
  <w:style w:type="paragraph" w:customStyle="1" w:styleId="C-Footnote">
    <w:name w:val="C-Footnote"/>
    <w:basedOn w:val="Normal"/>
    <w:qFormat/>
    <w:rsid w:val="00E92171"/>
    <w:pPr>
      <w:tabs>
        <w:tab w:val="left" w:pos="144"/>
      </w:tabs>
      <w:spacing w:after="0" w:line="240" w:lineRule="auto"/>
    </w:pPr>
    <w:rPr>
      <w:rFonts w:ascii="Times New Roman" w:eastAsia="Times New Roman" w:hAnsi="Times New Roman" w:cs="Arial"/>
      <w:sz w:val="20"/>
      <w:szCs w:val="20"/>
      <w:lang w:eastAsia="zh-CN"/>
    </w:rPr>
  </w:style>
  <w:style w:type="paragraph" w:customStyle="1" w:styleId="TableTextCenter">
    <w:name w:val="Table Text Center"/>
    <w:basedOn w:val="Normal"/>
    <w:qFormat/>
    <w:rsid w:val="00E92171"/>
    <w:pPr>
      <w:keepNext/>
      <w:spacing w:before="50" w:after="50" w:line="240" w:lineRule="auto"/>
      <w:jc w:val="center"/>
    </w:pPr>
    <w:rPr>
      <w:rFonts w:ascii="Times New Roman" w:eastAsia="SimSun" w:hAnsi="Times New Roman" w:cs="Arial"/>
      <w:sz w:val="20"/>
      <w:szCs w:val="20"/>
      <w:lang w:eastAsia="zh-CN"/>
    </w:rPr>
  </w:style>
  <w:style w:type="paragraph" w:customStyle="1" w:styleId="tabletitle">
    <w:name w:val="table title"/>
    <w:basedOn w:val="Caption"/>
    <w:link w:val="tabletitle0"/>
    <w:qFormat/>
    <w:rsid w:val="00E92171"/>
    <w:pPr>
      <w:keepNext w:val="0"/>
      <w:suppressAutoHyphens/>
      <w:snapToGrid w:val="0"/>
      <w:spacing w:afterLines="50" w:after="50" w:line="240" w:lineRule="auto"/>
      <w:ind w:left="0" w:firstLine="0"/>
      <w:jc w:val="both"/>
    </w:pPr>
    <w:rPr>
      <w:bCs w:val="0"/>
      <w:spacing w:val="-2"/>
      <w:lang w:val="en-GB" w:eastAsia="zh-CN"/>
    </w:rPr>
  </w:style>
  <w:style w:type="character" w:customStyle="1" w:styleId="tabletitle0">
    <w:name w:val="table title 字符"/>
    <w:basedOn w:val="CaptionChar"/>
    <w:link w:val="tabletitle"/>
    <w:rsid w:val="00E92171"/>
    <w:rPr>
      <w:rFonts w:ascii="Times New Roman" w:eastAsia="Times New Roman" w:hAnsi="Times New Roman" w:cs="Times New Roman"/>
      <w:b/>
      <w:bCs w:val="0"/>
      <w:spacing w:val="-2"/>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Mukesh</dc:creator>
  <cp:keywords/>
  <dc:description/>
  <cp:lastModifiedBy>Mukesh</cp:lastModifiedBy>
  <cp:revision>1</cp:revision>
  <dcterms:created xsi:type="dcterms:W3CDTF">2021-07-20T08:58:00Z</dcterms:created>
  <dcterms:modified xsi:type="dcterms:W3CDTF">2021-07-20T09:04:00Z</dcterms:modified>
</cp:coreProperties>
</file>