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96BEF" w14:textId="32229BAB" w:rsidR="00D81EF6" w:rsidRPr="00F03E53" w:rsidRDefault="00D81EF6" w:rsidP="00D81EF6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03E53">
        <w:rPr>
          <w:rFonts w:ascii="Times New Roman" w:hAnsi="Times New Roman" w:cs="Times New Roman"/>
          <w:b/>
          <w:bCs/>
          <w:sz w:val="28"/>
          <w:szCs w:val="28"/>
          <w:lang w:val="en-US"/>
        </w:rPr>
        <w:t>Supplementa</w:t>
      </w:r>
      <w:r w:rsidR="002C0012">
        <w:rPr>
          <w:rFonts w:ascii="Times New Roman" w:hAnsi="Times New Roman" w:cs="Times New Roman"/>
          <w:b/>
          <w:bCs/>
          <w:sz w:val="28"/>
          <w:szCs w:val="28"/>
          <w:lang w:val="en-US"/>
        </w:rPr>
        <w:t>l</w:t>
      </w:r>
      <w:r w:rsidRPr="00F03E5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Material</w:t>
      </w:r>
    </w:p>
    <w:p w14:paraId="49DE8218" w14:textId="77777777" w:rsidR="00D81EF6" w:rsidRPr="00F03E53" w:rsidRDefault="00D81EF6" w:rsidP="00D81EF6">
      <w:pPr>
        <w:spacing w:after="0"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7831BD7D" w14:textId="4D97A37D" w:rsidR="00D81EF6" w:rsidRPr="00F03E53" w:rsidRDefault="00D81EF6" w:rsidP="00D81EF6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 w:rsidRPr="00F03E53">
        <w:rPr>
          <w:rFonts w:ascii="Times New Roman" w:hAnsi="Times New Roman" w:cs="Times New Roman"/>
          <w:b/>
          <w:bCs/>
          <w:lang w:val="en-US"/>
        </w:rPr>
        <w:t>Supplementa</w:t>
      </w:r>
      <w:r w:rsidR="002C0012">
        <w:rPr>
          <w:rFonts w:ascii="Times New Roman" w:hAnsi="Times New Roman" w:cs="Times New Roman"/>
          <w:b/>
          <w:bCs/>
          <w:lang w:val="en-US"/>
        </w:rPr>
        <w:t>l</w:t>
      </w:r>
      <w:r w:rsidRPr="00F03E53">
        <w:rPr>
          <w:rFonts w:ascii="Times New Roman" w:hAnsi="Times New Roman" w:cs="Times New Roman"/>
          <w:b/>
          <w:bCs/>
          <w:lang w:val="en-US"/>
        </w:rPr>
        <w:t xml:space="preserve"> Method 1</w:t>
      </w:r>
      <w:r w:rsidRPr="00D81EF6">
        <w:rPr>
          <w:rFonts w:ascii="Times New Roman" w:hAnsi="Times New Roman" w:cs="Times New Roman"/>
          <w:b/>
          <w:bCs/>
          <w:lang w:val="en-US"/>
        </w:rPr>
        <w:t xml:space="preserve">. Calculation </w:t>
      </w:r>
      <w:r w:rsidR="009C4B82">
        <w:rPr>
          <w:rFonts w:ascii="Times New Roman" w:hAnsi="Times New Roman" w:cs="Times New Roman"/>
          <w:b/>
          <w:bCs/>
          <w:lang w:val="en-US"/>
        </w:rPr>
        <w:t xml:space="preserve">of </w:t>
      </w:r>
      <w:r w:rsidRPr="00D81EF6">
        <w:rPr>
          <w:rFonts w:ascii="Times New Roman" w:hAnsi="Times New Roman" w:cs="Times New Roman"/>
          <w:b/>
          <w:bCs/>
          <w:lang w:val="en-US"/>
        </w:rPr>
        <w:t xml:space="preserve">average pazopanib </w:t>
      </w:r>
      <w:r w:rsidR="009C4B82">
        <w:rPr>
          <w:rFonts w:ascii="Times New Roman" w:hAnsi="Times New Roman" w:cs="Times New Roman"/>
          <w:b/>
          <w:bCs/>
          <w:lang w:val="en-US"/>
        </w:rPr>
        <w:t>exposure</w:t>
      </w:r>
      <w:r w:rsidRPr="00D81EF6">
        <w:rPr>
          <w:rFonts w:ascii="Times New Roman" w:hAnsi="Times New Roman" w:cs="Times New Roman"/>
          <w:b/>
          <w:bCs/>
          <w:lang w:val="en-US"/>
        </w:rPr>
        <w:t>.</w:t>
      </w:r>
    </w:p>
    <w:p w14:paraId="273F5E65" w14:textId="56178706" w:rsidR="00D81EF6" w:rsidRPr="00F03E53" w:rsidRDefault="00C77C89" w:rsidP="00D81EF6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 w:rsidRPr="00F03E53">
        <w:rPr>
          <w:rFonts w:ascii="Times New Roman" w:hAnsi="Times New Roman" w:cs="Times New Roman"/>
          <w:lang w:val="en-US"/>
        </w:rPr>
        <w:t>C</w:t>
      </w:r>
      <w:r w:rsidRPr="00F03E53">
        <w:rPr>
          <w:rFonts w:ascii="Times New Roman" w:hAnsi="Times New Roman" w:cs="Times New Roman"/>
          <w:vertAlign w:val="subscript"/>
          <w:lang w:val="en-US"/>
        </w:rPr>
        <w:t>trough</w:t>
      </w:r>
      <w:r w:rsidRPr="00F03E53">
        <w:rPr>
          <w:rFonts w:ascii="Times New Roman" w:hAnsi="Times New Roman" w:cs="Times New Roman"/>
          <w:lang w:val="en-US"/>
        </w:rPr>
        <w:t xml:space="preserve"> levels were calculated using the approach of Wang et al. </w:t>
      </w:r>
      <w:r w:rsidRPr="00F03E53"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PEVuZE5vdGU+PENpdGU+PEF1dGhvcj5XYW5nPC9BdXRob3I+PFllYXI+MjAwOTwvWWVhcj48UmVj
TnVtPjEzNDwvUmVjTnVtPjxEaXNwbGF5VGV4dD5bMjddPC9EaXNwbGF5VGV4dD48cmVjb3JkPjxy
ZWMtbnVtYmVyPjEzNDwvcmVjLW51bWJlcj48Zm9yZWlnbi1rZXlzPjxrZXkgYXBwPSJFTiIgZGIt
aWQ9InNkc3RwZnZ4a3pyZTJsZXRwOWE1MnB3ajJlNXN0dDJmdHdzdyIgdGltZXN0YW1wPSIxNTQ5
MDI5NzQ3Ij4xMzQ8L2tleT48L2ZvcmVpZ24ta2V5cz48cmVmLXR5cGUgbmFtZT0iSm91cm5hbCBB
cnRpY2xlIj4xNzwvcmVmLXR5cGU+PGNvbnRyaWJ1dG9ycz48YXV0aG9ycz48YXV0aG9yPldhbmcs
IFkuPC9hdXRob3I+PGF1dGhvcj5DaGlhLCBZLiBMLjwvYXV0aG9yPjxhdXRob3I+TmVkZWxtYW4s
IEouPC9hdXRob3I+PGF1dGhvcj5TY2hyYW4sIEguPC9hdXRob3I+PGF1dGhvcj5NYWhvbiwgRi4g
WC48L2F1dGhvcj48YXV0aG9yPk1vbGltYXJkLCBNLjwvYXV0aG9yPjwvYXV0aG9ycz48L2NvbnRy
aWJ1dG9ycz48dGl0bGVzPjx0aXRsZT5BIHRoZXJhcGV1dGljIGRydWcgbW9uaXRvcmluZyBhbGdv
cml0aG0gZm9yIHJlZmluaW5nIHRoZSBpbWF0aW5pYiB0cm91Z2ggbGV2ZWwgb2J0YWluZWQgYXQg
ZGlmZmVyZW50IHNhbXBsaW5nIHRpbWVzPC90aXRsZT48c2Vjb25kYXJ5LXRpdGxlPlRoZXIgRHJ1
ZyBNb25pdC48L3NlY29uZGFyeS10aXRsZT48L3RpdGxlcz48cGVyaW9kaWNhbD48ZnVsbC10aXRs
ZT5UaGVyIERydWcgTW9uaXQuPC9mdWxsLXRpdGxlPjwvcGVyaW9kaWNhbD48cGFnZXM+NTc5LTg0
LiBkb2k6IDEwLjEwOTcvRlRELjBiMDEzZTMxODFiMmM4Y2YuPC9wYWdlcz48dm9sdW1lPjMxPC92
b2x1bWU+PG51bWJlcj41PC9udW1iZXI+PGtleXdvcmRzPjxrZXl3b3JkPjAgKEJlbnphbWlkZXMp
PC9rZXl3b3JkPjxrZXl3b3JkPjAgKEltbXVub3N1cHByZXNzaXZlIEFnZW50cyk8L2tleXdvcmQ+
PGtleXdvcmQ+MCAoUGlwZXJhemluZXMpPC9rZXl3b3JkPjxrZXl3b3JkPjAgKFByb3RlaW4gS2lu
YXNlIEluaGliaXRvcnMpPC9rZXl3b3JkPjxrZXl3b3JkPjAgKFB5cmltaWRpbmVzKTwva2V5d29y
ZD48a2V5d29yZD44QTFPMU00ODVCIChJbWF0aW5pYiBNZXN5bGF0ZSk8L2tleXdvcmQ+PGtleXdv
cmQ+RUMgMS4xNC4xNC4xIChDeXRvY2hyb21lIFAtNDUwIENZUDNBKTwva2V5d29yZD48a2V5d29y
ZD5FQyAyLjcuMTAuMSAoUHJvdGVpbi1UeXJvc2luZSBLaW5hc2VzKTwva2V5d29yZD48a2V5d29y
ZD5BbGdvcml0aG1zPC9rZXl3b3JkPjxrZXl3b3JkPkJlbnphbWlkZXM8L2tleXdvcmQ+PGtleXdv
cmQ+Q3l0b2Nocm9tZSBQLTQ1MCBDWVAzQS8qbWV0YWJvbGlzbTwva2V5d29yZD48a2V5d29yZD5E
b3NlLVJlc3BvbnNlIFJlbGF0aW9uc2hpcCwgRHJ1Zzwva2V5d29yZD48a2V5d29yZD5EcnVnIEFk
bWluaXN0cmF0aW9uIFNjaGVkdWxlPC9rZXl3b3JkPjxrZXl3b3JkPkRydWcgQXBwcm92YWw8L2tl
eXdvcmQ+PGtleXdvcmQ+RHJ1ZyBNb25pdG9yaW5nPC9rZXl3b3JkPjxrZXl3b3JkPkh1bWFuczwv
a2V5d29yZD48a2V5d29yZD5JbWF0aW5pYiBNZXN5bGF0ZTwva2V5d29yZD48a2V5d29yZD5JbW11
bm9zdXBwcmVzc2l2ZSBBZ2VudHMvcGhhcm1hY29sb2d5PC9rZXl3b3JkPjxrZXl3b3JkPktpZG5l
eSBUcmFuc3BsYW50YXRpb248L2tleXdvcmQ+PGtleXdvcmQ+TGV1a2VtaWEsIE15ZWxvZ2Vub3Vz
LCBDaHJvbmljLCBCQ1ItQUJMIFBvc2l0aXZlPC9rZXl3b3JkPjxrZXl3b3JkPlBpcGVyYXppbmVz
LypwaGFybWFjb2xvZ3k8L2tleXdvcmQ+PGtleXdvcmQ+UHJvdGVpbiBLaW5hc2UgSW5oaWJpdG9y
cy9waGFybWFjb2xvZ3k8L2tleXdvcmQ+PGtleXdvcmQ+UHJvdGVpbi1UeXJvc2luZSBLaW5hc2Vz
L2FudGFnb25pc3RzICZhbXA7IGluaGliaXRvcnM8L2tleXdvcmQ+PGtleXdvcmQ+UHlyaW1pZGlu
ZXMvKnBoYXJtYWNvbG9neTwva2V5d29yZD48L2tleXdvcmRzPjxkYXRlcz48eWVhcj4yMDA5PC95
ZWFyPjxwdWItZGF0ZXM+PGRhdGU+T2N0PC9kYXRlPjwvcHViLWRhdGVzPjwvZGF0ZXM+PGlzYm4+
MTUzNi0zNjk0IChFbGVjdHJvbmljKSYjeEQ7MDE2My00MzU2IChMaW5raW5nKTwvaXNibj48dXJs
cz48L3VybHM+PC9yZWNvcmQ+PC9DaXRlPjwvRW5kTm90ZT5=
</w:fldData>
        </w:fldChar>
      </w:r>
      <w:r>
        <w:rPr>
          <w:rFonts w:ascii="Times New Roman" w:hAnsi="Times New Roman" w:cs="Times New Roman"/>
          <w:lang w:val="en-US"/>
        </w:rPr>
        <w:instrText xml:space="preserve"> ADDIN EN.CITE </w:instrText>
      </w:r>
      <w:r>
        <w:rPr>
          <w:rFonts w:ascii="Times New Roman" w:hAnsi="Times New Roman" w:cs="Times New Roman"/>
          <w:lang w:val="en-US"/>
        </w:rPr>
        <w:fldChar w:fldCharType="begin">
          <w:fldData xml:space="preserve">PEVuZE5vdGU+PENpdGU+PEF1dGhvcj5XYW5nPC9BdXRob3I+PFllYXI+MjAwOTwvWWVhcj48UmVj
TnVtPjEzNDwvUmVjTnVtPjxEaXNwbGF5VGV4dD5bMjddPC9EaXNwbGF5VGV4dD48cmVjb3JkPjxy
ZWMtbnVtYmVyPjEzNDwvcmVjLW51bWJlcj48Zm9yZWlnbi1rZXlzPjxrZXkgYXBwPSJFTiIgZGIt
aWQ9InNkc3RwZnZ4a3pyZTJsZXRwOWE1MnB3ajJlNXN0dDJmdHdzdyIgdGltZXN0YW1wPSIxNTQ5
MDI5NzQ3Ij4xMzQ8L2tleT48L2ZvcmVpZ24ta2V5cz48cmVmLXR5cGUgbmFtZT0iSm91cm5hbCBB
cnRpY2xlIj4xNzwvcmVmLXR5cGU+PGNvbnRyaWJ1dG9ycz48YXV0aG9ycz48YXV0aG9yPldhbmcs
IFkuPC9hdXRob3I+PGF1dGhvcj5DaGlhLCBZLiBMLjwvYXV0aG9yPjxhdXRob3I+TmVkZWxtYW4s
IEouPC9hdXRob3I+PGF1dGhvcj5TY2hyYW4sIEguPC9hdXRob3I+PGF1dGhvcj5NYWhvbiwgRi4g
WC48L2F1dGhvcj48YXV0aG9yPk1vbGltYXJkLCBNLjwvYXV0aG9yPjwvYXV0aG9ycz48L2NvbnRy
aWJ1dG9ycz48dGl0bGVzPjx0aXRsZT5BIHRoZXJhcGV1dGljIGRydWcgbW9uaXRvcmluZyBhbGdv
cml0aG0gZm9yIHJlZmluaW5nIHRoZSBpbWF0aW5pYiB0cm91Z2ggbGV2ZWwgb2J0YWluZWQgYXQg
ZGlmZmVyZW50IHNhbXBsaW5nIHRpbWVzPC90aXRsZT48c2Vjb25kYXJ5LXRpdGxlPlRoZXIgRHJ1
ZyBNb25pdC48L3NlY29uZGFyeS10aXRsZT48L3RpdGxlcz48cGVyaW9kaWNhbD48ZnVsbC10aXRs
ZT5UaGVyIERydWcgTW9uaXQuPC9mdWxsLXRpdGxlPjwvcGVyaW9kaWNhbD48cGFnZXM+NTc5LTg0
LiBkb2k6IDEwLjEwOTcvRlRELjBiMDEzZTMxODFiMmM4Y2YuPC9wYWdlcz48dm9sdW1lPjMxPC92
b2x1bWU+PG51bWJlcj41PC9udW1iZXI+PGtleXdvcmRzPjxrZXl3b3JkPjAgKEJlbnphbWlkZXMp
PC9rZXl3b3JkPjxrZXl3b3JkPjAgKEltbXVub3N1cHByZXNzaXZlIEFnZW50cyk8L2tleXdvcmQ+
PGtleXdvcmQ+MCAoUGlwZXJhemluZXMpPC9rZXl3b3JkPjxrZXl3b3JkPjAgKFByb3RlaW4gS2lu
YXNlIEluaGliaXRvcnMpPC9rZXl3b3JkPjxrZXl3b3JkPjAgKFB5cmltaWRpbmVzKTwva2V5d29y
ZD48a2V5d29yZD44QTFPMU00ODVCIChJbWF0aW5pYiBNZXN5bGF0ZSk8L2tleXdvcmQ+PGtleXdv
cmQ+RUMgMS4xNC4xNC4xIChDeXRvY2hyb21lIFAtNDUwIENZUDNBKTwva2V5d29yZD48a2V5d29y
ZD5FQyAyLjcuMTAuMSAoUHJvdGVpbi1UeXJvc2luZSBLaW5hc2VzKTwva2V5d29yZD48a2V5d29y
ZD5BbGdvcml0aG1zPC9rZXl3b3JkPjxrZXl3b3JkPkJlbnphbWlkZXM8L2tleXdvcmQ+PGtleXdv
cmQ+Q3l0b2Nocm9tZSBQLTQ1MCBDWVAzQS8qbWV0YWJvbGlzbTwva2V5d29yZD48a2V5d29yZD5E
b3NlLVJlc3BvbnNlIFJlbGF0aW9uc2hpcCwgRHJ1Zzwva2V5d29yZD48a2V5d29yZD5EcnVnIEFk
bWluaXN0cmF0aW9uIFNjaGVkdWxlPC9rZXl3b3JkPjxrZXl3b3JkPkRydWcgQXBwcm92YWw8L2tl
eXdvcmQ+PGtleXdvcmQ+RHJ1ZyBNb25pdG9yaW5nPC9rZXl3b3JkPjxrZXl3b3JkPkh1bWFuczwv
a2V5d29yZD48a2V5d29yZD5JbWF0aW5pYiBNZXN5bGF0ZTwva2V5d29yZD48a2V5d29yZD5JbW11
bm9zdXBwcmVzc2l2ZSBBZ2VudHMvcGhhcm1hY29sb2d5PC9rZXl3b3JkPjxrZXl3b3JkPktpZG5l
eSBUcmFuc3BsYW50YXRpb248L2tleXdvcmQ+PGtleXdvcmQ+TGV1a2VtaWEsIE15ZWxvZ2Vub3Vz
LCBDaHJvbmljLCBCQ1ItQUJMIFBvc2l0aXZlPC9rZXl3b3JkPjxrZXl3b3JkPlBpcGVyYXppbmVz
LypwaGFybWFjb2xvZ3k8L2tleXdvcmQ+PGtleXdvcmQ+UHJvdGVpbiBLaW5hc2UgSW5oaWJpdG9y
cy9waGFybWFjb2xvZ3k8L2tleXdvcmQ+PGtleXdvcmQ+UHJvdGVpbi1UeXJvc2luZSBLaW5hc2Vz
L2FudGFnb25pc3RzICZhbXA7IGluaGliaXRvcnM8L2tleXdvcmQ+PGtleXdvcmQ+UHlyaW1pZGlu
ZXMvKnBoYXJtYWNvbG9neTwva2V5d29yZD48L2tleXdvcmRzPjxkYXRlcz48eWVhcj4yMDA5PC95
ZWFyPjxwdWItZGF0ZXM+PGRhdGU+T2N0PC9kYXRlPjwvcHViLWRhdGVzPjwvZGF0ZXM+PGlzYm4+
MTUzNi0zNjk0IChFbGVjdHJvbmljKSYjeEQ7MDE2My00MzU2IChMaW5raW5nKTwvaXNibj48dXJs
cz48L3VybHM+PC9yZWNvcmQ+PC9DaXRlPjwvRW5kTm90ZT5=
</w:fldData>
        </w:fldChar>
      </w:r>
      <w:r>
        <w:rPr>
          <w:rFonts w:ascii="Times New Roman" w:hAnsi="Times New Roman" w:cs="Times New Roman"/>
          <w:lang w:val="en-US"/>
        </w:rPr>
        <w:instrText xml:space="preserve"> ADDIN EN.CITE.DATA </w:instrText>
      </w:r>
      <w:r>
        <w:rPr>
          <w:rFonts w:ascii="Times New Roman" w:hAnsi="Times New Roman" w:cs="Times New Roman"/>
          <w:lang w:val="en-US"/>
        </w:rPr>
      </w:r>
      <w:r>
        <w:rPr>
          <w:rFonts w:ascii="Times New Roman" w:hAnsi="Times New Roman" w:cs="Times New Roman"/>
          <w:lang w:val="en-US"/>
        </w:rPr>
        <w:fldChar w:fldCharType="end"/>
      </w:r>
      <w:r w:rsidRPr="00F03E53">
        <w:rPr>
          <w:rFonts w:ascii="Times New Roman" w:hAnsi="Times New Roman" w:cs="Times New Roman"/>
          <w:lang w:val="en-US"/>
        </w:rPr>
      </w:r>
      <w:r w:rsidRPr="00F03E53">
        <w:rPr>
          <w:rFonts w:ascii="Times New Roman" w:hAnsi="Times New Roman" w:cs="Times New Roman"/>
          <w:lang w:val="en-US"/>
        </w:rPr>
        <w:fldChar w:fldCharType="separate"/>
      </w:r>
      <w:r>
        <w:rPr>
          <w:rFonts w:ascii="Times New Roman" w:hAnsi="Times New Roman" w:cs="Times New Roman"/>
          <w:noProof/>
          <w:lang w:val="en-US"/>
        </w:rPr>
        <w:t>[27]</w:t>
      </w:r>
      <w:r w:rsidRPr="00F03E53">
        <w:rPr>
          <w:rFonts w:ascii="Times New Roman" w:hAnsi="Times New Roman" w:cs="Times New Roman"/>
          <w:lang w:val="en-US"/>
        </w:rPr>
        <w:fldChar w:fldCharType="end"/>
      </w:r>
      <w:r>
        <w:rPr>
          <w:rFonts w:ascii="Times New Roman" w:hAnsi="Times New Roman" w:cs="Times New Roman"/>
          <w:lang w:val="en-US"/>
        </w:rPr>
        <w:t xml:space="preserve">. </w:t>
      </w:r>
      <w:r w:rsidR="00D81EF6" w:rsidRPr="00F03E53">
        <w:rPr>
          <w:rFonts w:ascii="Times New Roman" w:hAnsi="Times New Roman" w:cs="Times New Roman"/>
          <w:lang w:val="en-US"/>
        </w:rPr>
        <w:t>In patients who used one dose level of pazopanib until the event, the average pazopanib concentration was calculated as the mean of the available pazopanib trough concentration (C</w:t>
      </w:r>
      <w:r w:rsidR="00D81EF6" w:rsidRPr="00F03E53">
        <w:rPr>
          <w:rFonts w:ascii="Times New Roman" w:hAnsi="Times New Roman" w:cs="Times New Roman"/>
          <w:vertAlign w:val="subscript"/>
          <w:lang w:val="en-US"/>
        </w:rPr>
        <w:t>trough</w:t>
      </w:r>
      <w:r w:rsidR="00D81EF6" w:rsidRPr="00F03E53">
        <w:rPr>
          <w:rFonts w:ascii="Times New Roman" w:hAnsi="Times New Roman" w:cs="Times New Roman"/>
          <w:lang w:val="en-US"/>
        </w:rPr>
        <w:t>) levels (sum of pazopanib C</w:t>
      </w:r>
      <w:r w:rsidR="00D81EF6" w:rsidRPr="00F03E53">
        <w:rPr>
          <w:rFonts w:ascii="Times New Roman" w:hAnsi="Times New Roman" w:cs="Times New Roman"/>
          <w:vertAlign w:val="subscript"/>
          <w:lang w:val="en-US"/>
        </w:rPr>
        <w:t xml:space="preserve">trough </w:t>
      </w:r>
      <w:r w:rsidR="00D81EF6" w:rsidRPr="00F03E53">
        <w:rPr>
          <w:rFonts w:ascii="Times New Roman" w:hAnsi="Times New Roman" w:cs="Times New Roman"/>
          <w:lang w:val="en-US"/>
        </w:rPr>
        <w:t>levels / number of measurements).</w:t>
      </w:r>
    </w:p>
    <w:p w14:paraId="45151771" w14:textId="01C3196F" w:rsidR="00D81EF6" w:rsidRDefault="00D81EF6" w:rsidP="00D81EF6">
      <w:pPr>
        <w:spacing w:after="0" w:line="48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F03E53">
        <w:rPr>
          <w:rFonts w:ascii="Times New Roman" w:hAnsi="Times New Roman" w:cs="Times New Roman"/>
          <w:lang w:val="en-US"/>
        </w:rPr>
        <w:t>In patients who used more than one dose level of pazopanib until the event, the average pazopanib concentration was calculated as follows: ((number of days of dose #1 • calculated C</w:t>
      </w:r>
      <w:r w:rsidRPr="00F03E53">
        <w:rPr>
          <w:rFonts w:ascii="Times New Roman" w:hAnsi="Times New Roman" w:cs="Times New Roman"/>
          <w:vertAlign w:val="subscript"/>
          <w:lang w:val="en-US"/>
        </w:rPr>
        <w:t>trough</w:t>
      </w:r>
      <w:r w:rsidRPr="00F03E53">
        <w:rPr>
          <w:rFonts w:ascii="Times New Roman" w:hAnsi="Times New Roman" w:cs="Times New Roman"/>
          <w:lang w:val="en-US"/>
        </w:rPr>
        <w:t xml:space="preserve"> level at dose #1) + (number of days of dose #2 • calculated C</w:t>
      </w:r>
      <w:r w:rsidRPr="00F03E53">
        <w:rPr>
          <w:rFonts w:ascii="Times New Roman" w:hAnsi="Times New Roman" w:cs="Times New Roman"/>
          <w:vertAlign w:val="subscript"/>
          <w:lang w:val="en-US"/>
        </w:rPr>
        <w:t>trough</w:t>
      </w:r>
      <w:r w:rsidRPr="00F03E53">
        <w:rPr>
          <w:rFonts w:ascii="Times New Roman" w:hAnsi="Times New Roman" w:cs="Times New Roman"/>
          <w:lang w:val="en-US"/>
        </w:rPr>
        <w:t xml:space="preserve"> level at dose #2)) / sum of days dose #1 and dose #2. An example: suppose a patient used 800mg pazopanib for 2 weeks and thereafter 600 mg for 6 weeks. At a dose of 800 mg the calculated C</w:t>
      </w:r>
      <w:r w:rsidRPr="00F03E53">
        <w:rPr>
          <w:rFonts w:ascii="Times New Roman" w:hAnsi="Times New Roman" w:cs="Times New Roman"/>
          <w:vertAlign w:val="subscript"/>
          <w:lang w:val="en-US"/>
        </w:rPr>
        <w:t>trough</w:t>
      </w:r>
      <w:r w:rsidRPr="00F03E53">
        <w:rPr>
          <w:rFonts w:ascii="Times New Roman" w:hAnsi="Times New Roman" w:cs="Times New Roman"/>
          <w:lang w:val="en-US"/>
        </w:rPr>
        <w:t xml:space="preserve"> was 35 </w:t>
      </w:r>
      <w:r>
        <w:rPr>
          <w:rFonts w:ascii="Times New Roman" w:hAnsi="Times New Roman" w:cs="Times New Roman"/>
          <w:lang w:val="en-US"/>
        </w:rPr>
        <w:t>mg</w:t>
      </w:r>
      <w:r w:rsidRPr="00F03E53">
        <w:rPr>
          <w:rFonts w:ascii="Times New Roman" w:hAnsi="Times New Roman" w:cs="Times New Roman"/>
          <w:lang w:val="en-US"/>
        </w:rPr>
        <w:t>/L and at the dose of 600 mg the calculated C</w:t>
      </w:r>
      <w:r w:rsidRPr="00F03E53">
        <w:rPr>
          <w:rFonts w:ascii="Times New Roman" w:hAnsi="Times New Roman" w:cs="Times New Roman"/>
          <w:vertAlign w:val="subscript"/>
          <w:lang w:val="en-US"/>
        </w:rPr>
        <w:t>trough</w:t>
      </w:r>
      <w:r w:rsidRPr="00F03E53">
        <w:rPr>
          <w:rFonts w:ascii="Times New Roman" w:hAnsi="Times New Roman" w:cs="Times New Roman"/>
          <w:lang w:val="en-US"/>
        </w:rPr>
        <w:t xml:space="preserve"> was 28 </w:t>
      </w:r>
      <w:r>
        <w:rPr>
          <w:rFonts w:ascii="Times New Roman" w:hAnsi="Times New Roman" w:cs="Times New Roman"/>
          <w:lang w:val="en-US"/>
        </w:rPr>
        <w:t>mg</w:t>
      </w:r>
      <w:r w:rsidRPr="00F03E53">
        <w:rPr>
          <w:rFonts w:ascii="Times New Roman" w:hAnsi="Times New Roman" w:cs="Times New Roman"/>
          <w:lang w:val="en-US"/>
        </w:rPr>
        <w:t>/L The average pazopanib concentration = ((14 • 35) + (42 • 28)) / (14 + 42) = 29.75 mg/L.</w:t>
      </w:r>
    </w:p>
    <w:p w14:paraId="52213093" w14:textId="5E515D74" w:rsidR="005C778D" w:rsidRDefault="005C778D" w:rsidP="005C778D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0D5D7411" w14:textId="77777777" w:rsidR="005C778D" w:rsidRDefault="005C778D">
      <w:pPr>
        <w:spacing w:after="160" w:line="259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br w:type="page"/>
      </w:r>
    </w:p>
    <w:p w14:paraId="727B141D" w14:textId="6E389FF5" w:rsidR="005C778D" w:rsidRPr="005C778D" w:rsidRDefault="005C778D" w:rsidP="005C778D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C778D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Figure legends</w:t>
      </w:r>
    </w:p>
    <w:p w14:paraId="751748E8" w14:textId="77777777" w:rsidR="005C778D" w:rsidRPr="00F03E53" w:rsidRDefault="005C778D" w:rsidP="005C778D">
      <w:pPr>
        <w:spacing w:after="0" w:line="480" w:lineRule="auto"/>
        <w:rPr>
          <w:rFonts w:ascii="Times New Roman" w:hAnsi="Times New Roman" w:cs="Times New Roman"/>
          <w:b/>
          <w:bCs/>
          <w:lang w:val="en-US"/>
        </w:rPr>
      </w:pPr>
      <w:r w:rsidRPr="00F03E53">
        <w:rPr>
          <w:rFonts w:ascii="Times New Roman" w:hAnsi="Times New Roman" w:cs="Times New Roman"/>
          <w:b/>
          <w:bCs/>
          <w:lang w:val="en-US"/>
        </w:rPr>
        <w:t>Supplementa</w:t>
      </w:r>
      <w:r>
        <w:rPr>
          <w:rFonts w:ascii="Times New Roman" w:hAnsi="Times New Roman" w:cs="Times New Roman"/>
          <w:b/>
          <w:bCs/>
          <w:lang w:val="en-US"/>
        </w:rPr>
        <w:t>l</w:t>
      </w:r>
      <w:r w:rsidRPr="00F03E53">
        <w:rPr>
          <w:rFonts w:ascii="Times New Roman" w:hAnsi="Times New Roman" w:cs="Times New Roman"/>
          <w:b/>
          <w:bCs/>
          <w:lang w:val="en-US"/>
        </w:rPr>
        <w:t xml:space="preserve"> Figure 1. OS of patients with or without liver toxicity in patients with RCC (A) or STS (B).</w:t>
      </w:r>
    </w:p>
    <w:p w14:paraId="1954D183" w14:textId="3CD03617" w:rsidR="005C778D" w:rsidRDefault="005C778D" w:rsidP="005C778D">
      <w:pPr>
        <w:spacing w:after="0" w:line="480" w:lineRule="auto"/>
        <w:rPr>
          <w:rFonts w:ascii="Times New Roman" w:hAnsi="Times New Roman" w:cs="Times New Roman"/>
          <w:lang w:val="en-US"/>
        </w:rPr>
      </w:pPr>
      <w:r w:rsidRPr="00F03E53">
        <w:rPr>
          <w:rFonts w:ascii="Times New Roman" w:hAnsi="Times New Roman" w:cs="Times New Roman"/>
          <w:lang w:val="en-US"/>
        </w:rPr>
        <w:t xml:space="preserve">Kaplan-Meier curve of OS (in </w:t>
      </w:r>
      <w:r w:rsidR="009C4B82">
        <w:rPr>
          <w:rFonts w:ascii="Times New Roman" w:hAnsi="Times New Roman" w:cs="Times New Roman"/>
          <w:lang w:val="en-US"/>
        </w:rPr>
        <w:t>months</w:t>
      </w:r>
      <w:r w:rsidRPr="00F03E53">
        <w:rPr>
          <w:rFonts w:ascii="Times New Roman" w:hAnsi="Times New Roman" w:cs="Times New Roman"/>
          <w:lang w:val="en-US"/>
        </w:rPr>
        <w:t xml:space="preserve">) for patients who did (blue line) or did not (yellow line) experience liver toxicity during pazopanib treatment </w:t>
      </w:r>
      <w:r>
        <w:rPr>
          <w:rFonts w:ascii="Times New Roman" w:hAnsi="Times New Roman" w:cs="Times New Roman"/>
          <w:lang w:val="en-US"/>
        </w:rPr>
        <w:t>for</w:t>
      </w:r>
      <w:r w:rsidRPr="00F03E53">
        <w:rPr>
          <w:rFonts w:ascii="Times New Roman" w:hAnsi="Times New Roman" w:cs="Times New Roman"/>
          <w:lang w:val="en-US"/>
        </w:rPr>
        <w:t xml:space="preserve"> metastatic RCC </w:t>
      </w:r>
      <w:r>
        <w:rPr>
          <w:rFonts w:ascii="Times New Roman" w:hAnsi="Times New Roman" w:cs="Times New Roman"/>
          <w:lang w:val="en-US"/>
        </w:rPr>
        <w:t xml:space="preserve">(median 38.5 versus 21.9 months; </w:t>
      </w:r>
      <w:r w:rsidRPr="00F03E53">
        <w:rPr>
          <w:rFonts w:ascii="Times New Roman" w:hAnsi="Times New Roman" w:cs="Times New Roman"/>
          <w:lang w:val="en-US"/>
        </w:rPr>
        <w:t>P=0.115) or STS (</w:t>
      </w:r>
      <w:r>
        <w:rPr>
          <w:rFonts w:ascii="Times New Roman" w:hAnsi="Times New Roman" w:cs="Times New Roman"/>
          <w:lang w:val="en-US"/>
        </w:rPr>
        <w:t xml:space="preserve">median 10.9 versus 12.6 months; </w:t>
      </w:r>
      <w:r w:rsidRPr="00F03E53">
        <w:rPr>
          <w:rFonts w:ascii="Times New Roman" w:hAnsi="Times New Roman" w:cs="Times New Roman"/>
          <w:lang w:val="en-US"/>
        </w:rPr>
        <w:t>P=0.593).</w:t>
      </w:r>
      <w:r>
        <w:rPr>
          <w:rFonts w:ascii="Times New Roman" w:hAnsi="Times New Roman" w:cs="Times New Roman"/>
          <w:lang w:val="en-US"/>
        </w:rPr>
        <w:t xml:space="preserve"> </w:t>
      </w:r>
    </w:p>
    <w:p w14:paraId="65F65159" w14:textId="77777777" w:rsidR="005C778D" w:rsidRPr="00F03E53" w:rsidRDefault="005C778D" w:rsidP="005C778D">
      <w:pPr>
        <w:spacing w:line="480" w:lineRule="auto"/>
        <w:rPr>
          <w:rFonts w:ascii="Times New Roman" w:hAnsi="Times New Roman" w:cs="Times New Roman"/>
          <w:lang w:val="en-US"/>
        </w:rPr>
      </w:pPr>
      <w:r w:rsidRPr="00F03E53">
        <w:rPr>
          <w:rFonts w:ascii="Times New Roman" w:hAnsi="Times New Roman" w:cs="Times New Roman"/>
          <w:lang w:val="en-US"/>
        </w:rPr>
        <w:t xml:space="preserve">Abbreviations: OS, overall survival; RCC, renal cell carcinoma; STS, soft tissue sarcoma. </w:t>
      </w:r>
    </w:p>
    <w:p w14:paraId="55312038" w14:textId="1DC0B4DB" w:rsidR="00D81EF6" w:rsidRDefault="00D81EF6" w:rsidP="00D81EF6">
      <w:pPr>
        <w:spacing w:after="0" w:line="480" w:lineRule="auto"/>
        <w:jc w:val="both"/>
        <w:rPr>
          <w:noProof/>
          <w:lang w:val="en-US"/>
        </w:rPr>
      </w:pPr>
    </w:p>
    <w:p w14:paraId="29EB6B6B" w14:textId="77777777" w:rsidR="005C778D" w:rsidRPr="00F03E53" w:rsidRDefault="005C778D" w:rsidP="005C778D">
      <w:pPr>
        <w:spacing w:line="480" w:lineRule="auto"/>
        <w:rPr>
          <w:rFonts w:ascii="Times New Roman" w:hAnsi="Times New Roman" w:cs="Times New Roman"/>
          <w:lang w:val="en-US"/>
        </w:rPr>
      </w:pPr>
      <w:r w:rsidRPr="00F03E53">
        <w:rPr>
          <w:rFonts w:ascii="Times New Roman" w:hAnsi="Times New Roman" w:cs="Times New Roman"/>
          <w:b/>
          <w:bCs/>
          <w:lang w:val="en-US"/>
        </w:rPr>
        <w:t>Supplementa</w:t>
      </w:r>
      <w:r>
        <w:rPr>
          <w:rFonts w:ascii="Times New Roman" w:hAnsi="Times New Roman" w:cs="Times New Roman"/>
          <w:b/>
          <w:bCs/>
          <w:lang w:val="en-US"/>
        </w:rPr>
        <w:t>l</w:t>
      </w:r>
      <w:r w:rsidRPr="00F03E53">
        <w:rPr>
          <w:rFonts w:ascii="Times New Roman" w:hAnsi="Times New Roman" w:cs="Times New Roman"/>
          <w:b/>
          <w:bCs/>
          <w:lang w:val="en-US"/>
        </w:rPr>
        <w:t xml:space="preserve"> Figure 2. PFS of patients with or without liver toxicity in patients with RCC (A) or STS (B).</w:t>
      </w:r>
    </w:p>
    <w:p w14:paraId="4784A41D" w14:textId="3FB76316" w:rsidR="005C778D" w:rsidRDefault="005C778D" w:rsidP="005C778D">
      <w:pPr>
        <w:spacing w:after="0" w:line="480" w:lineRule="auto"/>
        <w:rPr>
          <w:rFonts w:ascii="Times New Roman" w:hAnsi="Times New Roman" w:cs="Times New Roman"/>
          <w:lang w:val="en-US"/>
        </w:rPr>
      </w:pPr>
      <w:r w:rsidRPr="00F03E53">
        <w:rPr>
          <w:rFonts w:ascii="Times New Roman" w:hAnsi="Times New Roman" w:cs="Times New Roman"/>
          <w:lang w:val="en-US"/>
        </w:rPr>
        <w:t xml:space="preserve">Kaplan-Meier curve of PFS (in </w:t>
      </w:r>
      <w:r w:rsidR="009C4B82">
        <w:rPr>
          <w:rFonts w:ascii="Times New Roman" w:hAnsi="Times New Roman" w:cs="Times New Roman"/>
          <w:lang w:val="en-US"/>
        </w:rPr>
        <w:t>months</w:t>
      </w:r>
      <w:r w:rsidRPr="00F03E53">
        <w:rPr>
          <w:rFonts w:ascii="Times New Roman" w:hAnsi="Times New Roman" w:cs="Times New Roman"/>
          <w:lang w:val="en-US"/>
        </w:rPr>
        <w:t xml:space="preserve">) for patients who did (blue line) or did not (yellow line) experience liver toxicity during pazopanib treatment </w:t>
      </w:r>
      <w:r>
        <w:rPr>
          <w:rFonts w:ascii="Times New Roman" w:hAnsi="Times New Roman" w:cs="Times New Roman"/>
          <w:lang w:val="en-US"/>
        </w:rPr>
        <w:t xml:space="preserve">for </w:t>
      </w:r>
      <w:r w:rsidRPr="00F03E53">
        <w:rPr>
          <w:rFonts w:ascii="Times New Roman" w:hAnsi="Times New Roman" w:cs="Times New Roman"/>
          <w:lang w:val="en-US"/>
        </w:rPr>
        <w:t>metastatic RCC (</w:t>
      </w:r>
      <w:r>
        <w:rPr>
          <w:rFonts w:ascii="Times New Roman" w:hAnsi="Times New Roman" w:cs="Times New Roman"/>
          <w:lang w:val="en-US"/>
        </w:rPr>
        <w:t xml:space="preserve">median 13.8 versus 8.9 months; </w:t>
      </w:r>
      <w:r w:rsidRPr="00F03E53">
        <w:rPr>
          <w:rFonts w:ascii="Times New Roman" w:hAnsi="Times New Roman" w:cs="Times New Roman"/>
          <w:lang w:val="en-US"/>
        </w:rPr>
        <w:t>P=0.252) or STS (</w:t>
      </w:r>
      <w:r>
        <w:rPr>
          <w:rFonts w:ascii="Times New Roman" w:hAnsi="Times New Roman" w:cs="Times New Roman"/>
          <w:lang w:val="en-US"/>
        </w:rPr>
        <w:t xml:space="preserve">median 6.2 versus 5.8 months; </w:t>
      </w:r>
      <w:r w:rsidRPr="00F03E53">
        <w:rPr>
          <w:rFonts w:ascii="Times New Roman" w:hAnsi="Times New Roman" w:cs="Times New Roman"/>
          <w:lang w:val="en-US"/>
        </w:rPr>
        <w:t xml:space="preserve">P=0.376). </w:t>
      </w:r>
    </w:p>
    <w:p w14:paraId="4698C7DF" w14:textId="77777777" w:rsidR="005C778D" w:rsidRPr="00F03E53" w:rsidRDefault="005C778D" w:rsidP="005C778D">
      <w:pPr>
        <w:spacing w:line="480" w:lineRule="auto"/>
        <w:rPr>
          <w:rFonts w:ascii="Times New Roman" w:hAnsi="Times New Roman" w:cs="Times New Roman"/>
          <w:lang w:val="en-US"/>
        </w:rPr>
      </w:pPr>
      <w:r w:rsidRPr="00F03E53">
        <w:rPr>
          <w:rFonts w:ascii="Times New Roman" w:hAnsi="Times New Roman" w:cs="Times New Roman"/>
          <w:lang w:val="en-US"/>
        </w:rPr>
        <w:t xml:space="preserve">Abbreviations: PFS, progression free survival; RCC, renal cell carcinoma; STS, soft tissue sarcoma. </w:t>
      </w:r>
    </w:p>
    <w:sectPr w:rsidR="005C778D" w:rsidRPr="00F03E53" w:rsidSect="00947E18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EF6"/>
    <w:rsid w:val="002C0012"/>
    <w:rsid w:val="005C778D"/>
    <w:rsid w:val="006E2B77"/>
    <w:rsid w:val="00947E18"/>
    <w:rsid w:val="009C4B82"/>
    <w:rsid w:val="00C036E7"/>
    <w:rsid w:val="00C12D1B"/>
    <w:rsid w:val="00C77C89"/>
    <w:rsid w:val="00D81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91FCD"/>
  <w15:chartTrackingRefBased/>
  <w15:docId w15:val="{5DB80F84-CB6B-4AEE-B2B6-C940F8E34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EF6"/>
    <w:pPr>
      <w:spacing w:after="200" w:line="276" w:lineRule="auto"/>
    </w:pPr>
    <w:rPr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D81EF6"/>
    <w:pPr>
      <w:spacing w:after="0" w:line="240" w:lineRule="auto"/>
    </w:pPr>
    <w:rPr>
      <w:lang w:val="en-GB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D81EF6"/>
    <w:rPr>
      <w:lang w:val="en-GB"/>
    </w:rPr>
  </w:style>
  <w:style w:type="table" w:styleId="Tabelraster">
    <w:name w:val="Table Grid"/>
    <w:basedOn w:val="Standaardtabel"/>
    <w:uiPriority w:val="39"/>
    <w:rsid w:val="00D81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C77C89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1701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Westerdijk, Kim</dc:creator>
  <cp:keywords/>
  <dc:description/>
  <cp:lastModifiedBy>Westerdijk, Kim</cp:lastModifiedBy>
  <cp:revision>3</cp:revision>
  <dcterms:created xsi:type="dcterms:W3CDTF">2023-11-02T20:48:00Z</dcterms:created>
  <dcterms:modified xsi:type="dcterms:W3CDTF">2023-11-02T20:59:00Z</dcterms:modified>
</cp:coreProperties>
</file>