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484" w14:textId="5359B74E" w:rsidR="000222D7" w:rsidRDefault="000222D7" w:rsidP="000222D7">
      <w:pPr>
        <w:pStyle w:val="berschrift1"/>
        <w:numPr>
          <w:ilvl w:val="0"/>
          <w:numId w:val="0"/>
        </w:numPr>
        <w:ind w:left="360" w:hanging="360"/>
        <w:rPr>
          <w:lang w:val="en-US"/>
        </w:rPr>
      </w:pPr>
      <w:r>
        <w:rPr>
          <w:lang w:val="en-US"/>
        </w:rPr>
        <w:t>Supplementary Information</w:t>
      </w:r>
    </w:p>
    <w:p w14:paraId="5BFC03E2" w14:textId="77777777" w:rsidR="00F167C8" w:rsidRPr="00066378" w:rsidRDefault="00F167C8" w:rsidP="00F167C8">
      <w:pPr>
        <w:rPr>
          <w:noProof/>
          <w:sz w:val="24"/>
          <w:szCs w:val="24"/>
          <w:lang w:val="en-US"/>
        </w:rPr>
      </w:pPr>
      <w:r w:rsidRPr="00066378">
        <w:rPr>
          <w:b/>
          <w:bCs/>
          <w:noProof/>
          <w:sz w:val="24"/>
          <w:szCs w:val="24"/>
          <w:lang w:val="en-US"/>
        </w:rPr>
        <w:t xml:space="preserve">Journal name: </w:t>
      </w:r>
      <w:r w:rsidRPr="00066378">
        <w:rPr>
          <w:noProof/>
          <w:sz w:val="24"/>
          <w:szCs w:val="24"/>
          <w:lang w:val="en-US"/>
        </w:rPr>
        <w:t>Cancer Chemotherapy and Pharmacology</w:t>
      </w:r>
    </w:p>
    <w:p w14:paraId="430609FF" w14:textId="603B72A3" w:rsidR="00F167C8" w:rsidRPr="00F167C8" w:rsidRDefault="00F167C8" w:rsidP="00F167C8">
      <w:pPr>
        <w:pStyle w:val="berschrift1"/>
        <w:numPr>
          <w:ilvl w:val="0"/>
          <w:numId w:val="0"/>
        </w:numPr>
        <w:rPr>
          <w:noProof/>
          <w:lang w:val="en-US"/>
        </w:rPr>
      </w:pPr>
      <w:r w:rsidRPr="00411459">
        <w:rPr>
          <w:noProof/>
          <w:lang w:val="en-US"/>
        </w:rPr>
        <w:t xml:space="preserve">Population pharmacokinetics of TLD-1, a novel liposomal doxorubicin, in a phase I trial </w:t>
      </w:r>
    </w:p>
    <w:p w14:paraId="4F6F1CE0" w14:textId="5CEF552C" w:rsidR="00F167C8" w:rsidRPr="00411459" w:rsidRDefault="00F167C8" w:rsidP="00F167C8">
      <w:pPr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br/>
      </w:r>
      <w:r w:rsidRPr="00411459">
        <w:rPr>
          <w:noProof/>
          <w:sz w:val="22"/>
          <w:szCs w:val="22"/>
          <w:lang w:val="en-US"/>
        </w:rPr>
        <w:t>Anna M. Mc Laughlin</w:t>
      </w:r>
      <w:r w:rsidRPr="00411459">
        <w:rPr>
          <w:noProof/>
          <w:sz w:val="22"/>
          <w:szCs w:val="22"/>
          <w:vertAlign w:val="superscript"/>
          <w:lang w:val="en-US"/>
        </w:rPr>
        <w:t>a,b#</w:t>
      </w:r>
      <w:r>
        <w:rPr>
          <w:noProof/>
          <w:sz w:val="22"/>
          <w:szCs w:val="22"/>
          <w:lang w:val="en-US"/>
        </w:rPr>
        <w:t xml:space="preserve">, </w:t>
      </w:r>
      <w:r w:rsidRPr="00411459">
        <w:rPr>
          <w:noProof/>
          <w:sz w:val="22"/>
          <w:szCs w:val="22"/>
          <w:lang w:val="en-US"/>
        </w:rPr>
        <w:t>Dagmar Hess</w:t>
      </w:r>
      <w:r w:rsidRPr="00411459">
        <w:rPr>
          <w:noProof/>
          <w:sz w:val="22"/>
          <w:szCs w:val="22"/>
          <w:vertAlign w:val="superscript"/>
          <w:lang w:val="en-US"/>
        </w:rPr>
        <w:t>c#</w:t>
      </w:r>
      <w:r w:rsidRPr="00411459">
        <w:rPr>
          <w:noProof/>
          <w:sz w:val="22"/>
          <w:szCs w:val="22"/>
          <w:lang w:val="en-US"/>
        </w:rPr>
        <w:t>, Robin Michelet</w:t>
      </w:r>
      <w:r w:rsidRPr="00411459">
        <w:rPr>
          <w:noProof/>
          <w:sz w:val="22"/>
          <w:szCs w:val="22"/>
          <w:vertAlign w:val="superscript"/>
          <w:lang w:val="en-US"/>
        </w:rPr>
        <w:t>a</w:t>
      </w:r>
      <w:r>
        <w:rPr>
          <w:noProof/>
          <w:sz w:val="22"/>
          <w:szCs w:val="22"/>
          <w:lang w:val="en-US"/>
        </w:rPr>
        <w:t xml:space="preserve">, </w:t>
      </w:r>
      <w:r w:rsidRPr="00411459">
        <w:rPr>
          <w:noProof/>
          <w:sz w:val="22"/>
          <w:szCs w:val="22"/>
          <w:lang w:val="en-US"/>
        </w:rPr>
        <w:t>Ilaria Colombo</w:t>
      </w:r>
      <w:r w:rsidRPr="00411459">
        <w:rPr>
          <w:noProof/>
          <w:sz w:val="22"/>
          <w:szCs w:val="22"/>
          <w:vertAlign w:val="superscript"/>
          <w:lang w:val="en-US"/>
        </w:rPr>
        <w:t>d</w:t>
      </w:r>
      <w:r w:rsidRPr="00411459">
        <w:rPr>
          <w:noProof/>
          <w:sz w:val="22"/>
          <w:szCs w:val="22"/>
          <w:lang w:val="en-US"/>
        </w:rPr>
        <w:t>, Simon Haefliger</w:t>
      </w:r>
      <w:r w:rsidRPr="00411459">
        <w:rPr>
          <w:noProof/>
          <w:sz w:val="22"/>
          <w:szCs w:val="22"/>
          <w:vertAlign w:val="superscript"/>
          <w:lang w:val="en-US"/>
        </w:rPr>
        <w:t>e</w:t>
      </w:r>
      <w:r w:rsidRPr="00411459">
        <w:rPr>
          <w:noProof/>
          <w:sz w:val="22"/>
          <w:szCs w:val="22"/>
          <w:lang w:val="en-US"/>
        </w:rPr>
        <w:t>, Sara Bastian</w:t>
      </w:r>
      <w:r w:rsidRPr="00411459">
        <w:rPr>
          <w:noProof/>
          <w:sz w:val="22"/>
          <w:szCs w:val="22"/>
          <w:vertAlign w:val="superscript"/>
          <w:lang w:val="en-US"/>
        </w:rPr>
        <w:t>f</w:t>
      </w:r>
      <w:r w:rsidRPr="00411459">
        <w:rPr>
          <w:noProof/>
          <w:sz w:val="22"/>
          <w:szCs w:val="22"/>
          <w:lang w:val="en-US"/>
        </w:rPr>
        <w:t>, Manuela Rabaglio</w:t>
      </w:r>
      <w:r w:rsidRPr="00411459">
        <w:rPr>
          <w:noProof/>
          <w:sz w:val="22"/>
          <w:szCs w:val="22"/>
          <w:vertAlign w:val="superscript"/>
          <w:lang w:val="en-US"/>
        </w:rPr>
        <w:t>e</w:t>
      </w:r>
      <w:r w:rsidRPr="00411459">
        <w:rPr>
          <w:noProof/>
          <w:sz w:val="22"/>
          <w:szCs w:val="22"/>
          <w:lang w:val="en-US"/>
        </w:rPr>
        <w:t>, Michael Schwitter</w:t>
      </w:r>
      <w:r w:rsidRPr="00411459">
        <w:rPr>
          <w:noProof/>
          <w:sz w:val="22"/>
          <w:szCs w:val="22"/>
          <w:vertAlign w:val="superscript"/>
          <w:lang w:val="en-US"/>
        </w:rPr>
        <w:t>g</w:t>
      </w:r>
      <w:r w:rsidRPr="00411459">
        <w:rPr>
          <w:noProof/>
          <w:sz w:val="22"/>
          <w:szCs w:val="22"/>
          <w:lang w:val="en-US"/>
        </w:rPr>
        <w:t>, Stefanie Fischer</w:t>
      </w:r>
      <w:r w:rsidRPr="00411459">
        <w:rPr>
          <w:noProof/>
          <w:sz w:val="22"/>
          <w:szCs w:val="22"/>
          <w:vertAlign w:val="superscript"/>
          <w:lang w:val="en-US"/>
        </w:rPr>
        <w:t>c</w:t>
      </w:r>
      <w:r w:rsidRPr="00411459">
        <w:rPr>
          <w:noProof/>
          <w:sz w:val="22"/>
          <w:szCs w:val="22"/>
          <w:lang w:val="en-US"/>
        </w:rPr>
        <w:t>, Katrin Eckhardt</w:t>
      </w:r>
      <w:r w:rsidRPr="00411459">
        <w:rPr>
          <w:noProof/>
          <w:sz w:val="22"/>
          <w:szCs w:val="22"/>
          <w:vertAlign w:val="superscript"/>
          <w:lang w:val="en-US"/>
        </w:rPr>
        <w:t>h</w:t>
      </w:r>
      <w:r w:rsidRPr="00411459">
        <w:rPr>
          <w:noProof/>
          <w:sz w:val="22"/>
          <w:szCs w:val="22"/>
          <w:lang w:val="en-US"/>
        </w:rPr>
        <w:t>, Stefanie Hayoz</w:t>
      </w:r>
      <w:r w:rsidRPr="00411459">
        <w:rPr>
          <w:noProof/>
          <w:sz w:val="22"/>
          <w:szCs w:val="22"/>
          <w:vertAlign w:val="superscript"/>
          <w:lang w:val="en-US"/>
        </w:rPr>
        <w:t>h</w:t>
      </w:r>
      <w:r w:rsidRPr="00411459">
        <w:rPr>
          <w:noProof/>
          <w:sz w:val="22"/>
          <w:szCs w:val="22"/>
          <w:lang w:val="en-US"/>
        </w:rPr>
        <w:t>, Christoph Kopp</w:t>
      </w:r>
      <w:r w:rsidRPr="00411459">
        <w:rPr>
          <w:noProof/>
          <w:sz w:val="22"/>
          <w:szCs w:val="22"/>
          <w:vertAlign w:val="superscript"/>
          <w:lang w:val="en-US"/>
        </w:rPr>
        <w:t>h</w:t>
      </w:r>
      <w:r w:rsidRPr="00411459">
        <w:rPr>
          <w:noProof/>
          <w:sz w:val="22"/>
          <w:szCs w:val="22"/>
          <w:lang w:val="en-US"/>
        </w:rPr>
        <w:t xml:space="preserve">, </w:t>
      </w:r>
      <w:r>
        <w:rPr>
          <w:noProof/>
          <w:sz w:val="22"/>
          <w:szCs w:val="22"/>
          <w:lang w:val="en-US"/>
        </w:rPr>
        <w:t>Marian Klose</w:t>
      </w:r>
      <w:r w:rsidRPr="00411459">
        <w:rPr>
          <w:noProof/>
          <w:sz w:val="22"/>
          <w:szCs w:val="22"/>
          <w:vertAlign w:val="superscript"/>
          <w:lang w:val="en-US"/>
        </w:rPr>
        <w:t>a,b</w:t>
      </w:r>
      <w:r>
        <w:rPr>
          <w:noProof/>
          <w:sz w:val="22"/>
          <w:szCs w:val="22"/>
          <w:lang w:val="en-US"/>
        </w:rPr>
        <w:t xml:space="preserve">, </w:t>
      </w:r>
      <w:r w:rsidRPr="00411459">
        <w:rPr>
          <w:noProof/>
          <w:sz w:val="22"/>
          <w:szCs w:val="22"/>
          <w:lang w:val="en-US"/>
        </w:rPr>
        <w:t>Cristiana Sessa</w:t>
      </w:r>
      <w:r w:rsidRPr="00411459">
        <w:rPr>
          <w:noProof/>
          <w:sz w:val="22"/>
          <w:szCs w:val="22"/>
          <w:vertAlign w:val="superscript"/>
          <w:lang w:val="en-US"/>
        </w:rPr>
        <w:t>d</w:t>
      </w:r>
      <w:r w:rsidRPr="00411459">
        <w:rPr>
          <w:noProof/>
          <w:sz w:val="22"/>
          <w:szCs w:val="22"/>
          <w:lang w:val="en-US"/>
        </w:rPr>
        <w:t>, Anastasios Stathis</w:t>
      </w:r>
      <w:r>
        <w:rPr>
          <w:noProof/>
          <w:sz w:val="22"/>
          <w:szCs w:val="22"/>
          <w:vertAlign w:val="superscript"/>
          <w:lang w:val="en-US"/>
        </w:rPr>
        <w:t>i,j</w:t>
      </w:r>
      <w:r>
        <w:rPr>
          <w:noProof/>
          <w:sz w:val="22"/>
          <w:szCs w:val="22"/>
          <w:lang w:val="en-US"/>
        </w:rPr>
        <w:t>, Stefan Halbherr</w:t>
      </w:r>
      <w:r>
        <w:rPr>
          <w:noProof/>
          <w:sz w:val="22"/>
          <w:szCs w:val="22"/>
          <w:vertAlign w:val="superscript"/>
          <w:lang w:val="en-US"/>
        </w:rPr>
        <w:t>k</w:t>
      </w:r>
      <w:r>
        <w:rPr>
          <w:noProof/>
          <w:sz w:val="22"/>
          <w:szCs w:val="22"/>
          <w:lang w:val="en-US"/>
        </w:rPr>
        <w:t xml:space="preserve">, </w:t>
      </w:r>
      <w:r w:rsidRPr="00411459">
        <w:rPr>
          <w:noProof/>
          <w:sz w:val="22"/>
          <w:szCs w:val="22"/>
          <w:lang w:val="en-US"/>
        </w:rPr>
        <w:t>Wilhelm Huisinga</w:t>
      </w:r>
      <w:r>
        <w:rPr>
          <w:noProof/>
          <w:sz w:val="22"/>
          <w:szCs w:val="22"/>
          <w:vertAlign w:val="superscript"/>
          <w:lang w:val="en-US"/>
        </w:rPr>
        <w:t>l</w:t>
      </w:r>
      <w:r w:rsidRPr="00411459">
        <w:rPr>
          <w:noProof/>
          <w:sz w:val="22"/>
          <w:szCs w:val="22"/>
          <w:lang w:val="en-US"/>
        </w:rPr>
        <w:t>, Markus Joerger</w:t>
      </w:r>
      <w:r w:rsidRPr="00411459">
        <w:rPr>
          <w:noProof/>
          <w:sz w:val="22"/>
          <w:szCs w:val="22"/>
          <w:vertAlign w:val="superscript"/>
          <w:lang w:val="en-US"/>
        </w:rPr>
        <w:t>c*</w:t>
      </w:r>
      <w:r w:rsidRPr="00411459">
        <w:rPr>
          <w:rFonts w:ascii="Arial" w:hAnsi="Arial" w:cs="Arial"/>
          <w:noProof/>
          <w:sz w:val="22"/>
          <w:szCs w:val="22"/>
          <w:vertAlign w:val="superscript"/>
          <w:lang w:val="en-US"/>
        </w:rPr>
        <w:t>†</w:t>
      </w:r>
      <w:r w:rsidRPr="00411459">
        <w:rPr>
          <w:noProof/>
          <w:sz w:val="22"/>
          <w:szCs w:val="22"/>
          <w:lang w:val="en-US"/>
        </w:rPr>
        <w:t>, Charlotte Kloft</w:t>
      </w:r>
      <w:r w:rsidRPr="00411459">
        <w:rPr>
          <w:noProof/>
          <w:sz w:val="22"/>
          <w:szCs w:val="22"/>
          <w:vertAlign w:val="superscript"/>
          <w:lang w:val="en-US"/>
        </w:rPr>
        <w:t>a*</w:t>
      </w:r>
      <w:r w:rsidRPr="00411459">
        <w:rPr>
          <w:rFonts w:ascii="Arial" w:hAnsi="Arial" w:cs="Arial"/>
          <w:noProof/>
          <w:sz w:val="22"/>
          <w:szCs w:val="22"/>
          <w:vertAlign w:val="superscript"/>
          <w:lang w:val="en-US"/>
        </w:rPr>
        <w:t>†</w:t>
      </w:r>
    </w:p>
    <w:p w14:paraId="74B39F01" w14:textId="2F5B3BF4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vertAlign w:val="superscript"/>
          <w:lang w:val="en-US"/>
        </w:rPr>
        <w:br/>
      </w:r>
      <w:r w:rsidRPr="00411459">
        <w:rPr>
          <w:noProof/>
          <w:sz w:val="22"/>
          <w:szCs w:val="22"/>
          <w:vertAlign w:val="superscript"/>
          <w:lang w:val="en-US"/>
        </w:rPr>
        <w:t>a</w:t>
      </w:r>
      <w:r w:rsidRPr="00411459">
        <w:rPr>
          <w:noProof/>
          <w:sz w:val="22"/>
          <w:szCs w:val="22"/>
          <w:lang w:val="en-US"/>
        </w:rPr>
        <w:t>Dept. of Clinical Pharmacy and Biochemistry, Institute of Pharmacy, Freie Universitaet Berlin, Kelchstr. 31, 12169 Berlin, Germany</w:t>
      </w:r>
    </w:p>
    <w:p w14:paraId="29E7DD34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b</w:t>
      </w:r>
      <w:r w:rsidRPr="00411459">
        <w:rPr>
          <w:noProof/>
          <w:sz w:val="22"/>
          <w:szCs w:val="22"/>
          <w:lang w:val="en-US"/>
        </w:rPr>
        <w:t>Graduate Research Training Program PharMetrX, Freie Universitaet Berlin/University of Potsdam, Berlin/Potsdam, Germany</w:t>
      </w:r>
    </w:p>
    <w:p w14:paraId="3F1DE6D6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c</w:t>
      </w:r>
      <w:r w:rsidRPr="00411459">
        <w:rPr>
          <w:noProof/>
          <w:sz w:val="22"/>
          <w:szCs w:val="22"/>
          <w:lang w:val="en-US"/>
        </w:rPr>
        <w:t>Department. of Medical Oncology and Haematology, Cantonal Hospital St. Gallen, St. Gallen, Switzerland</w:t>
      </w:r>
    </w:p>
    <w:p w14:paraId="792D7C80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d</w:t>
      </w:r>
      <w:r w:rsidRPr="00411459">
        <w:rPr>
          <w:noProof/>
          <w:sz w:val="22"/>
          <w:szCs w:val="22"/>
          <w:lang w:val="en-US"/>
        </w:rPr>
        <w:t>Department of Medical Oncology, Oncology Institute of Southern Switzerland, EOC, Bellinzona, Switzerland</w:t>
      </w:r>
    </w:p>
    <w:p w14:paraId="610E35C1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e</w:t>
      </w:r>
      <w:r w:rsidRPr="00411459">
        <w:rPr>
          <w:noProof/>
          <w:sz w:val="22"/>
          <w:szCs w:val="22"/>
          <w:lang w:val="en-US"/>
        </w:rPr>
        <w:t>Department of Medical Oncology, Inselspital, Bern University Hospital, University of Bern, Bern, Switzerland</w:t>
      </w:r>
    </w:p>
    <w:p w14:paraId="793125AB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f</w:t>
      </w:r>
      <w:r w:rsidRPr="00411459">
        <w:rPr>
          <w:noProof/>
          <w:sz w:val="22"/>
          <w:szCs w:val="22"/>
          <w:lang w:val="en-US"/>
        </w:rPr>
        <w:t>Department of Medical Oncology, Kantonsspital Graubünden, Chur, Switzerland</w:t>
      </w:r>
    </w:p>
    <w:p w14:paraId="6D7F1B49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g</w:t>
      </w:r>
      <w:r w:rsidRPr="00411459">
        <w:rPr>
          <w:noProof/>
          <w:sz w:val="22"/>
          <w:szCs w:val="22"/>
          <w:lang w:val="en-US"/>
        </w:rPr>
        <w:t>Oncology/Hematology, Kantonsspital Graubünden, Chur, Switzerland</w:t>
      </w:r>
    </w:p>
    <w:p w14:paraId="4046BDA0" w14:textId="77777777" w:rsidR="00F167C8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h</w:t>
      </w:r>
      <w:r w:rsidRPr="00411459">
        <w:rPr>
          <w:noProof/>
          <w:sz w:val="22"/>
          <w:szCs w:val="22"/>
          <w:lang w:val="en-US"/>
        </w:rPr>
        <w:t>Coordinating Center, Swiss Group for Clinical Cancer Research, Bern, Switzerland</w:t>
      </w:r>
    </w:p>
    <w:p w14:paraId="74E57192" w14:textId="77777777" w:rsidR="00F167C8" w:rsidRDefault="00F167C8" w:rsidP="00F167C8">
      <w:pPr>
        <w:jc w:val="left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vertAlign w:val="superscript"/>
          <w:lang w:val="en-US"/>
        </w:rPr>
        <w:t>i</w:t>
      </w:r>
      <w:r w:rsidRPr="00411459">
        <w:rPr>
          <w:noProof/>
          <w:sz w:val="22"/>
          <w:szCs w:val="22"/>
          <w:lang w:val="en-US"/>
        </w:rPr>
        <w:t>Oncology Institute of Southern Switzerland, EOC, Bellinzona, Switzerland</w:t>
      </w:r>
    </w:p>
    <w:p w14:paraId="2142F510" w14:textId="77777777" w:rsidR="00F167C8" w:rsidRPr="0028578A" w:rsidRDefault="00F167C8" w:rsidP="00F167C8">
      <w:pPr>
        <w:jc w:val="left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vertAlign w:val="superscript"/>
          <w:lang w:val="en-US"/>
        </w:rPr>
        <w:t>j</w:t>
      </w:r>
      <w:r>
        <w:rPr>
          <w:noProof/>
          <w:sz w:val="22"/>
          <w:szCs w:val="22"/>
          <w:lang w:val="en-US"/>
        </w:rPr>
        <w:t>Faculty of Biomedical Sciences, Universita della Svizzera Italiana, Lugano, Switzerland</w:t>
      </w:r>
    </w:p>
    <w:p w14:paraId="20C02694" w14:textId="77777777" w:rsidR="00F167C8" w:rsidRPr="00F524A0" w:rsidRDefault="00F167C8" w:rsidP="00F167C8">
      <w:pPr>
        <w:jc w:val="left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vertAlign w:val="superscript"/>
          <w:lang w:val="en-US"/>
        </w:rPr>
        <w:t>k</w:t>
      </w:r>
      <w:r w:rsidRPr="00411459">
        <w:rPr>
          <w:noProof/>
          <w:sz w:val="22"/>
          <w:szCs w:val="22"/>
          <w:lang w:val="en-US"/>
        </w:rPr>
        <w:t>In</w:t>
      </w:r>
      <w:r>
        <w:rPr>
          <w:noProof/>
          <w:sz w:val="22"/>
          <w:szCs w:val="22"/>
          <w:lang w:val="en-US"/>
        </w:rPr>
        <w:t>nomedica Switzerland AG, Switzerland</w:t>
      </w:r>
    </w:p>
    <w:p w14:paraId="0694C559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vertAlign w:val="superscript"/>
          <w:lang w:val="en-US"/>
        </w:rPr>
        <w:t>l</w:t>
      </w:r>
      <w:r w:rsidRPr="00411459">
        <w:rPr>
          <w:noProof/>
          <w:sz w:val="22"/>
          <w:szCs w:val="22"/>
          <w:lang w:val="en-US"/>
        </w:rPr>
        <w:t>Institute of Mathematics, University of Potsdam, Potsdam, Germany</w:t>
      </w:r>
    </w:p>
    <w:p w14:paraId="1463A90C" w14:textId="77777777" w:rsidR="00F167C8" w:rsidRPr="00411459" w:rsidRDefault="00F167C8" w:rsidP="00F167C8">
      <w:pPr>
        <w:jc w:val="left"/>
        <w:rPr>
          <w:noProof/>
          <w:sz w:val="22"/>
          <w:szCs w:val="22"/>
          <w:lang w:val="en-US"/>
        </w:rPr>
      </w:pPr>
      <w:r w:rsidRPr="00411459">
        <w:rPr>
          <w:noProof/>
          <w:sz w:val="22"/>
          <w:szCs w:val="22"/>
          <w:vertAlign w:val="superscript"/>
          <w:lang w:val="en-US"/>
        </w:rPr>
        <w:t>#</w:t>
      </w:r>
      <w:r w:rsidRPr="00411459">
        <w:rPr>
          <w:noProof/>
          <w:sz w:val="22"/>
          <w:szCs w:val="22"/>
          <w:lang w:val="en-US"/>
        </w:rPr>
        <w:t>Shared first authorship</w:t>
      </w:r>
      <w:r w:rsidRPr="00411459">
        <w:rPr>
          <w:rFonts w:ascii="Arial" w:hAnsi="Arial" w:cs="Arial"/>
          <w:noProof/>
          <w:sz w:val="22"/>
          <w:szCs w:val="22"/>
          <w:vertAlign w:val="superscript"/>
          <w:lang w:val="en-US"/>
        </w:rPr>
        <w:br/>
        <w:t>†</w:t>
      </w:r>
      <w:r w:rsidRPr="00411459">
        <w:rPr>
          <w:noProof/>
          <w:sz w:val="22"/>
          <w:szCs w:val="22"/>
          <w:lang w:val="en-US"/>
        </w:rPr>
        <w:t>Shared senior authorship</w:t>
      </w:r>
    </w:p>
    <w:p w14:paraId="4E58F04C" w14:textId="77777777" w:rsidR="00F167C8" w:rsidRPr="0028578A" w:rsidRDefault="00F167C8" w:rsidP="00F167C8">
      <w:pPr>
        <w:jc w:val="left"/>
        <w:rPr>
          <w:noProof/>
          <w:sz w:val="22"/>
          <w:szCs w:val="22"/>
          <w:lang w:val="de-DE"/>
        </w:rPr>
      </w:pPr>
      <w:r w:rsidRPr="0028578A">
        <w:rPr>
          <w:noProof/>
          <w:sz w:val="22"/>
          <w:szCs w:val="22"/>
          <w:lang w:val="de-DE"/>
        </w:rPr>
        <w:lastRenderedPageBreak/>
        <w:t>*Corresponding authors:</w:t>
      </w:r>
    </w:p>
    <w:p w14:paraId="450783A1" w14:textId="77777777" w:rsidR="00F167C8" w:rsidRPr="0028578A" w:rsidRDefault="00F167C8" w:rsidP="00F167C8">
      <w:pPr>
        <w:jc w:val="left"/>
        <w:rPr>
          <w:noProof/>
          <w:sz w:val="22"/>
          <w:szCs w:val="22"/>
          <w:lang w:val="de-DE"/>
        </w:rPr>
      </w:pPr>
      <w:r w:rsidRPr="0028578A">
        <w:rPr>
          <w:noProof/>
          <w:sz w:val="22"/>
          <w:szCs w:val="22"/>
          <w:lang w:val="de-DE"/>
        </w:rPr>
        <w:t>Prof. Dr. Charlotte Kloft</w:t>
      </w:r>
      <w:r w:rsidRPr="0028578A">
        <w:rPr>
          <w:noProof/>
          <w:sz w:val="22"/>
          <w:szCs w:val="22"/>
          <w:lang w:val="de-DE"/>
        </w:rPr>
        <w:br/>
        <w:t xml:space="preserve">Email: </w:t>
      </w:r>
      <w:hyperlink r:id="rId5" w:history="1">
        <w:r w:rsidRPr="0028578A">
          <w:rPr>
            <w:rStyle w:val="Hyperlink"/>
            <w:noProof/>
            <w:sz w:val="22"/>
            <w:szCs w:val="22"/>
            <w:lang w:val="de-DE"/>
          </w:rPr>
          <w:t>charlotte.kloft@fu-berlin.de</w:t>
        </w:r>
      </w:hyperlink>
      <w:r w:rsidRPr="0028578A">
        <w:rPr>
          <w:noProof/>
          <w:sz w:val="22"/>
          <w:szCs w:val="22"/>
          <w:lang w:val="de-DE"/>
        </w:rPr>
        <w:t xml:space="preserve"> </w:t>
      </w:r>
      <w:r w:rsidRPr="0028578A">
        <w:rPr>
          <w:noProof/>
          <w:sz w:val="22"/>
          <w:szCs w:val="22"/>
          <w:lang w:val="de-DE"/>
        </w:rPr>
        <w:br/>
        <w:t>Freie Universität Berlin</w:t>
      </w:r>
      <w:r w:rsidRPr="0028578A">
        <w:rPr>
          <w:noProof/>
          <w:sz w:val="22"/>
          <w:szCs w:val="22"/>
          <w:lang w:val="de-DE"/>
        </w:rPr>
        <w:br/>
        <w:t>Institut für Pharmazie</w:t>
      </w:r>
      <w:r w:rsidRPr="0028578A">
        <w:rPr>
          <w:noProof/>
          <w:sz w:val="22"/>
          <w:szCs w:val="22"/>
          <w:lang w:val="de-DE"/>
        </w:rPr>
        <w:br/>
        <w:t>Abteilung Klinische Pharmazie &amp; Biochemie</w:t>
      </w:r>
      <w:r w:rsidRPr="0028578A">
        <w:rPr>
          <w:noProof/>
          <w:sz w:val="22"/>
          <w:szCs w:val="22"/>
          <w:lang w:val="de-DE"/>
        </w:rPr>
        <w:br/>
        <w:t>Kelchstr. 31</w:t>
      </w:r>
      <w:r w:rsidRPr="0028578A">
        <w:rPr>
          <w:noProof/>
          <w:sz w:val="22"/>
          <w:szCs w:val="22"/>
          <w:lang w:val="de-DE"/>
        </w:rPr>
        <w:br/>
        <w:t>12169 Berlin</w:t>
      </w:r>
      <w:r w:rsidRPr="0028578A">
        <w:rPr>
          <w:noProof/>
          <w:sz w:val="22"/>
          <w:szCs w:val="22"/>
          <w:lang w:val="de-DE"/>
        </w:rPr>
        <w:br/>
        <w:t>Germany</w:t>
      </w:r>
    </w:p>
    <w:p w14:paraId="4C51802B" w14:textId="77777777" w:rsidR="00F167C8" w:rsidRPr="00114ABC" w:rsidRDefault="00F167C8" w:rsidP="00F167C8">
      <w:pPr>
        <w:jc w:val="left"/>
        <w:rPr>
          <w:noProof/>
          <w:sz w:val="22"/>
          <w:szCs w:val="22"/>
          <w:lang w:val="de-DE"/>
        </w:rPr>
      </w:pPr>
      <w:r w:rsidRPr="0028578A">
        <w:rPr>
          <w:noProof/>
          <w:sz w:val="22"/>
          <w:szCs w:val="22"/>
          <w:lang w:val="de-DE"/>
        </w:rPr>
        <w:t>Prof. Dr. Dr. Markus Joerger</w:t>
      </w:r>
      <w:r w:rsidRPr="0028578A">
        <w:rPr>
          <w:noProof/>
          <w:sz w:val="22"/>
          <w:szCs w:val="22"/>
          <w:lang w:val="de-DE"/>
        </w:rPr>
        <w:br/>
        <w:t xml:space="preserve">Email: </w:t>
      </w:r>
      <w:hyperlink r:id="rId6" w:history="1">
        <w:r w:rsidRPr="0028578A">
          <w:rPr>
            <w:rStyle w:val="Hyperlink"/>
            <w:noProof/>
            <w:sz w:val="22"/>
            <w:szCs w:val="22"/>
            <w:lang w:val="de-DE"/>
          </w:rPr>
          <w:t>markus.joerger@kssg.ch</w:t>
        </w:r>
      </w:hyperlink>
      <w:r w:rsidRPr="0028578A">
        <w:rPr>
          <w:noProof/>
          <w:sz w:val="22"/>
          <w:szCs w:val="22"/>
          <w:lang w:val="de-DE"/>
        </w:rPr>
        <w:t xml:space="preserve"> </w:t>
      </w:r>
      <w:r w:rsidRPr="0028578A">
        <w:rPr>
          <w:noProof/>
          <w:sz w:val="22"/>
          <w:szCs w:val="22"/>
          <w:lang w:val="de-DE"/>
        </w:rPr>
        <w:br/>
        <w:t>Kantonsspital St. Gallen</w:t>
      </w:r>
      <w:r w:rsidRPr="0028578A">
        <w:rPr>
          <w:noProof/>
          <w:sz w:val="22"/>
          <w:szCs w:val="22"/>
          <w:lang w:val="de-DE"/>
        </w:rPr>
        <w:br/>
        <w:t>Klinik für Medizinische Onkologie und Hämatologie</w:t>
      </w:r>
      <w:r w:rsidRPr="0028578A">
        <w:rPr>
          <w:noProof/>
          <w:sz w:val="22"/>
          <w:szCs w:val="22"/>
          <w:lang w:val="de-DE"/>
        </w:rPr>
        <w:br/>
        <w:t>Rorschacher Strasse 95</w:t>
      </w:r>
      <w:r w:rsidRPr="0028578A">
        <w:rPr>
          <w:noProof/>
          <w:sz w:val="22"/>
          <w:szCs w:val="22"/>
          <w:lang w:val="de-DE"/>
        </w:rPr>
        <w:br/>
        <w:t>9007 St. Gallen</w:t>
      </w:r>
      <w:r w:rsidRPr="0028578A">
        <w:rPr>
          <w:noProof/>
          <w:sz w:val="22"/>
          <w:szCs w:val="22"/>
          <w:lang w:val="de-DE"/>
        </w:rPr>
        <w:br/>
        <w:t>Switzerland</w:t>
      </w:r>
    </w:p>
    <w:p w14:paraId="0D11CF96" w14:textId="0DB76374" w:rsidR="000222D7" w:rsidRPr="002A6C55" w:rsidRDefault="000222D7" w:rsidP="000222D7">
      <w:pPr>
        <w:jc w:val="left"/>
        <w:rPr>
          <w:lang w:val="de-DE"/>
        </w:rPr>
      </w:pPr>
    </w:p>
    <w:p w14:paraId="3DCCF948" w14:textId="02DD9CEF" w:rsidR="00363464" w:rsidRPr="002A6C55" w:rsidRDefault="00363464" w:rsidP="00363464">
      <w:pPr>
        <w:spacing w:line="276" w:lineRule="auto"/>
        <w:rPr>
          <w:lang w:val="de-DE"/>
        </w:rPr>
      </w:pPr>
    </w:p>
    <w:p w14:paraId="0ADA3DCA" w14:textId="28629942" w:rsidR="000222D7" w:rsidRPr="002A6C55" w:rsidRDefault="000222D7">
      <w:pPr>
        <w:spacing w:line="259" w:lineRule="auto"/>
        <w:jc w:val="left"/>
        <w:rPr>
          <w:sz w:val="24"/>
          <w:szCs w:val="24"/>
          <w:lang w:val="de-DE"/>
        </w:rPr>
      </w:pPr>
      <w:r w:rsidRPr="002A6C55">
        <w:rPr>
          <w:sz w:val="24"/>
          <w:szCs w:val="24"/>
          <w:lang w:val="de-DE"/>
        </w:rPr>
        <w:br w:type="page"/>
      </w:r>
    </w:p>
    <w:p w14:paraId="7B841C70" w14:textId="567D3610" w:rsidR="00363464" w:rsidRDefault="0078444A" w:rsidP="00CF5A80">
      <w:pPr>
        <w:spacing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17460FE2" wp14:editId="7E763C17">
            <wp:extent cx="5731510" cy="28657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FF5DB" w14:textId="0FD7F5BA" w:rsidR="0078444A" w:rsidRDefault="0078444A" w:rsidP="00363464">
      <w:pPr>
        <w:spacing w:line="276" w:lineRule="auto"/>
        <w:rPr>
          <w:sz w:val="24"/>
          <w:szCs w:val="24"/>
        </w:rPr>
      </w:pPr>
    </w:p>
    <w:p w14:paraId="6AFA9E89" w14:textId="77777777" w:rsidR="00CF5A80" w:rsidRDefault="00CF5A80" w:rsidP="00363464">
      <w:pPr>
        <w:spacing w:line="276" w:lineRule="auto"/>
        <w:rPr>
          <w:sz w:val="24"/>
          <w:szCs w:val="24"/>
        </w:rPr>
      </w:pPr>
    </w:p>
    <w:p w14:paraId="5367A38E" w14:textId="0E99CAA1" w:rsidR="0078444A" w:rsidRDefault="0078444A" w:rsidP="00363464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drawing>
          <wp:inline distT="0" distB="0" distL="0" distR="0" wp14:anchorId="25C88C22" wp14:editId="393470C4">
            <wp:extent cx="5731510" cy="28657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F3777" w14:textId="14611BF7" w:rsidR="00942024" w:rsidRDefault="00942024" w:rsidP="00363464">
      <w:pPr>
        <w:spacing w:line="276" w:lineRule="auto"/>
        <w:rPr>
          <w:sz w:val="24"/>
          <w:szCs w:val="24"/>
        </w:rPr>
      </w:pPr>
    </w:p>
    <w:p w14:paraId="3C03DDA9" w14:textId="25C41E21" w:rsidR="00942024" w:rsidRDefault="00942024" w:rsidP="00363464">
      <w:pPr>
        <w:spacing w:line="276" w:lineRule="auto"/>
        <w:rPr>
          <w:sz w:val="24"/>
          <w:szCs w:val="24"/>
        </w:rPr>
      </w:pPr>
    </w:p>
    <w:p w14:paraId="6FC4A46A" w14:textId="65E45AD6" w:rsidR="00942024" w:rsidRDefault="00942024" w:rsidP="00363464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047DA5FA" wp14:editId="6BBD5EF0">
            <wp:extent cx="5730874" cy="2865437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4" cy="286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FA5D" w14:textId="77777777" w:rsidR="00363464" w:rsidRDefault="00363464" w:rsidP="00363464">
      <w:pPr>
        <w:spacing w:line="276" w:lineRule="auto"/>
        <w:rPr>
          <w:sz w:val="24"/>
          <w:szCs w:val="24"/>
        </w:rPr>
      </w:pPr>
    </w:p>
    <w:p w14:paraId="763112E3" w14:textId="55CA6F6D" w:rsidR="006B7152" w:rsidRPr="00CF5A80" w:rsidRDefault="00E9492C" w:rsidP="00363464">
      <w:pPr>
        <w:rPr>
          <w:sz w:val="22"/>
          <w:szCs w:val="24"/>
        </w:rPr>
        <w:sectPr w:rsidR="006B7152" w:rsidRPr="00CF5A8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Hlk128411547"/>
      <w:r>
        <w:rPr>
          <w:b/>
          <w:sz w:val="22"/>
          <w:szCs w:val="24"/>
        </w:rPr>
        <w:t xml:space="preserve">Supplementary </w:t>
      </w:r>
      <w:r w:rsidR="00363464" w:rsidRPr="00E30B7A">
        <w:rPr>
          <w:b/>
          <w:sz w:val="22"/>
          <w:szCs w:val="24"/>
        </w:rPr>
        <w:t>Fig</w:t>
      </w:r>
      <w:r w:rsidR="003421F5">
        <w:rPr>
          <w:b/>
          <w:sz w:val="22"/>
          <w:szCs w:val="24"/>
        </w:rPr>
        <w:t>.</w:t>
      </w:r>
      <w:r w:rsidR="00363464" w:rsidRPr="00E30B7A">
        <w:rPr>
          <w:b/>
          <w:sz w:val="22"/>
          <w:szCs w:val="24"/>
        </w:rPr>
        <w:t xml:space="preserve"> 1</w:t>
      </w:r>
      <w:r w:rsidR="003421F5">
        <w:rPr>
          <w:b/>
          <w:sz w:val="22"/>
          <w:szCs w:val="24"/>
        </w:rPr>
        <w:t xml:space="preserve">  </w:t>
      </w:r>
      <w:r w:rsidR="00363464" w:rsidRPr="00E30B7A">
        <w:rPr>
          <w:sz w:val="22"/>
          <w:szCs w:val="24"/>
        </w:rPr>
        <w:t xml:space="preserve">Concentration-time profiles of the observed plasma concentrations of entrapped </w:t>
      </w:r>
      <w:r w:rsidR="00EA6E6F">
        <w:rPr>
          <w:sz w:val="22"/>
          <w:szCs w:val="24"/>
        </w:rPr>
        <w:t>doxorubicin</w:t>
      </w:r>
      <w:r w:rsidR="00EA6E6F" w:rsidRPr="00E30B7A">
        <w:rPr>
          <w:sz w:val="22"/>
          <w:szCs w:val="24"/>
        </w:rPr>
        <w:t xml:space="preserve"> </w:t>
      </w:r>
      <w:r w:rsidR="00363464" w:rsidRPr="00E30B7A">
        <w:rPr>
          <w:sz w:val="22"/>
          <w:szCs w:val="24"/>
        </w:rPr>
        <w:t xml:space="preserve">(upper </w:t>
      </w:r>
      <w:r w:rsidR="00942024">
        <w:rPr>
          <w:sz w:val="22"/>
          <w:szCs w:val="24"/>
        </w:rPr>
        <w:t>plots</w:t>
      </w:r>
      <w:r w:rsidR="00363464" w:rsidRPr="00E30B7A">
        <w:rPr>
          <w:sz w:val="22"/>
          <w:szCs w:val="24"/>
        </w:rPr>
        <w:t>)</w:t>
      </w:r>
      <w:r w:rsidR="00EA6E6F">
        <w:rPr>
          <w:sz w:val="22"/>
          <w:szCs w:val="24"/>
        </w:rPr>
        <w:t>,</w:t>
      </w:r>
      <w:r w:rsidR="00363464" w:rsidRPr="00E30B7A">
        <w:rPr>
          <w:sz w:val="22"/>
          <w:szCs w:val="24"/>
        </w:rPr>
        <w:t xml:space="preserve"> free doxorubicin</w:t>
      </w:r>
      <w:r w:rsidR="00EA6E6F">
        <w:rPr>
          <w:sz w:val="22"/>
          <w:szCs w:val="24"/>
        </w:rPr>
        <w:t xml:space="preserve"> </w:t>
      </w:r>
      <w:r w:rsidR="00EA6E6F" w:rsidRPr="00E30B7A">
        <w:rPr>
          <w:sz w:val="22"/>
          <w:szCs w:val="24"/>
        </w:rPr>
        <w:t>(</w:t>
      </w:r>
      <w:r w:rsidR="00EA6E6F">
        <w:rPr>
          <w:sz w:val="22"/>
          <w:szCs w:val="24"/>
        </w:rPr>
        <w:t>middle plots</w:t>
      </w:r>
      <w:r w:rsidR="00EA6E6F" w:rsidRPr="00E30B7A">
        <w:rPr>
          <w:sz w:val="22"/>
          <w:szCs w:val="24"/>
        </w:rPr>
        <w:t>)</w:t>
      </w:r>
      <w:r w:rsidR="00363464" w:rsidRPr="00E30B7A">
        <w:rPr>
          <w:sz w:val="22"/>
          <w:szCs w:val="24"/>
        </w:rPr>
        <w:t xml:space="preserve">, and </w:t>
      </w:r>
      <w:proofErr w:type="spellStart"/>
      <w:r w:rsidR="00363464" w:rsidRPr="00E30B7A">
        <w:rPr>
          <w:sz w:val="22"/>
          <w:szCs w:val="24"/>
        </w:rPr>
        <w:t>doxorubicinol</w:t>
      </w:r>
      <w:proofErr w:type="spellEnd"/>
      <w:r w:rsidR="00363464" w:rsidRPr="00E30B7A">
        <w:rPr>
          <w:sz w:val="22"/>
          <w:szCs w:val="24"/>
        </w:rPr>
        <w:t xml:space="preserve"> (</w:t>
      </w:r>
      <w:r w:rsidR="00942024">
        <w:rPr>
          <w:sz w:val="22"/>
          <w:szCs w:val="24"/>
        </w:rPr>
        <w:t>lower plots</w:t>
      </w:r>
      <w:r w:rsidR="00363464" w:rsidRPr="00E30B7A">
        <w:rPr>
          <w:sz w:val="22"/>
          <w:szCs w:val="24"/>
        </w:rPr>
        <w:t xml:space="preserve">) in the clinical TLD-1 dataset. Each </w:t>
      </w:r>
      <w:r w:rsidR="00942024">
        <w:rPr>
          <w:sz w:val="22"/>
          <w:szCs w:val="24"/>
        </w:rPr>
        <w:t>panel</w:t>
      </w:r>
      <w:r w:rsidR="00363464" w:rsidRPr="00E30B7A">
        <w:rPr>
          <w:sz w:val="22"/>
          <w:szCs w:val="24"/>
        </w:rPr>
        <w:t xml:space="preserve"> represents a</w:t>
      </w:r>
      <w:r w:rsidR="00105590">
        <w:rPr>
          <w:sz w:val="22"/>
          <w:szCs w:val="24"/>
        </w:rPr>
        <w:t>n</w:t>
      </w:r>
      <w:r w:rsidR="00363464" w:rsidRPr="00E30B7A">
        <w:rPr>
          <w:sz w:val="22"/>
          <w:szCs w:val="24"/>
        </w:rPr>
        <w:t xml:space="preserve"> </w:t>
      </w:r>
      <w:r w:rsidR="00105590">
        <w:rPr>
          <w:sz w:val="22"/>
          <w:szCs w:val="24"/>
        </w:rPr>
        <w:t>individual</w:t>
      </w:r>
      <w:r w:rsidR="00363464" w:rsidRPr="00E30B7A">
        <w:rPr>
          <w:sz w:val="22"/>
          <w:szCs w:val="24"/>
        </w:rPr>
        <w:t xml:space="preserve"> patient</w:t>
      </w:r>
      <w:r w:rsidR="006B7152">
        <w:rPr>
          <w:sz w:val="22"/>
          <w:szCs w:val="24"/>
        </w:rPr>
        <w:t>.</w:t>
      </w:r>
    </w:p>
    <w:bookmarkEnd w:id="0"/>
    <w:p w14:paraId="192C59E9" w14:textId="0419AC75" w:rsidR="000A327E" w:rsidRDefault="00CF5A80" w:rsidP="00375C75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0CBB0091" wp14:editId="54D4A3CA">
            <wp:extent cx="5357004" cy="36612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830" cy="367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9B80D" w14:textId="091F7316" w:rsidR="00CF5A80" w:rsidRDefault="00E9492C" w:rsidP="00CF5A80">
      <w:pPr>
        <w:rPr>
          <w:sz w:val="22"/>
          <w:szCs w:val="22"/>
        </w:rPr>
      </w:pPr>
      <w:bookmarkStart w:id="1" w:name="_Hlk128411572"/>
      <w:r>
        <w:rPr>
          <w:b/>
          <w:bCs/>
          <w:sz w:val="22"/>
          <w:szCs w:val="22"/>
        </w:rPr>
        <w:t xml:space="preserve">Supplementary </w:t>
      </w:r>
      <w:r w:rsidR="00CF5A80" w:rsidRPr="00CF5A80">
        <w:rPr>
          <w:b/>
          <w:bCs/>
          <w:sz w:val="22"/>
          <w:szCs w:val="22"/>
        </w:rPr>
        <w:t>Fig</w:t>
      </w:r>
      <w:r w:rsidR="003421F5">
        <w:rPr>
          <w:b/>
          <w:bCs/>
          <w:sz w:val="22"/>
          <w:szCs w:val="22"/>
        </w:rPr>
        <w:t>.</w:t>
      </w:r>
      <w:r w:rsidR="00CF5A80" w:rsidRPr="00CF5A80">
        <w:rPr>
          <w:b/>
          <w:bCs/>
          <w:sz w:val="22"/>
          <w:szCs w:val="22"/>
        </w:rPr>
        <w:t xml:space="preserve"> 2</w:t>
      </w:r>
      <w:r w:rsidR="003421F5">
        <w:rPr>
          <w:sz w:val="22"/>
          <w:szCs w:val="22"/>
        </w:rPr>
        <w:t xml:space="preserve"> </w:t>
      </w:r>
      <w:r w:rsidR="00CF5A80" w:rsidRPr="00CF5A80">
        <w:rPr>
          <w:sz w:val="22"/>
          <w:szCs w:val="22"/>
        </w:rPr>
        <w:t xml:space="preserve"> </w:t>
      </w:r>
      <w:r w:rsidR="00CF5A80">
        <w:rPr>
          <w:sz w:val="22"/>
          <w:szCs w:val="22"/>
        </w:rPr>
        <w:t>Ratios of individual dose-normalised AUC</w:t>
      </w:r>
      <w:r w:rsidR="00CF5A80">
        <w:rPr>
          <w:sz w:val="22"/>
          <w:szCs w:val="22"/>
          <w:vertAlign w:val="subscript"/>
        </w:rPr>
        <w:t>0-</w:t>
      </w:r>
      <w:r w:rsidR="00D053DB">
        <w:rPr>
          <w:sz w:val="22"/>
          <w:szCs w:val="22"/>
          <w:vertAlign w:val="subscript"/>
        </w:rPr>
        <w:t>inf</w:t>
      </w:r>
      <w:r w:rsidR="00CF5A80">
        <w:rPr>
          <w:sz w:val="22"/>
          <w:szCs w:val="22"/>
          <w:vertAlign w:val="subscript"/>
        </w:rPr>
        <w:t xml:space="preserve"> </w:t>
      </w:r>
      <w:r w:rsidR="007A011C">
        <w:rPr>
          <w:sz w:val="22"/>
          <w:szCs w:val="22"/>
        </w:rPr>
        <w:t xml:space="preserve">of total doxorubicin </w:t>
      </w:r>
      <w:r w:rsidR="00CF5A80">
        <w:rPr>
          <w:sz w:val="22"/>
          <w:szCs w:val="22"/>
        </w:rPr>
        <w:t>in cycle 1 vs 2 in 2</w:t>
      </w:r>
      <w:r w:rsidR="007B0907">
        <w:rPr>
          <w:sz w:val="22"/>
          <w:szCs w:val="22"/>
        </w:rPr>
        <w:t>8</w:t>
      </w:r>
      <w:r w:rsidR="00CF5A80">
        <w:rPr>
          <w:sz w:val="22"/>
          <w:szCs w:val="22"/>
        </w:rPr>
        <w:t xml:space="preserve"> patients treated with TLD-1. </w:t>
      </w:r>
      <w:r w:rsidR="007B0907">
        <w:rPr>
          <w:sz w:val="22"/>
          <w:szCs w:val="22"/>
        </w:rPr>
        <w:t>Two</w:t>
      </w:r>
      <w:r w:rsidR="00CF5A80">
        <w:rPr>
          <w:sz w:val="22"/>
          <w:szCs w:val="22"/>
        </w:rPr>
        <w:t xml:space="preserve"> of the 30 patients were not included in this plot because </w:t>
      </w:r>
      <w:r w:rsidR="00EA6E6F">
        <w:rPr>
          <w:sz w:val="22"/>
          <w:szCs w:val="22"/>
        </w:rPr>
        <w:t xml:space="preserve">for these patients </w:t>
      </w:r>
      <w:r w:rsidR="00CF5A80">
        <w:rPr>
          <w:sz w:val="22"/>
          <w:szCs w:val="22"/>
        </w:rPr>
        <w:t xml:space="preserve">only data from one cycle was available. </w:t>
      </w:r>
      <w:r w:rsidR="00CF5A80">
        <w:rPr>
          <w:i/>
          <w:iCs/>
          <w:sz w:val="22"/>
          <w:szCs w:val="22"/>
        </w:rPr>
        <w:t xml:space="preserve">Abbreviations: </w:t>
      </w:r>
      <w:r w:rsidR="00CF5A80">
        <w:rPr>
          <w:sz w:val="22"/>
          <w:szCs w:val="22"/>
        </w:rPr>
        <w:t>AUC</w:t>
      </w:r>
      <w:r w:rsidR="00CF5A80">
        <w:rPr>
          <w:sz w:val="22"/>
          <w:szCs w:val="22"/>
          <w:vertAlign w:val="subscript"/>
        </w:rPr>
        <w:t>0-inf</w:t>
      </w:r>
      <w:r w:rsidR="00CF5A80">
        <w:rPr>
          <w:sz w:val="22"/>
          <w:szCs w:val="22"/>
        </w:rPr>
        <w:t xml:space="preserve">: Area under the concentration-time curve from t=0 to infinity. </w:t>
      </w:r>
      <w:bookmarkEnd w:id="1"/>
    </w:p>
    <w:p w14:paraId="6C9B3D14" w14:textId="77777777" w:rsidR="00B249FF" w:rsidRPr="00B249FF" w:rsidRDefault="00B249FF" w:rsidP="00CF5A80">
      <w:pPr>
        <w:rPr>
          <w:sz w:val="22"/>
          <w:szCs w:val="22"/>
          <w:lang w:val="en-US"/>
        </w:rPr>
      </w:pPr>
    </w:p>
    <w:p w14:paraId="32F74597" w14:textId="77777777" w:rsidR="00FD74C1" w:rsidRDefault="00FD74C1" w:rsidP="00CF5A80">
      <w:pPr>
        <w:rPr>
          <w:sz w:val="22"/>
          <w:szCs w:val="22"/>
        </w:rPr>
        <w:sectPr w:rsidR="00FD74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C43E00D" w14:textId="77777777" w:rsidR="00FD74C1" w:rsidRDefault="00FD74C1" w:rsidP="00CF5A80">
      <w:pPr>
        <w:rPr>
          <w:sz w:val="22"/>
          <w:szCs w:val="22"/>
        </w:rPr>
      </w:pPr>
    </w:p>
    <w:p w14:paraId="011693DF" w14:textId="2F07031F" w:rsidR="000D743D" w:rsidRDefault="000D743D" w:rsidP="00FD74C1">
      <w:pPr>
        <w:spacing w:line="259" w:lineRule="auto"/>
        <w:jc w:val="lef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ED847C3" wp14:editId="430261FF">
            <wp:extent cx="9287670" cy="3735237"/>
            <wp:effectExtent l="0" t="0" r="8890" b="0"/>
            <wp:docPr id="1358701286" name="Picture 1" descr="A picture containing line, diagram, plo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01286" name="Picture 1" descr="A picture containing line, diagram, plot, screensho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7317" cy="374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2A17F" w14:textId="276333FE" w:rsidR="000D743D" w:rsidRDefault="000D743D" w:rsidP="000D743D">
      <w:pPr>
        <w:rPr>
          <w:noProof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w:t xml:space="preserve">Supplementary Fig. 3 </w:t>
      </w:r>
      <w:r w:rsidRPr="00095738">
        <w:rPr>
          <w:noProof/>
          <w:sz w:val="22"/>
          <w:szCs w:val="22"/>
          <w:lang w:val="en-US"/>
        </w:rPr>
        <w:t>Individual model-predicted central (panel a, left) and peripheral (panel b, right) volumes of distribution of doxorubicin</w:t>
      </w:r>
      <w:r w:rsidRPr="00743476">
        <w:rPr>
          <w:noProof/>
          <w:sz w:val="22"/>
          <w:szCs w:val="22"/>
          <w:vertAlign w:val="subscript"/>
          <w:lang w:val="en-US"/>
        </w:rPr>
        <w:t>free</w:t>
      </w:r>
      <w:r w:rsidRPr="00095738">
        <w:rPr>
          <w:noProof/>
          <w:sz w:val="22"/>
          <w:szCs w:val="22"/>
          <w:lang w:val="en-US"/>
        </w:rPr>
        <w:t xml:space="preserve"> vs. body surface area. Blue lines: typical model predictions for the central and peripheral volumes of distribution of doxorubicin</w:t>
      </w:r>
      <w:r w:rsidRPr="00743476">
        <w:rPr>
          <w:noProof/>
          <w:sz w:val="22"/>
          <w:szCs w:val="22"/>
          <w:vertAlign w:val="subscript"/>
          <w:lang w:val="en-US"/>
        </w:rPr>
        <w:t>free</w:t>
      </w:r>
      <w:r w:rsidRPr="00095738">
        <w:rPr>
          <w:noProof/>
          <w:sz w:val="22"/>
          <w:szCs w:val="22"/>
          <w:lang w:val="en-US"/>
        </w:rPr>
        <w:t xml:space="preserve"> vs. body surface area.</w:t>
      </w:r>
    </w:p>
    <w:p w14:paraId="08C272BC" w14:textId="77777777" w:rsidR="00B249FF" w:rsidRDefault="00B249FF" w:rsidP="000D743D">
      <w:pPr>
        <w:rPr>
          <w:noProof/>
          <w:sz w:val="22"/>
          <w:szCs w:val="22"/>
          <w:lang w:val="en-US"/>
        </w:rPr>
      </w:pPr>
    </w:p>
    <w:p w14:paraId="34B53A27" w14:textId="040AF946" w:rsidR="00FD74C1" w:rsidRDefault="00FD74C1">
      <w:pPr>
        <w:spacing w:line="259" w:lineRule="auto"/>
        <w:jc w:val="left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br w:type="page"/>
      </w:r>
    </w:p>
    <w:p w14:paraId="34099B91" w14:textId="5027E03D" w:rsidR="00FD74C1" w:rsidRDefault="00FD74C1" w:rsidP="00D43FEC">
      <w:pPr>
        <w:ind w:firstLine="1701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24D26DD0" wp14:editId="522E3E09">
            <wp:extent cx="6607834" cy="4974364"/>
            <wp:effectExtent l="0" t="0" r="2540" b="0"/>
            <wp:docPr id="1666674210" name="Picture 2" descr="A picture containing text, line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74210" name="Picture 2" descr="A picture containing text, line, diagram, fon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932" cy="498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6EB25" w14:textId="6307B6F1" w:rsidR="00B249FF" w:rsidRDefault="00D43FEC" w:rsidP="00B249FF">
      <w:pPr>
        <w:rPr>
          <w:noProof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t>Supplementary Fig. 4</w:t>
      </w:r>
      <w:r w:rsidRPr="000871A2">
        <w:rPr>
          <w:bCs/>
          <w:noProof/>
          <w:sz w:val="22"/>
          <w:szCs w:val="22"/>
          <w:lang w:val="en-US"/>
        </w:rPr>
        <w:t xml:space="preserve"> Entrapped doxorubicin: </w:t>
      </w:r>
      <w:r w:rsidRPr="000871A2">
        <w:rPr>
          <w:noProof/>
          <w:sz w:val="22"/>
          <w:szCs w:val="22"/>
          <w:lang w:val="en-US"/>
        </w:rPr>
        <w:t>Measured concentrations (</w:t>
      </w:r>
      <w:r w:rsidRPr="000871A2">
        <w:rPr>
          <w:i/>
          <w:iCs/>
          <w:noProof/>
          <w:sz w:val="22"/>
          <w:szCs w:val="22"/>
          <w:lang w:val="en-US"/>
        </w:rPr>
        <w:t>data points</w:t>
      </w:r>
      <w:r w:rsidRPr="000871A2">
        <w:rPr>
          <w:noProof/>
          <w:sz w:val="22"/>
          <w:szCs w:val="22"/>
          <w:lang w:val="en-US"/>
        </w:rPr>
        <w:t>), typical predictions (</w:t>
      </w:r>
      <w:r w:rsidRPr="000871A2">
        <w:rPr>
          <w:i/>
          <w:iCs/>
          <w:noProof/>
          <w:sz w:val="22"/>
          <w:szCs w:val="22"/>
          <w:lang w:val="en-US"/>
        </w:rPr>
        <w:t>dashed line</w:t>
      </w:r>
      <w:r w:rsidRPr="000871A2">
        <w:rPr>
          <w:noProof/>
          <w:sz w:val="22"/>
          <w:szCs w:val="22"/>
          <w:lang w:val="en-US"/>
        </w:rPr>
        <w:t>s) and individual predictions (</w:t>
      </w:r>
      <w:r w:rsidRPr="000871A2">
        <w:rPr>
          <w:i/>
          <w:iCs/>
          <w:noProof/>
          <w:sz w:val="22"/>
          <w:szCs w:val="22"/>
          <w:lang w:val="en-US"/>
        </w:rPr>
        <w:t>solid lines</w:t>
      </w:r>
      <w:r w:rsidRPr="000871A2">
        <w:rPr>
          <w:noProof/>
          <w:sz w:val="22"/>
          <w:szCs w:val="22"/>
          <w:lang w:val="en-US"/>
        </w:rPr>
        <w:t xml:space="preserve">) in the clinical TLD-1 dataset. </w:t>
      </w:r>
      <w:r w:rsidR="00B249FF">
        <w:rPr>
          <w:noProof/>
          <w:sz w:val="22"/>
          <w:szCs w:val="22"/>
          <w:lang w:val="en-US"/>
        </w:rPr>
        <w:br w:type="page"/>
      </w:r>
    </w:p>
    <w:p w14:paraId="2E8FE1E6" w14:textId="24EBF275" w:rsidR="00D43FEC" w:rsidRDefault="00D43FEC" w:rsidP="00D43FEC">
      <w:pPr>
        <w:ind w:firstLine="1843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0AC13113" wp14:editId="2D9EF2D4">
            <wp:extent cx="6608945" cy="4975200"/>
            <wp:effectExtent l="0" t="0" r="1905" b="0"/>
            <wp:docPr id="10168258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25832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945" cy="49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CE56D" w14:textId="4DEB9213" w:rsidR="00B249FF" w:rsidRDefault="00D43FEC" w:rsidP="00B249FF">
      <w:pPr>
        <w:rPr>
          <w:noProof/>
          <w:sz w:val="22"/>
          <w:szCs w:val="22"/>
          <w:lang w:val="en-US"/>
        </w:rPr>
      </w:pPr>
      <w:bookmarkStart w:id="2" w:name="_Hlk115114864"/>
      <w:r>
        <w:rPr>
          <w:b/>
          <w:noProof/>
          <w:sz w:val="22"/>
          <w:szCs w:val="22"/>
          <w:lang w:val="en-US"/>
        </w:rPr>
        <w:t>Supplementary Fig. 5</w:t>
      </w:r>
      <w:r w:rsidRPr="000871A2">
        <w:rPr>
          <w:bCs/>
          <w:noProof/>
          <w:sz w:val="22"/>
          <w:szCs w:val="22"/>
          <w:lang w:val="en-US"/>
        </w:rPr>
        <w:t xml:space="preserve"> </w:t>
      </w:r>
      <w:r>
        <w:rPr>
          <w:b/>
          <w:noProof/>
          <w:sz w:val="22"/>
          <w:szCs w:val="22"/>
          <w:lang w:val="en-US"/>
        </w:rPr>
        <w:t xml:space="preserve">  </w:t>
      </w:r>
      <w:r w:rsidRPr="00411459">
        <w:rPr>
          <w:bCs/>
          <w:noProof/>
          <w:sz w:val="22"/>
          <w:szCs w:val="22"/>
          <w:lang w:val="en-US"/>
        </w:rPr>
        <w:t>Free doxorubicin:</w:t>
      </w:r>
      <w:r w:rsidRPr="00411459">
        <w:rPr>
          <w:b/>
          <w:noProof/>
          <w:sz w:val="22"/>
          <w:szCs w:val="22"/>
          <w:lang w:val="en-US"/>
        </w:rPr>
        <w:t xml:space="preserve"> </w:t>
      </w:r>
      <w:r w:rsidRPr="00411459">
        <w:rPr>
          <w:noProof/>
          <w:sz w:val="22"/>
          <w:szCs w:val="22"/>
          <w:lang w:val="en-US"/>
        </w:rPr>
        <w:t>Measured concentrations (</w:t>
      </w:r>
      <w:r w:rsidRPr="002E54FC">
        <w:rPr>
          <w:i/>
          <w:iCs/>
          <w:noProof/>
          <w:sz w:val="22"/>
          <w:szCs w:val="22"/>
          <w:lang w:val="en-US"/>
        </w:rPr>
        <w:t>data points</w:t>
      </w:r>
      <w:r w:rsidRPr="00411459">
        <w:rPr>
          <w:noProof/>
          <w:sz w:val="22"/>
          <w:szCs w:val="22"/>
          <w:lang w:val="en-US"/>
        </w:rPr>
        <w:t>), typical predictions (</w:t>
      </w:r>
      <w:r w:rsidRPr="002E54FC">
        <w:rPr>
          <w:i/>
          <w:iCs/>
          <w:noProof/>
          <w:sz w:val="22"/>
          <w:szCs w:val="22"/>
          <w:lang w:val="en-US"/>
        </w:rPr>
        <w:t>dashed lines</w:t>
      </w:r>
      <w:r w:rsidRPr="00411459">
        <w:rPr>
          <w:noProof/>
          <w:sz w:val="22"/>
          <w:szCs w:val="22"/>
          <w:lang w:val="en-US"/>
        </w:rPr>
        <w:t>) and individual predictions (</w:t>
      </w:r>
      <w:r w:rsidRPr="002E54FC">
        <w:rPr>
          <w:i/>
          <w:iCs/>
          <w:noProof/>
          <w:sz w:val="22"/>
          <w:szCs w:val="22"/>
          <w:lang w:val="en-US"/>
        </w:rPr>
        <w:t>solid lines</w:t>
      </w:r>
      <w:r w:rsidRPr="00411459">
        <w:rPr>
          <w:noProof/>
          <w:sz w:val="22"/>
          <w:szCs w:val="22"/>
          <w:lang w:val="en-US"/>
        </w:rPr>
        <w:t>) in the clinical TLD-1 dataset</w:t>
      </w:r>
      <w:bookmarkEnd w:id="2"/>
      <w:r w:rsidRPr="00411459">
        <w:rPr>
          <w:noProof/>
          <w:sz w:val="22"/>
          <w:szCs w:val="22"/>
          <w:lang w:val="en-US"/>
        </w:rPr>
        <w:t xml:space="preserve">. </w:t>
      </w:r>
      <w:r w:rsidR="00B249FF">
        <w:rPr>
          <w:noProof/>
          <w:sz w:val="22"/>
          <w:szCs w:val="22"/>
          <w:lang w:val="en-US"/>
        </w:rPr>
        <w:br w:type="page"/>
      </w:r>
    </w:p>
    <w:p w14:paraId="113E9DE9" w14:textId="72D8CDF5" w:rsidR="00D43FEC" w:rsidRDefault="00D43FEC" w:rsidP="00D43FEC">
      <w:pPr>
        <w:ind w:firstLine="1985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lastRenderedPageBreak/>
        <w:drawing>
          <wp:inline distT="0" distB="0" distL="0" distR="0" wp14:anchorId="02622F63" wp14:editId="7C449FBC">
            <wp:extent cx="6608944" cy="4975200"/>
            <wp:effectExtent l="0" t="0" r="1905" b="0"/>
            <wp:docPr id="32590411" name="Picture 4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0411" name="Picture 4" descr="A screenshot of a graph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944" cy="49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15950" w14:textId="4DD8548E" w:rsidR="000D743D" w:rsidRPr="00D43FEC" w:rsidRDefault="00D43FEC" w:rsidP="00CF5A80">
      <w:pPr>
        <w:rPr>
          <w:noProof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t xml:space="preserve">Supplementary Fig. 6 </w:t>
      </w:r>
      <w:r w:rsidRPr="00411459">
        <w:rPr>
          <w:b/>
          <w:noProof/>
          <w:sz w:val="22"/>
          <w:szCs w:val="22"/>
          <w:lang w:val="en-US"/>
        </w:rPr>
        <w:t xml:space="preserve"> </w:t>
      </w:r>
      <w:r w:rsidRPr="00411459">
        <w:rPr>
          <w:bCs/>
          <w:noProof/>
          <w:sz w:val="22"/>
          <w:szCs w:val="22"/>
          <w:lang w:val="en-US"/>
        </w:rPr>
        <w:t>Doxorubicin</w:t>
      </w:r>
      <w:r>
        <w:rPr>
          <w:bCs/>
          <w:noProof/>
          <w:sz w:val="22"/>
          <w:szCs w:val="22"/>
          <w:lang w:val="en-US"/>
        </w:rPr>
        <w:t>ol</w:t>
      </w:r>
      <w:r w:rsidRPr="00411459">
        <w:rPr>
          <w:bCs/>
          <w:noProof/>
          <w:sz w:val="22"/>
          <w:szCs w:val="22"/>
          <w:lang w:val="en-US"/>
        </w:rPr>
        <w:t xml:space="preserve">: </w:t>
      </w:r>
      <w:r w:rsidRPr="00411459">
        <w:rPr>
          <w:noProof/>
          <w:sz w:val="22"/>
          <w:szCs w:val="22"/>
          <w:lang w:val="en-US"/>
        </w:rPr>
        <w:t>Measured concentrations (</w:t>
      </w:r>
      <w:r w:rsidRPr="002E54FC">
        <w:rPr>
          <w:i/>
          <w:iCs/>
          <w:noProof/>
          <w:sz w:val="22"/>
          <w:szCs w:val="22"/>
          <w:lang w:val="en-US"/>
        </w:rPr>
        <w:t>data points</w:t>
      </w:r>
      <w:r w:rsidRPr="00411459">
        <w:rPr>
          <w:noProof/>
          <w:sz w:val="22"/>
          <w:szCs w:val="22"/>
          <w:lang w:val="en-US"/>
        </w:rPr>
        <w:t>), typical predictions (</w:t>
      </w:r>
      <w:r w:rsidRPr="002E54FC">
        <w:rPr>
          <w:i/>
          <w:iCs/>
          <w:noProof/>
          <w:sz w:val="22"/>
          <w:szCs w:val="22"/>
          <w:lang w:val="en-US"/>
        </w:rPr>
        <w:t>dashed lines</w:t>
      </w:r>
      <w:r w:rsidRPr="00411459">
        <w:rPr>
          <w:noProof/>
          <w:sz w:val="22"/>
          <w:szCs w:val="22"/>
          <w:lang w:val="en-US"/>
        </w:rPr>
        <w:t>) and individual predictions (</w:t>
      </w:r>
      <w:r w:rsidRPr="002E54FC">
        <w:rPr>
          <w:i/>
          <w:iCs/>
          <w:noProof/>
          <w:sz w:val="22"/>
          <w:szCs w:val="22"/>
          <w:lang w:val="en-US"/>
        </w:rPr>
        <w:t>solid lines</w:t>
      </w:r>
      <w:r w:rsidRPr="00411459">
        <w:rPr>
          <w:noProof/>
          <w:sz w:val="22"/>
          <w:szCs w:val="22"/>
          <w:lang w:val="en-US"/>
        </w:rPr>
        <w:t xml:space="preserve">) in the clinical TLD-1 dataset. </w:t>
      </w:r>
    </w:p>
    <w:sectPr w:rsidR="000D743D" w:rsidRPr="00D43FEC" w:rsidSect="00FD74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973E8"/>
    <w:multiLevelType w:val="multilevel"/>
    <w:tmpl w:val="8960C5D4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1431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64"/>
    <w:rsid w:val="000222D7"/>
    <w:rsid w:val="000407F1"/>
    <w:rsid w:val="00066378"/>
    <w:rsid w:val="00084B15"/>
    <w:rsid w:val="000A327E"/>
    <w:rsid w:val="000D743D"/>
    <w:rsid w:val="00105590"/>
    <w:rsid w:val="00142F6D"/>
    <w:rsid w:val="002A6C55"/>
    <w:rsid w:val="002E7712"/>
    <w:rsid w:val="00331816"/>
    <w:rsid w:val="003421F5"/>
    <w:rsid w:val="00363464"/>
    <w:rsid w:val="00375C75"/>
    <w:rsid w:val="005726FD"/>
    <w:rsid w:val="00594C2C"/>
    <w:rsid w:val="005A1957"/>
    <w:rsid w:val="005B18AC"/>
    <w:rsid w:val="006076C7"/>
    <w:rsid w:val="0067668A"/>
    <w:rsid w:val="006B7152"/>
    <w:rsid w:val="00737E17"/>
    <w:rsid w:val="0078444A"/>
    <w:rsid w:val="007A011C"/>
    <w:rsid w:val="007B0907"/>
    <w:rsid w:val="008963FE"/>
    <w:rsid w:val="009214F0"/>
    <w:rsid w:val="00942024"/>
    <w:rsid w:val="00B249FF"/>
    <w:rsid w:val="00B51ED3"/>
    <w:rsid w:val="00B95F26"/>
    <w:rsid w:val="00CF5A80"/>
    <w:rsid w:val="00D053DB"/>
    <w:rsid w:val="00D40F5D"/>
    <w:rsid w:val="00D43FEC"/>
    <w:rsid w:val="00D50437"/>
    <w:rsid w:val="00D549FB"/>
    <w:rsid w:val="00D54B01"/>
    <w:rsid w:val="00DF43A6"/>
    <w:rsid w:val="00E30B7A"/>
    <w:rsid w:val="00E9492C"/>
    <w:rsid w:val="00EA6E6F"/>
    <w:rsid w:val="00F167C8"/>
    <w:rsid w:val="00FD74C1"/>
    <w:rsid w:val="00FE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9C64"/>
  <w15:chartTrackingRefBased/>
  <w15:docId w15:val="{E6F3CA1A-B7AD-4272-B3D1-8E14070F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3464"/>
    <w:pPr>
      <w:spacing w:line="360" w:lineRule="auto"/>
      <w:jc w:val="both"/>
    </w:pPr>
    <w:rPr>
      <w:rFonts w:ascii="Times New Roman" w:hAnsi="Times New Roman" w:cs="Times New Roman"/>
      <w:sz w:val="20"/>
      <w:szCs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222D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222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222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3421F5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21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21F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3421F5"/>
    <w:rPr>
      <w:rFonts w:ascii="Times New Roman" w:hAnsi="Times New Roman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21F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21F5"/>
    <w:rPr>
      <w:rFonts w:ascii="Times New Roman" w:hAnsi="Times New Roman" w:cs="Times New Roman"/>
      <w:b/>
      <w:bCs/>
      <w:sz w:val="20"/>
      <w:szCs w:val="20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222D7"/>
    <w:rPr>
      <w:rFonts w:ascii="Times New Roman" w:eastAsiaTheme="majorEastAsia" w:hAnsi="Times New Roman" w:cstheme="majorBidi"/>
      <w:b/>
      <w:sz w:val="28"/>
      <w:szCs w:val="28"/>
      <w:lang w:val="en-GB"/>
    </w:rPr>
  </w:style>
  <w:style w:type="character" w:styleId="Hyperlink">
    <w:name w:val="Hyperlink"/>
    <w:basedOn w:val="Absatz-Standardschriftart"/>
    <w:uiPriority w:val="99"/>
    <w:unhideWhenUsed/>
    <w:rsid w:val="000222D7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222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222D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9F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rkus.joerger@kssg.ch" TargetMode="External"/><Relationship Id="rId11" Type="http://schemas.openxmlformats.org/officeDocument/2006/relationships/image" Target="media/image5.tiff"/><Relationship Id="rId5" Type="http://schemas.openxmlformats.org/officeDocument/2006/relationships/hyperlink" Target="mailto:charlotte.kloft@fu-berlin.d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499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Müller-Schöll</dc:creator>
  <cp:keywords/>
  <dc:description/>
  <cp:lastModifiedBy>Charlotte Kloft</cp:lastModifiedBy>
  <cp:revision>5</cp:revision>
  <dcterms:created xsi:type="dcterms:W3CDTF">2023-12-23T15:24:00Z</dcterms:created>
  <dcterms:modified xsi:type="dcterms:W3CDTF">2023-12-23T15:30:00Z</dcterms:modified>
</cp:coreProperties>
</file>