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EFDE8" w14:textId="77777777" w:rsidR="00862919" w:rsidRDefault="00862919" w:rsidP="00862919">
      <w:pPr>
        <w:rPr>
          <w:rFonts w:asciiTheme="minorHAnsi" w:hAnsiTheme="minorHAnsi" w:cstheme="minorHAnsi"/>
          <w:b/>
          <w:bCs/>
          <w:lang w:val="en-US"/>
        </w:rPr>
      </w:pPr>
      <w:r w:rsidRPr="00315EEB">
        <w:rPr>
          <w:rFonts w:asciiTheme="minorHAnsi" w:hAnsiTheme="minorHAnsi" w:cstheme="minorHAnsi"/>
          <w:b/>
          <w:bCs/>
          <w:lang w:val="en-US"/>
        </w:rPr>
        <w:t>Supplemental material – additional pharmacokinetic analysis results</w:t>
      </w:r>
    </w:p>
    <w:p w14:paraId="6E9BC9E2" w14:textId="77777777" w:rsidR="00EB1DDA" w:rsidRDefault="00EB1DDA" w:rsidP="00862919">
      <w:pPr>
        <w:rPr>
          <w:rFonts w:asciiTheme="minorHAnsi" w:hAnsiTheme="minorHAnsi" w:cstheme="minorHAnsi"/>
          <w:b/>
          <w:bCs/>
          <w:lang w:val="en-US"/>
        </w:rPr>
      </w:pPr>
    </w:p>
    <w:p w14:paraId="612C69E9" w14:textId="77777777" w:rsidR="00BB70B6" w:rsidRPr="001A2A06" w:rsidRDefault="00BB70B6" w:rsidP="00BB70B6">
      <w:pPr>
        <w:tabs>
          <w:tab w:val="clear" w:pos="284"/>
          <w:tab w:val="clear" w:pos="1701"/>
        </w:tabs>
        <w:spacing w:after="160" w:line="259" w:lineRule="auto"/>
        <w:rPr>
          <w:rFonts w:asciiTheme="minorHAnsi" w:hAnsiTheme="minorHAnsi" w:cstheme="minorHAnsi"/>
          <w:b/>
          <w:lang w:val="en-US"/>
        </w:rPr>
      </w:pPr>
      <w:r>
        <w:rPr>
          <w:rFonts w:asciiTheme="minorHAnsi" w:hAnsiTheme="minorHAnsi" w:cstheme="minorHAnsi"/>
          <w:b/>
          <w:lang w:val="en-US"/>
        </w:rPr>
        <w:t>A sub-pharmacological test dose does not predict individual docetaxel exposure in prostate cancer patients</w:t>
      </w:r>
    </w:p>
    <w:p w14:paraId="7FE8032E" w14:textId="77777777" w:rsidR="00BB70B6" w:rsidRDefault="00BB70B6" w:rsidP="00BB70B6">
      <w:pPr>
        <w:spacing w:line="360" w:lineRule="auto"/>
        <w:rPr>
          <w:rFonts w:asciiTheme="minorHAnsi" w:hAnsiTheme="minorHAnsi" w:cstheme="minorHAnsi"/>
          <w:b/>
          <w:lang w:val="en-US"/>
        </w:rPr>
      </w:pPr>
    </w:p>
    <w:p w14:paraId="02CEFF5D" w14:textId="77777777" w:rsidR="00BB70B6" w:rsidRPr="00CC720D" w:rsidRDefault="00BB70B6" w:rsidP="00BB70B6">
      <w:pPr>
        <w:spacing w:line="360" w:lineRule="auto"/>
        <w:rPr>
          <w:rFonts w:asciiTheme="minorHAnsi" w:hAnsiTheme="minorHAnsi" w:cstheme="minorHAnsi"/>
          <w:b/>
          <w:vertAlign w:val="superscript"/>
        </w:rPr>
      </w:pPr>
      <w:r w:rsidRPr="00CC720D">
        <w:rPr>
          <w:rFonts w:asciiTheme="minorHAnsi" w:hAnsiTheme="minorHAnsi" w:cstheme="minorHAnsi"/>
          <w:b/>
        </w:rPr>
        <w:t>Marise Heerma van Voss</w:t>
      </w:r>
      <w:r w:rsidRPr="00CC720D">
        <w:rPr>
          <w:rFonts w:asciiTheme="minorHAnsi" w:hAnsiTheme="minorHAnsi" w:cstheme="minorHAnsi"/>
          <w:b/>
          <w:vertAlign w:val="superscript"/>
        </w:rPr>
        <w:t>1,2</w:t>
      </w:r>
      <w:r w:rsidRPr="00CC720D">
        <w:rPr>
          <w:rFonts w:asciiTheme="minorHAnsi" w:hAnsiTheme="minorHAnsi" w:cstheme="minorHAnsi"/>
          <w:b/>
        </w:rPr>
        <w:t>*, Jessica Notohardjo</w:t>
      </w:r>
      <w:r w:rsidRPr="00CC720D">
        <w:rPr>
          <w:rFonts w:asciiTheme="minorHAnsi" w:hAnsiTheme="minorHAnsi" w:cstheme="minorHAnsi"/>
          <w:b/>
          <w:vertAlign w:val="superscript"/>
        </w:rPr>
        <w:t>1,2</w:t>
      </w:r>
      <w:r w:rsidRPr="00CC720D">
        <w:rPr>
          <w:rFonts w:asciiTheme="minorHAnsi" w:hAnsiTheme="minorHAnsi" w:cstheme="minorHAnsi"/>
          <w:b/>
        </w:rPr>
        <w:t xml:space="preserve">*, Joyce van </w:t>
      </w:r>
      <w:r>
        <w:rPr>
          <w:rFonts w:asciiTheme="minorHAnsi" w:hAnsiTheme="minorHAnsi" w:cstheme="minorHAnsi"/>
          <w:b/>
        </w:rPr>
        <w:t>Dodewaard-de Jong</w:t>
      </w:r>
      <w:r>
        <w:rPr>
          <w:rFonts w:asciiTheme="minorHAnsi" w:hAnsiTheme="minorHAnsi" w:cstheme="minorHAnsi"/>
          <w:b/>
          <w:vertAlign w:val="superscript"/>
        </w:rPr>
        <w:t>1</w:t>
      </w:r>
      <w:r>
        <w:rPr>
          <w:rFonts w:asciiTheme="minorHAnsi" w:hAnsiTheme="minorHAnsi" w:cstheme="minorHAnsi"/>
          <w:b/>
        </w:rPr>
        <w:t xml:space="preserve">, </w:t>
      </w:r>
      <w:r w:rsidRPr="00CC720D">
        <w:rPr>
          <w:rFonts w:asciiTheme="minorHAnsi" w:hAnsiTheme="minorHAnsi" w:cstheme="minorHAnsi"/>
          <w:b/>
        </w:rPr>
        <w:t>Haiko</w:t>
      </w:r>
      <w:r>
        <w:rPr>
          <w:rFonts w:asciiTheme="minorHAnsi" w:hAnsiTheme="minorHAnsi" w:cstheme="minorHAnsi"/>
          <w:b/>
        </w:rPr>
        <w:t xml:space="preserve"> J</w:t>
      </w:r>
      <w:r w:rsidRPr="00CC720D">
        <w:rPr>
          <w:rFonts w:asciiTheme="minorHAnsi" w:hAnsiTheme="minorHAnsi" w:cstheme="minorHAnsi"/>
          <w:b/>
        </w:rPr>
        <w:t xml:space="preserve"> Bloemendal</w:t>
      </w:r>
      <w:r w:rsidRPr="00CC720D">
        <w:rPr>
          <w:rFonts w:asciiTheme="minorHAnsi" w:hAnsiTheme="minorHAnsi" w:cstheme="minorHAnsi"/>
          <w:b/>
          <w:vertAlign w:val="superscript"/>
        </w:rPr>
        <w:t>1,3</w:t>
      </w:r>
      <w:r w:rsidRPr="00CC720D">
        <w:rPr>
          <w:rFonts w:asciiTheme="minorHAnsi" w:hAnsiTheme="minorHAnsi" w:cstheme="minorHAnsi"/>
          <w:b/>
        </w:rPr>
        <w:t>, Rob ter Heine</w:t>
      </w:r>
      <w:r w:rsidRPr="00CC720D">
        <w:rPr>
          <w:rFonts w:asciiTheme="minorHAnsi" w:hAnsiTheme="minorHAnsi" w:cstheme="minorHAnsi"/>
          <w:b/>
          <w:vertAlign w:val="superscript"/>
        </w:rPr>
        <w:t>4</w:t>
      </w:r>
    </w:p>
    <w:p w14:paraId="5A274BCE" w14:textId="77777777" w:rsidR="00BB70B6" w:rsidRPr="00CC720D" w:rsidRDefault="00BB70B6" w:rsidP="00BB70B6">
      <w:pPr>
        <w:spacing w:line="360" w:lineRule="auto"/>
        <w:rPr>
          <w:rFonts w:asciiTheme="minorHAnsi" w:hAnsiTheme="minorHAnsi" w:cstheme="minorHAnsi"/>
          <w:b/>
        </w:rPr>
      </w:pPr>
    </w:p>
    <w:p w14:paraId="30940072" w14:textId="77777777" w:rsidR="00BB70B6" w:rsidRPr="00D36B51" w:rsidRDefault="00BB70B6" w:rsidP="00BB70B6">
      <w:pPr>
        <w:spacing w:line="360" w:lineRule="auto"/>
        <w:rPr>
          <w:rFonts w:asciiTheme="minorHAnsi" w:hAnsiTheme="minorHAnsi" w:cstheme="minorHAnsi"/>
          <w:lang w:val="en-US"/>
        </w:rPr>
      </w:pPr>
      <w:r w:rsidRPr="00D36B51">
        <w:rPr>
          <w:rFonts w:asciiTheme="minorHAnsi" w:hAnsiTheme="minorHAnsi" w:cstheme="minorHAnsi"/>
          <w:lang w:val="en-US"/>
        </w:rPr>
        <w:t>1. Meander Medical Center, department of internal medicine, Amersfoort, The Netherlands</w:t>
      </w:r>
    </w:p>
    <w:p w14:paraId="38E1E164" w14:textId="77777777" w:rsidR="00BB70B6" w:rsidRPr="00D36B51" w:rsidRDefault="00BB70B6" w:rsidP="00BB70B6">
      <w:pPr>
        <w:spacing w:line="360" w:lineRule="auto"/>
        <w:rPr>
          <w:rFonts w:asciiTheme="minorHAnsi" w:hAnsiTheme="minorHAnsi" w:cstheme="minorHAnsi"/>
          <w:lang w:val="en-US"/>
        </w:rPr>
      </w:pPr>
      <w:r w:rsidRPr="00D36B51">
        <w:rPr>
          <w:rFonts w:asciiTheme="minorHAnsi" w:hAnsiTheme="minorHAnsi" w:cstheme="minorHAnsi"/>
          <w:lang w:val="en-US"/>
        </w:rPr>
        <w:t>2. Amsterdam University Medical Center, department of internal medicine, Amsterdam, The Netherlands</w:t>
      </w:r>
    </w:p>
    <w:p w14:paraId="4C909A36" w14:textId="77777777" w:rsidR="00BB70B6" w:rsidRPr="00D36B51" w:rsidRDefault="00BB70B6" w:rsidP="00BB70B6">
      <w:pPr>
        <w:spacing w:line="360" w:lineRule="auto"/>
        <w:rPr>
          <w:rFonts w:asciiTheme="minorHAnsi" w:hAnsiTheme="minorHAnsi" w:cstheme="minorHAnsi"/>
          <w:lang w:val="en-US"/>
        </w:rPr>
      </w:pPr>
      <w:r w:rsidRPr="00D36B51">
        <w:rPr>
          <w:rFonts w:asciiTheme="minorHAnsi" w:hAnsiTheme="minorHAnsi" w:cstheme="minorHAnsi"/>
          <w:lang w:val="en-US"/>
        </w:rPr>
        <w:t xml:space="preserve">3. </w:t>
      </w:r>
      <w:proofErr w:type="spellStart"/>
      <w:r w:rsidRPr="00D36B51">
        <w:rPr>
          <w:rFonts w:asciiTheme="minorHAnsi" w:hAnsiTheme="minorHAnsi" w:cstheme="minorHAnsi"/>
          <w:lang w:val="en-US"/>
        </w:rPr>
        <w:t>Radboudumc</w:t>
      </w:r>
      <w:proofErr w:type="spellEnd"/>
      <w:r w:rsidRPr="00D36B51">
        <w:rPr>
          <w:rFonts w:asciiTheme="minorHAnsi" w:hAnsiTheme="minorHAnsi" w:cstheme="minorHAnsi"/>
          <w:lang w:val="en-US"/>
        </w:rPr>
        <w:t>, Research Institute for Medical Innovation, department of Medical Oncology, Nijmegen, The Netherlands</w:t>
      </w:r>
    </w:p>
    <w:p w14:paraId="6278DE22" w14:textId="77777777" w:rsidR="00BB70B6" w:rsidRPr="00D36B51" w:rsidRDefault="00BB70B6" w:rsidP="00BB70B6">
      <w:pPr>
        <w:spacing w:line="360" w:lineRule="auto"/>
        <w:rPr>
          <w:rFonts w:asciiTheme="minorHAnsi" w:hAnsiTheme="minorHAnsi" w:cstheme="minorHAnsi"/>
          <w:lang w:val="en-US"/>
        </w:rPr>
      </w:pPr>
      <w:r w:rsidRPr="00D36B51">
        <w:rPr>
          <w:rFonts w:asciiTheme="minorHAnsi" w:hAnsiTheme="minorHAnsi" w:cstheme="minorHAnsi"/>
          <w:lang w:val="en-US"/>
        </w:rPr>
        <w:t xml:space="preserve">4. </w:t>
      </w:r>
      <w:proofErr w:type="spellStart"/>
      <w:r w:rsidRPr="00D36B51">
        <w:rPr>
          <w:rFonts w:asciiTheme="minorHAnsi" w:hAnsiTheme="minorHAnsi" w:cstheme="minorHAnsi"/>
          <w:lang w:val="en-US"/>
        </w:rPr>
        <w:t>Radboudumc</w:t>
      </w:r>
      <w:proofErr w:type="spellEnd"/>
      <w:r w:rsidRPr="00D36B51">
        <w:rPr>
          <w:rFonts w:asciiTheme="minorHAnsi" w:hAnsiTheme="minorHAnsi" w:cstheme="minorHAnsi"/>
          <w:lang w:val="en-US"/>
        </w:rPr>
        <w:t>, Research Institute for Medical Innovation, department of Pharmacy, Nijmegen, The Netherlands</w:t>
      </w:r>
    </w:p>
    <w:p w14:paraId="42811C64" w14:textId="6090FE43" w:rsidR="00BB70B6" w:rsidRDefault="00BB70B6">
      <w:pPr>
        <w:tabs>
          <w:tab w:val="clear" w:pos="284"/>
          <w:tab w:val="clear" w:pos="1701"/>
        </w:tabs>
        <w:spacing w:after="160" w:line="259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br w:type="page"/>
      </w:r>
    </w:p>
    <w:p w14:paraId="35772888" w14:textId="77777777" w:rsidR="00EB1DDA" w:rsidRPr="00315EEB" w:rsidRDefault="00EB1DDA" w:rsidP="00862919">
      <w:pPr>
        <w:rPr>
          <w:rFonts w:asciiTheme="minorHAnsi" w:hAnsiTheme="minorHAnsi" w:cstheme="minorHAnsi"/>
          <w:lang w:val="en-US"/>
        </w:rPr>
      </w:pPr>
    </w:p>
    <w:p w14:paraId="417FB101" w14:textId="77777777" w:rsidR="00862919" w:rsidRPr="00315EEB" w:rsidRDefault="00862919" w:rsidP="00862919">
      <w:pPr>
        <w:rPr>
          <w:rFonts w:asciiTheme="minorHAnsi" w:hAnsiTheme="minorHAnsi" w:cstheme="minorHAnsi"/>
          <w:lang w:val="en-US"/>
        </w:rPr>
      </w:pPr>
    </w:p>
    <w:p w14:paraId="209F7FD7" w14:textId="77777777" w:rsidR="00862919" w:rsidRPr="00315EEB" w:rsidRDefault="00862919" w:rsidP="00862919">
      <w:pPr>
        <w:rPr>
          <w:rFonts w:asciiTheme="minorHAnsi" w:hAnsiTheme="minorHAnsi" w:cstheme="minorHAnsi"/>
          <w:lang w:val="en-US"/>
        </w:rPr>
      </w:pPr>
    </w:p>
    <w:p w14:paraId="0AECD869" w14:textId="77777777" w:rsidR="00862919" w:rsidRDefault="00862919" w:rsidP="00862919">
      <w:pPr>
        <w:rPr>
          <w:lang w:val="en-US"/>
        </w:rPr>
      </w:pPr>
      <w:r w:rsidRPr="00C3020A">
        <w:rPr>
          <w:noProof/>
        </w:rPr>
        <w:drawing>
          <wp:anchor distT="0" distB="0" distL="114300" distR="114300" simplePos="0" relativeHeight="251659264" behindDoc="0" locked="0" layoutInCell="1" allowOverlap="1" wp14:anchorId="1D9649F9" wp14:editId="29A08BC8">
            <wp:simplePos x="0" y="0"/>
            <wp:positionH relativeFrom="column">
              <wp:posOffset>-86995</wp:posOffset>
            </wp:positionH>
            <wp:positionV relativeFrom="paragraph">
              <wp:posOffset>325120</wp:posOffset>
            </wp:positionV>
            <wp:extent cx="5760720" cy="5755640"/>
            <wp:effectExtent l="0" t="0" r="5080" b="0"/>
            <wp:wrapTopAndBottom/>
            <wp:docPr id="2020027847" name="Afbeelding 2020027847" descr="Afbeelding met tekst, diagram, lijn, Parall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7847" name="Afbeelding 2020027847" descr="Afbeelding met tekst, diagram, lijn, Paralle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5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 xml:space="preserve">Goodness-of-fit plots for the </w:t>
      </w:r>
      <w:proofErr w:type="spellStart"/>
      <w:r>
        <w:rPr>
          <w:lang w:val="en-US"/>
        </w:rPr>
        <w:t>millidose</w:t>
      </w:r>
      <w:proofErr w:type="spellEnd"/>
      <w:r>
        <w:rPr>
          <w:lang w:val="en-US"/>
        </w:rPr>
        <w:t xml:space="preserve"> dataset</w:t>
      </w:r>
    </w:p>
    <w:p w14:paraId="3B36F2B6" w14:textId="77777777" w:rsidR="00862919" w:rsidRDefault="00862919" w:rsidP="00862919">
      <w:pPr>
        <w:rPr>
          <w:lang w:val="en-US"/>
        </w:rPr>
      </w:pPr>
      <w:r>
        <w:rPr>
          <w:lang w:val="en-US"/>
        </w:rPr>
        <w:t>Concentrations are depicted in microgram/L units. Time units are in hours. The red line in each pane depicts the linear trendline.</w:t>
      </w:r>
    </w:p>
    <w:p w14:paraId="4609FD4B" w14:textId="77777777" w:rsidR="00862919" w:rsidRDefault="00862919" w:rsidP="00862919">
      <w:pPr>
        <w:rPr>
          <w:lang w:val="en-US"/>
        </w:rPr>
      </w:pPr>
    </w:p>
    <w:p w14:paraId="08470389" w14:textId="77777777" w:rsidR="00862919" w:rsidRDefault="00862919" w:rsidP="00862919">
      <w:pPr>
        <w:tabs>
          <w:tab w:val="clear" w:pos="284"/>
          <w:tab w:val="clear" w:pos="1701"/>
        </w:tabs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275F57B8" w14:textId="77777777" w:rsidR="00862919" w:rsidRDefault="00862919" w:rsidP="00862919">
      <w:pPr>
        <w:rPr>
          <w:lang w:val="en-US"/>
        </w:rPr>
      </w:pPr>
      <w:r w:rsidRPr="00C3020A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F1F4596" wp14:editId="3DBD3B5F">
            <wp:simplePos x="0" y="0"/>
            <wp:positionH relativeFrom="column">
              <wp:posOffset>-56515</wp:posOffset>
            </wp:positionH>
            <wp:positionV relativeFrom="paragraph">
              <wp:posOffset>314960</wp:posOffset>
            </wp:positionV>
            <wp:extent cx="5760720" cy="5657850"/>
            <wp:effectExtent l="0" t="0" r="5080" b="6350"/>
            <wp:wrapTopAndBottom/>
            <wp:docPr id="1557093188" name="Afbeelding 1557093188" descr="Afbeelding met tekst, diagram, lijn, Parall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093188" name="Afbeelding 1557093188" descr="Afbeelding met tekst, diagram, lijn, Parallel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>Goodness-of-fit plots for the therapeutic  dataset</w:t>
      </w:r>
    </w:p>
    <w:p w14:paraId="0FB4E31F" w14:textId="77777777" w:rsidR="00862919" w:rsidRPr="00C3020A" w:rsidRDefault="00862919" w:rsidP="00862919">
      <w:pPr>
        <w:rPr>
          <w:lang w:val="en-US"/>
        </w:rPr>
      </w:pPr>
      <w:r>
        <w:rPr>
          <w:lang w:val="en-US"/>
        </w:rPr>
        <w:t>Concentrations are depicted in microgram/L units. Time units are in hours. The red line in each pane depicts the linear trendline.</w:t>
      </w:r>
    </w:p>
    <w:p w14:paraId="2979D55C" w14:textId="77777777" w:rsidR="00862919" w:rsidRDefault="00862919" w:rsidP="00862919">
      <w:pPr>
        <w:rPr>
          <w:lang w:val="en-US"/>
        </w:rPr>
      </w:pPr>
    </w:p>
    <w:p w14:paraId="41FAEDA2" w14:textId="77777777" w:rsidR="00862919" w:rsidRDefault="00862919" w:rsidP="00862919">
      <w:pPr>
        <w:rPr>
          <w:lang w:val="en-US"/>
        </w:rPr>
      </w:pPr>
    </w:p>
    <w:p w14:paraId="527B3711" w14:textId="77777777" w:rsidR="00862919" w:rsidRDefault="00862919" w:rsidP="00862919">
      <w:pPr>
        <w:tabs>
          <w:tab w:val="clear" w:pos="284"/>
          <w:tab w:val="clear" w:pos="1701"/>
        </w:tabs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5BFC717F" w14:textId="77777777" w:rsidR="00862919" w:rsidRDefault="00862919" w:rsidP="00862919">
      <w:pPr>
        <w:rPr>
          <w:lang w:val="en-US"/>
        </w:rPr>
      </w:pPr>
      <w:r>
        <w:rPr>
          <w:lang w:val="en-US"/>
        </w:rPr>
        <w:lastRenderedPageBreak/>
        <w:t xml:space="preserve">Visual predictive check for the </w:t>
      </w:r>
      <w:proofErr w:type="spellStart"/>
      <w:r>
        <w:rPr>
          <w:lang w:val="en-US"/>
        </w:rPr>
        <w:t>millidose</w:t>
      </w:r>
      <w:proofErr w:type="spellEnd"/>
      <w:r>
        <w:rPr>
          <w:lang w:val="en-US"/>
        </w:rPr>
        <w:t xml:space="preserve"> dataset</w:t>
      </w:r>
    </w:p>
    <w:p w14:paraId="7E9B0BAB" w14:textId="77777777" w:rsidR="00862919" w:rsidRDefault="00862919" w:rsidP="00862919">
      <w:pPr>
        <w:rPr>
          <w:lang w:val="en-US"/>
        </w:rPr>
      </w:pPr>
      <w:r w:rsidRPr="00C3020A">
        <w:rPr>
          <w:noProof/>
        </w:rPr>
        <w:drawing>
          <wp:anchor distT="0" distB="0" distL="114300" distR="114300" simplePos="0" relativeHeight="251661312" behindDoc="0" locked="0" layoutInCell="1" allowOverlap="1" wp14:anchorId="1F9B87FA" wp14:editId="2CBC3AD8">
            <wp:simplePos x="0" y="0"/>
            <wp:positionH relativeFrom="column">
              <wp:posOffset>-56515</wp:posOffset>
            </wp:positionH>
            <wp:positionV relativeFrom="paragraph">
              <wp:posOffset>75565</wp:posOffset>
            </wp:positionV>
            <wp:extent cx="4937760" cy="3703955"/>
            <wp:effectExtent l="0" t="0" r="2540" b="4445"/>
            <wp:wrapSquare wrapText="bothSides"/>
            <wp:docPr id="1845288798" name="Afbeelding 1845288798" descr="Afbeelding met diagram, schermopname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288798" name="Afbeelding 1845288798" descr="Afbeelding met diagram, schermopname, tekst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370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BACF6" w14:textId="77777777" w:rsidR="00862919" w:rsidRDefault="00862919" w:rsidP="00862919">
      <w:pPr>
        <w:rPr>
          <w:lang w:val="en-US"/>
        </w:rPr>
      </w:pPr>
    </w:p>
    <w:p w14:paraId="49C72D5D" w14:textId="77777777" w:rsidR="00862919" w:rsidRDefault="00862919" w:rsidP="00862919">
      <w:pPr>
        <w:rPr>
          <w:lang w:val="en-US"/>
        </w:rPr>
      </w:pPr>
    </w:p>
    <w:p w14:paraId="79241403" w14:textId="77777777" w:rsidR="00862919" w:rsidRDefault="00862919" w:rsidP="00862919">
      <w:pPr>
        <w:rPr>
          <w:lang w:val="en-US"/>
        </w:rPr>
      </w:pPr>
    </w:p>
    <w:p w14:paraId="78209F03" w14:textId="77777777" w:rsidR="00862919" w:rsidRDefault="00862919" w:rsidP="00862919">
      <w:pPr>
        <w:rPr>
          <w:lang w:val="en-US"/>
        </w:rPr>
      </w:pPr>
    </w:p>
    <w:p w14:paraId="168133E6" w14:textId="77777777" w:rsidR="00862919" w:rsidRDefault="00862919" w:rsidP="00862919">
      <w:pPr>
        <w:rPr>
          <w:lang w:val="en-US"/>
        </w:rPr>
      </w:pPr>
    </w:p>
    <w:p w14:paraId="75B0B121" w14:textId="77777777" w:rsidR="00862919" w:rsidRDefault="00862919" w:rsidP="00862919">
      <w:pPr>
        <w:rPr>
          <w:lang w:val="en-US"/>
        </w:rPr>
      </w:pPr>
    </w:p>
    <w:p w14:paraId="16883022" w14:textId="77777777" w:rsidR="00862919" w:rsidRDefault="00862919" w:rsidP="00862919">
      <w:pPr>
        <w:rPr>
          <w:lang w:val="en-US"/>
        </w:rPr>
      </w:pPr>
    </w:p>
    <w:p w14:paraId="01AB469F" w14:textId="77777777" w:rsidR="00862919" w:rsidRDefault="00862919" w:rsidP="00862919">
      <w:pPr>
        <w:rPr>
          <w:lang w:val="en-US"/>
        </w:rPr>
      </w:pPr>
    </w:p>
    <w:p w14:paraId="22C0F311" w14:textId="77777777" w:rsidR="00862919" w:rsidRDefault="00862919" w:rsidP="00862919">
      <w:pPr>
        <w:rPr>
          <w:lang w:val="en-US"/>
        </w:rPr>
      </w:pPr>
    </w:p>
    <w:p w14:paraId="5F399A95" w14:textId="77777777" w:rsidR="00862919" w:rsidRDefault="00862919" w:rsidP="00862919">
      <w:pPr>
        <w:rPr>
          <w:lang w:val="en-US"/>
        </w:rPr>
      </w:pPr>
    </w:p>
    <w:p w14:paraId="3FEC3AF1" w14:textId="77777777" w:rsidR="00862919" w:rsidRDefault="00862919" w:rsidP="00862919">
      <w:pPr>
        <w:rPr>
          <w:lang w:val="en-US"/>
        </w:rPr>
      </w:pPr>
    </w:p>
    <w:p w14:paraId="649E1035" w14:textId="77777777" w:rsidR="00862919" w:rsidRDefault="00862919" w:rsidP="00862919">
      <w:pPr>
        <w:rPr>
          <w:lang w:val="en-US"/>
        </w:rPr>
      </w:pPr>
    </w:p>
    <w:p w14:paraId="1EE0A73C" w14:textId="77777777" w:rsidR="00862919" w:rsidRDefault="00862919" w:rsidP="00862919">
      <w:pPr>
        <w:rPr>
          <w:lang w:val="en-US"/>
        </w:rPr>
      </w:pPr>
    </w:p>
    <w:p w14:paraId="2B7C6471" w14:textId="77777777" w:rsidR="00862919" w:rsidRDefault="00862919" w:rsidP="00862919">
      <w:pPr>
        <w:rPr>
          <w:lang w:val="en-US"/>
        </w:rPr>
      </w:pPr>
    </w:p>
    <w:p w14:paraId="5E260D01" w14:textId="77777777" w:rsidR="00862919" w:rsidRDefault="00862919" w:rsidP="00862919">
      <w:pPr>
        <w:rPr>
          <w:lang w:val="en-US"/>
        </w:rPr>
      </w:pPr>
    </w:p>
    <w:p w14:paraId="74CDC3EA" w14:textId="77777777" w:rsidR="00862919" w:rsidRDefault="00862919" w:rsidP="00862919">
      <w:pPr>
        <w:rPr>
          <w:lang w:val="en-US"/>
        </w:rPr>
      </w:pPr>
    </w:p>
    <w:p w14:paraId="14E1DF12" w14:textId="77777777" w:rsidR="00862919" w:rsidRDefault="00862919" w:rsidP="00862919">
      <w:pPr>
        <w:rPr>
          <w:lang w:val="en-US"/>
        </w:rPr>
      </w:pPr>
    </w:p>
    <w:p w14:paraId="38378124" w14:textId="77777777" w:rsidR="00862919" w:rsidRDefault="00862919" w:rsidP="00862919">
      <w:pPr>
        <w:rPr>
          <w:lang w:val="en-US"/>
        </w:rPr>
      </w:pPr>
    </w:p>
    <w:p w14:paraId="4462267B" w14:textId="77777777" w:rsidR="00862919" w:rsidRDefault="00862919" w:rsidP="00862919">
      <w:pPr>
        <w:rPr>
          <w:lang w:val="en-US"/>
        </w:rPr>
      </w:pPr>
      <w:r>
        <w:rPr>
          <w:lang w:val="en-US"/>
        </w:rPr>
        <w:t>Visual predictive check for the therapeutic dose dataset</w:t>
      </w:r>
    </w:p>
    <w:p w14:paraId="046B25D0" w14:textId="77777777" w:rsidR="00862919" w:rsidRDefault="00862919" w:rsidP="00862919">
      <w:pPr>
        <w:rPr>
          <w:lang w:val="en-US"/>
        </w:rPr>
      </w:pPr>
      <w:r w:rsidRPr="00C3020A">
        <w:rPr>
          <w:noProof/>
        </w:rPr>
        <w:drawing>
          <wp:anchor distT="0" distB="0" distL="114300" distR="114300" simplePos="0" relativeHeight="251662336" behindDoc="0" locked="0" layoutInCell="1" allowOverlap="1" wp14:anchorId="4C2A2CB6" wp14:editId="09021D75">
            <wp:simplePos x="0" y="0"/>
            <wp:positionH relativeFrom="column">
              <wp:posOffset>24765</wp:posOffset>
            </wp:positionH>
            <wp:positionV relativeFrom="paragraph">
              <wp:posOffset>136525</wp:posOffset>
            </wp:positionV>
            <wp:extent cx="4968240" cy="3720465"/>
            <wp:effectExtent l="0" t="0" r="0" b="635"/>
            <wp:wrapSquare wrapText="bothSides"/>
            <wp:docPr id="1448731152" name="Afbeelding 1448731152" descr="Afbeelding met schermopname, tekst, diagram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31152" name="Afbeelding 1448731152" descr="Afbeelding met schermopname, tekst, diagram, ontwerp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F7BA3" w14:textId="77777777" w:rsidR="00BB11E5" w:rsidRDefault="00BB11E5">
      <w:pPr>
        <w:rPr>
          <w:lang w:val="en-US"/>
        </w:rPr>
      </w:pPr>
    </w:p>
    <w:p w14:paraId="6395A759" w14:textId="77777777" w:rsidR="005D5706" w:rsidRDefault="005D5706">
      <w:pPr>
        <w:rPr>
          <w:lang w:val="en-US"/>
        </w:rPr>
      </w:pPr>
    </w:p>
    <w:p w14:paraId="4384EDFB" w14:textId="77777777" w:rsidR="005D5706" w:rsidRDefault="005D5706">
      <w:pPr>
        <w:rPr>
          <w:lang w:val="en-US"/>
        </w:rPr>
      </w:pPr>
    </w:p>
    <w:p w14:paraId="01F41644" w14:textId="77777777" w:rsidR="005D5706" w:rsidRDefault="005D5706">
      <w:pPr>
        <w:rPr>
          <w:lang w:val="en-US"/>
        </w:rPr>
      </w:pPr>
    </w:p>
    <w:p w14:paraId="7F538E0E" w14:textId="77777777" w:rsidR="005D5706" w:rsidRDefault="005D5706">
      <w:pPr>
        <w:rPr>
          <w:lang w:val="en-US"/>
        </w:rPr>
      </w:pPr>
    </w:p>
    <w:p w14:paraId="212C1462" w14:textId="77777777" w:rsidR="005D5706" w:rsidRDefault="005D5706">
      <w:pPr>
        <w:rPr>
          <w:lang w:val="en-US"/>
        </w:rPr>
      </w:pPr>
    </w:p>
    <w:p w14:paraId="08704C4B" w14:textId="77777777" w:rsidR="005D5706" w:rsidRDefault="005D5706">
      <w:pPr>
        <w:rPr>
          <w:lang w:val="en-US"/>
        </w:rPr>
      </w:pPr>
    </w:p>
    <w:p w14:paraId="53B84584" w14:textId="77777777" w:rsidR="005D5706" w:rsidRDefault="005D5706">
      <w:pPr>
        <w:rPr>
          <w:lang w:val="en-US"/>
        </w:rPr>
      </w:pPr>
    </w:p>
    <w:p w14:paraId="138FF91F" w14:textId="77777777" w:rsidR="005D5706" w:rsidRDefault="005D5706">
      <w:pPr>
        <w:rPr>
          <w:lang w:val="en-US"/>
        </w:rPr>
      </w:pPr>
    </w:p>
    <w:p w14:paraId="74737A27" w14:textId="77777777" w:rsidR="005D5706" w:rsidRDefault="005D5706">
      <w:pPr>
        <w:rPr>
          <w:lang w:val="en-US"/>
        </w:rPr>
      </w:pPr>
    </w:p>
    <w:p w14:paraId="7F4F5E67" w14:textId="77777777" w:rsidR="005D5706" w:rsidRDefault="005D5706">
      <w:pPr>
        <w:rPr>
          <w:lang w:val="en-US"/>
        </w:rPr>
      </w:pPr>
    </w:p>
    <w:p w14:paraId="5D170198" w14:textId="77777777" w:rsidR="005D5706" w:rsidRDefault="005D5706">
      <w:pPr>
        <w:rPr>
          <w:lang w:val="en-US"/>
        </w:rPr>
      </w:pPr>
    </w:p>
    <w:p w14:paraId="535F5776" w14:textId="77777777" w:rsidR="005D5706" w:rsidRDefault="005D5706">
      <w:pPr>
        <w:rPr>
          <w:lang w:val="en-US"/>
        </w:rPr>
      </w:pPr>
    </w:p>
    <w:p w14:paraId="4373BB29" w14:textId="77777777" w:rsidR="005D5706" w:rsidRDefault="005D5706">
      <w:pPr>
        <w:rPr>
          <w:lang w:val="en-US"/>
        </w:rPr>
      </w:pPr>
    </w:p>
    <w:p w14:paraId="1CAC33BC" w14:textId="77777777" w:rsidR="005D5706" w:rsidRDefault="005D5706">
      <w:pPr>
        <w:rPr>
          <w:lang w:val="en-US"/>
        </w:rPr>
      </w:pPr>
    </w:p>
    <w:p w14:paraId="3FF4FDB1" w14:textId="77777777" w:rsidR="005D5706" w:rsidRDefault="005D5706">
      <w:pPr>
        <w:rPr>
          <w:lang w:val="en-US"/>
        </w:rPr>
      </w:pPr>
    </w:p>
    <w:p w14:paraId="351BF946" w14:textId="77777777" w:rsidR="005D5706" w:rsidRDefault="005D5706">
      <w:pPr>
        <w:rPr>
          <w:lang w:val="en-US"/>
        </w:rPr>
      </w:pPr>
    </w:p>
    <w:p w14:paraId="0B6C778D" w14:textId="77777777" w:rsidR="005D5706" w:rsidRDefault="005D5706">
      <w:pPr>
        <w:rPr>
          <w:lang w:val="en-US"/>
        </w:rPr>
      </w:pPr>
    </w:p>
    <w:p w14:paraId="511C15A1" w14:textId="77777777" w:rsidR="005D5706" w:rsidRDefault="005D5706">
      <w:pPr>
        <w:rPr>
          <w:lang w:val="en-US"/>
        </w:rPr>
      </w:pPr>
    </w:p>
    <w:p w14:paraId="32D5DC16" w14:textId="77777777" w:rsidR="005D5706" w:rsidRDefault="005D5706">
      <w:pPr>
        <w:rPr>
          <w:lang w:val="en-US"/>
        </w:rPr>
      </w:pPr>
    </w:p>
    <w:p w14:paraId="1E71D2CD" w14:textId="77777777" w:rsidR="005D5706" w:rsidRDefault="005D5706">
      <w:pPr>
        <w:rPr>
          <w:lang w:val="en-US"/>
        </w:rPr>
      </w:pPr>
    </w:p>
    <w:p w14:paraId="1BCFC05A" w14:textId="38E9F547" w:rsidR="005D5706" w:rsidRDefault="005D5706">
      <w:pPr>
        <w:rPr>
          <w:lang w:val="en-US"/>
        </w:rPr>
      </w:pPr>
    </w:p>
    <w:p w14:paraId="7B1E7D64" w14:textId="439C3245" w:rsidR="005D5706" w:rsidRDefault="00A477A7">
      <w:pPr>
        <w:rPr>
          <w:lang w:val="en-US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981A951" wp14:editId="320A6E76">
            <wp:simplePos x="0" y="0"/>
            <wp:positionH relativeFrom="column">
              <wp:posOffset>-1905</wp:posOffset>
            </wp:positionH>
            <wp:positionV relativeFrom="paragraph">
              <wp:posOffset>326639</wp:posOffset>
            </wp:positionV>
            <wp:extent cx="5760720" cy="3827780"/>
            <wp:effectExtent l="0" t="0" r="17780" b="7620"/>
            <wp:wrapTopAndBottom/>
            <wp:docPr id="40049051" name="Grafiek 1">
              <a:extLst xmlns:a="http://schemas.openxmlformats.org/drawingml/2006/main">
                <a:ext uri="{FF2B5EF4-FFF2-40B4-BE49-F238E27FC236}">
                  <a16:creationId xmlns:a16="http://schemas.microsoft.com/office/drawing/2014/main" id="{90717D54-CB03-9F51-31B8-512C271D5B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>Docetaxel clearance versus AAG concentrations</w:t>
      </w:r>
    </w:p>
    <w:p w14:paraId="08C8FBE7" w14:textId="77777777" w:rsidR="00A477A7" w:rsidRDefault="00A477A7">
      <w:pPr>
        <w:rPr>
          <w:lang w:val="en-US"/>
        </w:rPr>
      </w:pPr>
    </w:p>
    <w:p w14:paraId="16B83C14" w14:textId="5CC8B5F8" w:rsidR="005D5706" w:rsidRDefault="00A477A7">
      <w:pPr>
        <w:rPr>
          <w:lang w:val="en-US"/>
        </w:rPr>
      </w:pPr>
      <w:r>
        <w:rPr>
          <w:lang w:val="en-US"/>
        </w:rPr>
        <w:t xml:space="preserve">The black and red dots represent the empirical bayes estimates for the docetaxel clearance versus AAG for the therapeutic and </w:t>
      </w:r>
      <w:proofErr w:type="spellStart"/>
      <w:r>
        <w:rPr>
          <w:lang w:val="en-US"/>
        </w:rPr>
        <w:t>millidose</w:t>
      </w:r>
      <w:proofErr w:type="spellEnd"/>
      <w:r>
        <w:rPr>
          <w:lang w:val="en-US"/>
        </w:rPr>
        <w:t>, respectively.</w:t>
      </w:r>
    </w:p>
    <w:p w14:paraId="6B5BED58" w14:textId="7FA6AE9F" w:rsidR="005D5706" w:rsidRPr="00862919" w:rsidRDefault="005D5706">
      <w:pPr>
        <w:rPr>
          <w:lang w:val="en-US"/>
        </w:rPr>
      </w:pPr>
    </w:p>
    <w:sectPr w:rsidR="005D5706" w:rsidRPr="00862919" w:rsidSect="0060094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46855" w14:textId="77777777" w:rsidR="00600941" w:rsidRDefault="00600941">
      <w:pPr>
        <w:spacing w:line="240" w:lineRule="auto"/>
      </w:pPr>
      <w:r>
        <w:separator/>
      </w:r>
    </w:p>
  </w:endnote>
  <w:endnote w:type="continuationSeparator" w:id="0">
    <w:p w14:paraId="4F9777C8" w14:textId="77777777" w:rsidR="00600941" w:rsidRDefault="006009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1258"/>
      <w:docPartObj>
        <w:docPartGallery w:val="Page Numbers (Bottom of Page)"/>
        <w:docPartUnique/>
      </w:docPartObj>
    </w:sdtPr>
    <w:sdtEndPr/>
    <w:sdtContent>
      <w:p w14:paraId="3130D517" w14:textId="7BBC1533" w:rsidR="009F1AA6" w:rsidRDefault="00D371B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396BA70D" w14:textId="77777777" w:rsidR="009F1AA6" w:rsidRDefault="009F1AA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39858" w14:textId="77777777" w:rsidR="00600941" w:rsidRDefault="00600941">
      <w:pPr>
        <w:spacing w:line="240" w:lineRule="auto"/>
      </w:pPr>
      <w:r>
        <w:separator/>
      </w:r>
    </w:p>
  </w:footnote>
  <w:footnote w:type="continuationSeparator" w:id="0">
    <w:p w14:paraId="6A8BD53C" w14:textId="77777777" w:rsidR="00600941" w:rsidRDefault="006009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19"/>
    <w:rsid w:val="002234D8"/>
    <w:rsid w:val="004E268F"/>
    <w:rsid w:val="005D5706"/>
    <w:rsid w:val="00600941"/>
    <w:rsid w:val="007735D1"/>
    <w:rsid w:val="007E4176"/>
    <w:rsid w:val="00862919"/>
    <w:rsid w:val="00952140"/>
    <w:rsid w:val="009F1AA6"/>
    <w:rsid w:val="00A477A7"/>
    <w:rsid w:val="00AE21D7"/>
    <w:rsid w:val="00BB11E5"/>
    <w:rsid w:val="00BB70B6"/>
    <w:rsid w:val="00BC7BF5"/>
    <w:rsid w:val="00C201D6"/>
    <w:rsid w:val="00D2121E"/>
    <w:rsid w:val="00D371BE"/>
    <w:rsid w:val="00E32D46"/>
    <w:rsid w:val="00EB1DDA"/>
    <w:rsid w:val="00F42A28"/>
    <w:rsid w:val="00FE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129F2"/>
  <w15:chartTrackingRefBased/>
  <w15:docId w15:val="{79B4C9E7-48F9-4535-8FA9-AB90321D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2919"/>
    <w:pPr>
      <w:tabs>
        <w:tab w:val="left" w:pos="284"/>
        <w:tab w:val="left" w:pos="1701"/>
      </w:tabs>
      <w:spacing w:after="0" w:line="320" w:lineRule="exact"/>
    </w:pPr>
    <w:rPr>
      <w:rFonts w:ascii="Arial" w:eastAsia="Times New Roman" w:hAnsi="Arial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62919"/>
    <w:pPr>
      <w:keepNext/>
      <w:keepLines/>
      <w:tabs>
        <w:tab w:val="clear" w:pos="284"/>
        <w:tab w:val="clear" w:pos="1701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62919"/>
    <w:pPr>
      <w:keepNext/>
      <w:keepLines/>
      <w:tabs>
        <w:tab w:val="clear" w:pos="284"/>
        <w:tab w:val="clear" w:pos="1701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62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62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62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6291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6291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6291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6291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6291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629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62919"/>
    <w:pPr>
      <w:tabs>
        <w:tab w:val="clear" w:pos="284"/>
        <w:tab w:val="clear" w:pos="1701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62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62919"/>
    <w:pPr>
      <w:numPr>
        <w:ilvl w:val="1"/>
      </w:numPr>
      <w:tabs>
        <w:tab w:val="clear" w:pos="284"/>
        <w:tab w:val="clear" w:pos="1701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62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62919"/>
    <w:pPr>
      <w:tabs>
        <w:tab w:val="clear" w:pos="284"/>
        <w:tab w:val="clear" w:pos="1701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6291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62919"/>
    <w:pPr>
      <w:tabs>
        <w:tab w:val="clear" w:pos="284"/>
        <w:tab w:val="clear" w:pos="1701"/>
      </w:tabs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6291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62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  <w:tab w:val="clear" w:pos="1701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6291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6291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6291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62919"/>
    <w:pPr>
      <w:tabs>
        <w:tab w:val="clear" w:pos="284"/>
        <w:tab w:val="clear" w:pos="170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2919"/>
    <w:rPr>
      <w:rFonts w:ascii="Arial" w:eastAsia="Times New Roman" w:hAnsi="Arial" w:cs="Times New Roman"/>
      <w:kern w:val="0"/>
      <w:lang w:eastAsia="nl-NL"/>
      <w14:ligatures w14:val="none"/>
    </w:rPr>
  </w:style>
  <w:style w:type="paragraph" w:styleId="Revisie">
    <w:name w:val="Revision"/>
    <w:hidden/>
    <w:uiPriority w:val="99"/>
    <w:semiHidden/>
    <w:rsid w:val="005D5706"/>
    <w:pPr>
      <w:spacing w:after="0" w:line="240" w:lineRule="auto"/>
    </w:pPr>
    <w:rPr>
      <w:rFonts w:ascii="Arial" w:eastAsia="Times New Roman" w:hAnsi="Arial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chart" Target="charts/chart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robterheine\Desktop\CCP%20Marise\figure%201%20en%20supplementa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'Klaring versus AAG'!$C$1</c:f>
              <c:strCache>
                <c:ptCount val="1"/>
                <c:pt idx="0">
                  <c:v>Therapeutic CL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38100">
                <a:solidFill>
                  <a:schemeClr val="tx1"/>
                </a:solidFill>
              </a:ln>
              <a:effectLst/>
            </c:spPr>
          </c:marker>
          <c:xVal>
            <c:numRef>
              <c:f>'Klaring versus AAG'!$B$2:$B$30</c:f>
              <c:numCache>
                <c:formatCode>General</c:formatCode>
                <c:ptCount val="29"/>
                <c:pt idx="0">
                  <c:v>0.54</c:v>
                </c:pt>
                <c:pt idx="1">
                  <c:v>0.94</c:v>
                </c:pt>
                <c:pt idx="2">
                  <c:v>1.25</c:v>
                </c:pt>
                <c:pt idx="3">
                  <c:v>0.87</c:v>
                </c:pt>
                <c:pt idx="4">
                  <c:v>1.02</c:v>
                </c:pt>
                <c:pt idx="5">
                  <c:v>1.08</c:v>
                </c:pt>
                <c:pt idx="6">
                  <c:v>0.89</c:v>
                </c:pt>
                <c:pt idx="7">
                  <c:v>0.66</c:v>
                </c:pt>
                <c:pt idx="8">
                  <c:v>0.79</c:v>
                </c:pt>
                <c:pt idx="9">
                  <c:v>0.65</c:v>
                </c:pt>
                <c:pt idx="10">
                  <c:v>0.66</c:v>
                </c:pt>
                <c:pt idx="11">
                  <c:v>0.56000000000000005</c:v>
                </c:pt>
                <c:pt idx="12">
                  <c:v>1.54</c:v>
                </c:pt>
                <c:pt idx="13">
                  <c:v>0.6</c:v>
                </c:pt>
                <c:pt idx="14">
                  <c:v>0.62</c:v>
                </c:pt>
                <c:pt idx="15">
                  <c:v>1.01</c:v>
                </c:pt>
                <c:pt idx="16">
                  <c:v>1.28</c:v>
                </c:pt>
                <c:pt idx="17">
                  <c:v>1.25</c:v>
                </c:pt>
                <c:pt idx="18">
                  <c:v>0.73</c:v>
                </c:pt>
                <c:pt idx="19">
                  <c:v>0.95</c:v>
                </c:pt>
                <c:pt idx="20">
                  <c:v>0.72</c:v>
                </c:pt>
                <c:pt idx="21">
                  <c:v>0.64</c:v>
                </c:pt>
                <c:pt idx="22">
                  <c:v>0.73</c:v>
                </c:pt>
                <c:pt idx="23">
                  <c:v>0.64</c:v>
                </c:pt>
                <c:pt idx="24">
                  <c:v>1</c:v>
                </c:pt>
                <c:pt idx="25">
                  <c:v>0.78</c:v>
                </c:pt>
                <c:pt idx="26">
                  <c:v>0.68</c:v>
                </c:pt>
                <c:pt idx="27">
                  <c:v>0.66</c:v>
                </c:pt>
                <c:pt idx="28">
                  <c:v>0.52</c:v>
                </c:pt>
              </c:numCache>
            </c:numRef>
          </c:xVal>
          <c:yVal>
            <c:numRef>
              <c:f>'Klaring versus AAG'!$C$2:$C$30</c:f>
              <c:numCache>
                <c:formatCode>General</c:formatCode>
                <c:ptCount val="29"/>
                <c:pt idx="0">
                  <c:v>41.253999999999998</c:v>
                </c:pt>
                <c:pt idx="1">
                  <c:v>27.585999999999999</c:v>
                </c:pt>
                <c:pt idx="2">
                  <c:v>5.7068000000000003</c:v>
                </c:pt>
                <c:pt idx="3">
                  <c:v>57.139000000000003</c:v>
                </c:pt>
                <c:pt idx="4">
                  <c:v>23.585999999999999</c:v>
                </c:pt>
                <c:pt idx="5">
                  <c:v>64.688999999999993</c:v>
                </c:pt>
                <c:pt idx="6">
                  <c:v>67.540000000000006</c:v>
                </c:pt>
                <c:pt idx="7">
                  <c:v>26.15</c:v>
                </c:pt>
                <c:pt idx="8">
                  <c:v>27.154</c:v>
                </c:pt>
                <c:pt idx="9">
                  <c:v>62.936999999999998</c:v>
                </c:pt>
                <c:pt idx="10">
                  <c:v>53.567</c:v>
                </c:pt>
                <c:pt idx="11">
                  <c:v>67.777000000000001</c:v>
                </c:pt>
                <c:pt idx="12">
                  <c:v>33.302</c:v>
                </c:pt>
                <c:pt idx="13">
                  <c:v>68.253</c:v>
                </c:pt>
                <c:pt idx="14">
                  <c:v>57.030999999999999</c:v>
                </c:pt>
                <c:pt idx="15">
                  <c:v>54.704000000000001</c:v>
                </c:pt>
                <c:pt idx="16">
                  <c:v>44.323999999999998</c:v>
                </c:pt>
                <c:pt idx="17">
                  <c:v>48.494999999999997</c:v>
                </c:pt>
                <c:pt idx="18">
                  <c:v>58.405000000000001</c:v>
                </c:pt>
                <c:pt idx="19">
                  <c:v>47.122</c:v>
                </c:pt>
                <c:pt idx="20">
                  <c:v>47.563000000000002</c:v>
                </c:pt>
                <c:pt idx="21">
                  <c:v>14.016</c:v>
                </c:pt>
                <c:pt idx="22">
                  <c:v>44.442999999999998</c:v>
                </c:pt>
                <c:pt idx="23">
                  <c:v>19.283000000000001</c:v>
                </c:pt>
                <c:pt idx="24">
                  <c:v>54.125</c:v>
                </c:pt>
                <c:pt idx="25">
                  <c:v>62.17</c:v>
                </c:pt>
                <c:pt idx="26">
                  <c:v>28.085999999999999</c:v>
                </c:pt>
                <c:pt idx="27">
                  <c:v>42.220999999999997</c:v>
                </c:pt>
                <c:pt idx="28">
                  <c:v>62.463999999999999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DE7-E14A-B277-087C237366EB}"/>
            </c:ext>
          </c:extLst>
        </c:ser>
        <c:ser>
          <c:idx val="1"/>
          <c:order val="1"/>
          <c:tx>
            <c:v>Micro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31750">
                <a:solidFill>
                  <a:srgbClr val="FF0000"/>
                </a:solidFill>
              </a:ln>
              <a:effectLst/>
            </c:spPr>
          </c:marker>
          <c:xVal>
            <c:numRef>
              <c:f>'Klaring versus AAG'!$B$2:$B$30</c:f>
              <c:numCache>
                <c:formatCode>General</c:formatCode>
                <c:ptCount val="29"/>
                <c:pt idx="0">
                  <c:v>0.54</c:v>
                </c:pt>
                <c:pt idx="1">
                  <c:v>0.94</c:v>
                </c:pt>
                <c:pt idx="2">
                  <c:v>1.25</c:v>
                </c:pt>
                <c:pt idx="3">
                  <c:v>0.87</c:v>
                </c:pt>
                <c:pt idx="4">
                  <c:v>1.02</c:v>
                </c:pt>
                <c:pt idx="5">
                  <c:v>1.08</c:v>
                </c:pt>
                <c:pt idx="6">
                  <c:v>0.89</c:v>
                </c:pt>
                <c:pt idx="7">
                  <c:v>0.66</c:v>
                </c:pt>
                <c:pt idx="8">
                  <c:v>0.79</c:v>
                </c:pt>
                <c:pt idx="9">
                  <c:v>0.65</c:v>
                </c:pt>
                <c:pt idx="10">
                  <c:v>0.66</c:v>
                </c:pt>
                <c:pt idx="11">
                  <c:v>0.56000000000000005</c:v>
                </c:pt>
                <c:pt idx="12">
                  <c:v>1.54</c:v>
                </c:pt>
                <c:pt idx="13">
                  <c:v>0.6</c:v>
                </c:pt>
                <c:pt idx="14">
                  <c:v>0.62</c:v>
                </c:pt>
                <c:pt idx="15">
                  <c:v>1.01</c:v>
                </c:pt>
                <c:pt idx="16">
                  <c:v>1.28</c:v>
                </c:pt>
                <c:pt idx="17">
                  <c:v>1.25</c:v>
                </c:pt>
                <c:pt idx="18">
                  <c:v>0.73</c:v>
                </c:pt>
                <c:pt idx="19">
                  <c:v>0.95</c:v>
                </c:pt>
                <c:pt idx="20">
                  <c:v>0.72</c:v>
                </c:pt>
                <c:pt idx="21">
                  <c:v>0.64</c:v>
                </c:pt>
                <c:pt idx="22">
                  <c:v>0.73</c:v>
                </c:pt>
                <c:pt idx="23">
                  <c:v>0.64</c:v>
                </c:pt>
                <c:pt idx="24">
                  <c:v>1</c:v>
                </c:pt>
                <c:pt idx="25">
                  <c:v>0.78</c:v>
                </c:pt>
                <c:pt idx="26">
                  <c:v>0.68</c:v>
                </c:pt>
                <c:pt idx="27">
                  <c:v>0.66</c:v>
                </c:pt>
                <c:pt idx="28">
                  <c:v>0.52</c:v>
                </c:pt>
              </c:numCache>
            </c:numRef>
          </c:xVal>
          <c:yVal>
            <c:numRef>
              <c:f>'Klaring versus AAG'!$D$2:$D$30</c:f>
              <c:numCache>
                <c:formatCode>General</c:formatCode>
                <c:ptCount val="29"/>
                <c:pt idx="0">
                  <c:v>85.096000000000004</c:v>
                </c:pt>
                <c:pt idx="1">
                  <c:v>20.446000000000002</c:v>
                </c:pt>
                <c:pt idx="2">
                  <c:v>69.158000000000001</c:v>
                </c:pt>
                <c:pt idx="3">
                  <c:v>109.42</c:v>
                </c:pt>
                <c:pt idx="4">
                  <c:v>51.920999999999999</c:v>
                </c:pt>
                <c:pt idx="5">
                  <c:v>15.073</c:v>
                </c:pt>
                <c:pt idx="6">
                  <c:v>61.344999999999999</c:v>
                </c:pt>
                <c:pt idx="7">
                  <c:v>26.395</c:v>
                </c:pt>
                <c:pt idx="8">
                  <c:v>130.46</c:v>
                </c:pt>
                <c:pt idx="9">
                  <c:v>124.39</c:v>
                </c:pt>
                <c:pt idx="10">
                  <c:v>44.762999999999998</c:v>
                </c:pt>
                <c:pt idx="11">
                  <c:v>15.279</c:v>
                </c:pt>
                <c:pt idx="12">
                  <c:v>32.140999999999998</c:v>
                </c:pt>
                <c:pt idx="13">
                  <c:v>25.143999999999998</c:v>
                </c:pt>
                <c:pt idx="14">
                  <c:v>114.22</c:v>
                </c:pt>
                <c:pt idx="15">
                  <c:v>23.292999999999999</c:v>
                </c:pt>
                <c:pt idx="16">
                  <c:v>25.161999999999999</c:v>
                </c:pt>
                <c:pt idx="17">
                  <c:v>71.948999999999998</c:v>
                </c:pt>
                <c:pt idx="18">
                  <c:v>118.81</c:v>
                </c:pt>
                <c:pt idx="19">
                  <c:v>86.021000000000001</c:v>
                </c:pt>
                <c:pt idx="20">
                  <c:v>29.484999999999999</c:v>
                </c:pt>
                <c:pt idx="21">
                  <c:v>99.105000000000004</c:v>
                </c:pt>
                <c:pt idx="22">
                  <c:v>90.037000000000006</c:v>
                </c:pt>
                <c:pt idx="23">
                  <c:v>81.528000000000006</c:v>
                </c:pt>
                <c:pt idx="24">
                  <c:v>95.352000000000004</c:v>
                </c:pt>
                <c:pt idx="25">
                  <c:v>112.13</c:v>
                </c:pt>
                <c:pt idx="26">
                  <c:v>102.73</c:v>
                </c:pt>
                <c:pt idx="27">
                  <c:v>68.457999999999998</c:v>
                </c:pt>
                <c:pt idx="28">
                  <c:v>111.71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DE7-E14A-B277-087C237366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0600160"/>
        <c:axId val="1750508560"/>
      </c:scatterChart>
      <c:valAx>
        <c:axId val="17506001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AAG concentration (g/L)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1750508560"/>
        <c:crosses val="autoZero"/>
        <c:crossBetween val="midCat"/>
      </c:valAx>
      <c:valAx>
        <c:axId val="17505085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baseline="0"/>
                  <a:t>Docetaxel clearance (L/H)</a:t>
                </a:r>
                <a:endParaRPr lang="nl-NL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1750600160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Marise Heerma van Voss</dc:creator>
  <cp:keywords/>
  <dc:description/>
  <cp:lastModifiedBy>Marise Heerma van Voss</cp:lastModifiedBy>
  <cp:revision>3</cp:revision>
  <dcterms:created xsi:type="dcterms:W3CDTF">2024-04-25T20:27:00Z</dcterms:created>
  <dcterms:modified xsi:type="dcterms:W3CDTF">2024-04-25T20:27:00Z</dcterms:modified>
</cp:coreProperties>
</file>