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5DEFF" w14:textId="76FB8F0A" w:rsidR="00F075B6" w:rsidRDefault="00F075B6" w:rsidP="00F075B6">
      <w:pPr>
        <w:rPr>
          <w:b/>
          <w:bCs/>
          <w:lang w:val="en-US"/>
        </w:rPr>
      </w:pPr>
      <w:r>
        <w:rPr>
          <w:b/>
          <w:bCs/>
          <w:lang w:val="en-US"/>
        </w:rPr>
        <w:t>Supplement 1</w:t>
      </w:r>
    </w:p>
    <w:p w14:paraId="3BDB6BD6" w14:textId="77777777" w:rsidR="00F075B6" w:rsidRDefault="00F075B6" w:rsidP="00F075B6">
      <w:pPr>
        <w:rPr>
          <w:b/>
          <w:bCs/>
          <w:lang w:val="en-US"/>
        </w:rPr>
      </w:pPr>
    </w:p>
    <w:p w14:paraId="59BABC2B" w14:textId="7F88BD84" w:rsidR="00F075B6" w:rsidRPr="007D54F8" w:rsidRDefault="00F075B6" w:rsidP="00F075B6">
      <w:pPr>
        <w:rPr>
          <w:b/>
          <w:lang w:val="en-US"/>
        </w:rPr>
      </w:pPr>
      <w:r>
        <w:rPr>
          <w:b/>
          <w:bCs/>
          <w:lang w:val="en-US"/>
        </w:rPr>
        <w:t xml:space="preserve">SSIM D22-00017 </w:t>
      </w:r>
      <w:r w:rsidRPr="007D54F8">
        <w:rPr>
          <w:b/>
          <w:lang w:val="en-US"/>
        </w:rPr>
        <w:t xml:space="preserve">Immunization of preterm infants: </w:t>
      </w:r>
      <w:r>
        <w:rPr>
          <w:b/>
          <w:lang w:val="en-US"/>
        </w:rPr>
        <w:t>current evidence and future strategies to individualized approaches</w:t>
      </w:r>
    </w:p>
    <w:p w14:paraId="6BD194D6" w14:textId="77777777" w:rsidR="00F075B6" w:rsidRPr="00B1598D" w:rsidRDefault="00F075B6" w:rsidP="00F075B6">
      <w:pPr>
        <w:spacing w:after="200" w:line="360" w:lineRule="auto"/>
        <w:rPr>
          <w:rFonts w:ascii="Arial" w:eastAsiaTheme="minorHAnsi" w:hAnsi="Arial" w:cs="Arial"/>
          <w:lang w:val="en-GB" w:eastAsia="en-US"/>
        </w:rPr>
      </w:pPr>
    </w:p>
    <w:p w14:paraId="6247C010" w14:textId="77777777" w:rsidR="00F075B6" w:rsidRPr="00E96163" w:rsidRDefault="00F075B6" w:rsidP="00F075B6">
      <w:pPr>
        <w:spacing w:after="200" w:line="360" w:lineRule="auto"/>
        <w:rPr>
          <w:rFonts w:eastAsiaTheme="minorHAnsi"/>
          <w:lang w:eastAsia="en-US"/>
        </w:rPr>
      </w:pPr>
      <w:r w:rsidRPr="00E96163">
        <w:rPr>
          <w:rFonts w:eastAsiaTheme="minorHAnsi"/>
          <w:lang w:eastAsia="en-US"/>
        </w:rPr>
        <w:t>Mats Ingmar Fortmann</w:t>
      </w:r>
      <w:r w:rsidRPr="00E96163">
        <w:rPr>
          <w:rFonts w:eastAsiaTheme="minorHAnsi"/>
          <w:vertAlign w:val="superscript"/>
          <w:lang w:eastAsia="en-US"/>
        </w:rPr>
        <w:t>1*</w:t>
      </w:r>
      <w:r w:rsidRPr="00E96163">
        <w:rPr>
          <w:rFonts w:eastAsiaTheme="minorHAnsi"/>
          <w:lang w:eastAsia="en-US"/>
        </w:rPr>
        <w:t>, Johannes Dirks</w:t>
      </w:r>
      <w:r>
        <w:rPr>
          <w:rFonts w:eastAsiaTheme="minorHAnsi"/>
          <w:vertAlign w:val="superscript"/>
          <w:lang w:eastAsia="en-US"/>
        </w:rPr>
        <w:t>2</w:t>
      </w:r>
      <w:r w:rsidRPr="00E96163">
        <w:rPr>
          <w:rFonts w:eastAsiaTheme="minorHAnsi"/>
          <w:vertAlign w:val="superscript"/>
          <w:lang w:eastAsia="en-US"/>
        </w:rPr>
        <w:t>*</w:t>
      </w:r>
      <w:r w:rsidRPr="00E96163">
        <w:rPr>
          <w:rFonts w:eastAsiaTheme="minorHAnsi"/>
          <w:lang w:eastAsia="en-US"/>
        </w:rPr>
        <w:t>, Sybelle Goedicke-Fritz</w:t>
      </w:r>
      <w:r>
        <w:rPr>
          <w:rFonts w:eastAsiaTheme="minorHAnsi"/>
          <w:vertAlign w:val="superscript"/>
          <w:lang w:eastAsia="en-US"/>
        </w:rPr>
        <w:t>3</w:t>
      </w:r>
      <w:r w:rsidRPr="00E96163">
        <w:rPr>
          <w:rFonts w:eastAsiaTheme="minorHAnsi"/>
          <w:vertAlign w:val="superscript"/>
          <w:lang w:eastAsia="en-US"/>
        </w:rPr>
        <w:t>*</w:t>
      </w:r>
      <w:r w:rsidRPr="00E96163">
        <w:rPr>
          <w:rFonts w:eastAsiaTheme="minorHAnsi"/>
          <w:lang w:eastAsia="en-US"/>
        </w:rPr>
        <w:t xml:space="preserve">, </w:t>
      </w:r>
      <w:r>
        <w:rPr>
          <w:rFonts w:eastAsiaTheme="minorHAnsi"/>
          <w:lang w:eastAsia="en-US"/>
        </w:rPr>
        <w:t>Johannes Liese</w:t>
      </w:r>
      <w:r>
        <w:rPr>
          <w:rFonts w:eastAsiaTheme="minorHAnsi"/>
          <w:vertAlign w:val="superscript"/>
          <w:lang w:eastAsia="en-US"/>
        </w:rPr>
        <w:t>2</w:t>
      </w:r>
      <w:r>
        <w:rPr>
          <w:rFonts w:eastAsiaTheme="minorHAnsi"/>
          <w:lang w:eastAsia="en-US"/>
        </w:rPr>
        <w:t xml:space="preserve">, </w:t>
      </w:r>
      <w:r w:rsidRPr="00E96163">
        <w:rPr>
          <w:rFonts w:eastAsiaTheme="minorHAnsi"/>
          <w:lang w:eastAsia="en-US"/>
        </w:rPr>
        <w:t>Michael Zemlin</w:t>
      </w:r>
      <w:r>
        <w:rPr>
          <w:rFonts w:eastAsiaTheme="minorHAnsi"/>
          <w:vertAlign w:val="superscript"/>
          <w:lang w:eastAsia="en-US"/>
        </w:rPr>
        <w:t>3</w:t>
      </w:r>
      <w:r w:rsidRPr="00E96163">
        <w:rPr>
          <w:rFonts w:eastAsiaTheme="minorHAnsi"/>
          <w:lang w:eastAsia="en-US"/>
        </w:rPr>
        <w:t>, Henner Morbach</w:t>
      </w:r>
      <w:r w:rsidRPr="00E96163">
        <w:rPr>
          <w:rFonts w:eastAsiaTheme="minorHAnsi"/>
          <w:vertAlign w:val="superscript"/>
          <w:lang w:eastAsia="en-US"/>
        </w:rPr>
        <w:t>3</w:t>
      </w:r>
      <w:r w:rsidRPr="00E96163">
        <w:rPr>
          <w:rFonts w:eastAsiaTheme="minorHAnsi"/>
          <w:lang w:eastAsia="en-US"/>
        </w:rPr>
        <w:t>, Christoph Härtel</w:t>
      </w:r>
      <w:r>
        <w:rPr>
          <w:rFonts w:eastAsiaTheme="minorHAnsi"/>
          <w:vertAlign w:val="superscript"/>
          <w:lang w:eastAsia="en-US"/>
        </w:rPr>
        <w:t>2</w:t>
      </w:r>
    </w:p>
    <w:p w14:paraId="574A38BA" w14:textId="3B4E89AA" w:rsidR="003949E1" w:rsidRDefault="003949E1" w:rsidP="00FC01DD">
      <w:pPr>
        <w:ind w:left="426" w:hanging="426"/>
        <w:jc w:val="both"/>
        <w:rPr>
          <w:lang w:val="en-US"/>
        </w:rPr>
      </w:pPr>
    </w:p>
    <w:p w14:paraId="68423901" w14:textId="77777777" w:rsidR="00F075B6" w:rsidRPr="00641DE8" w:rsidRDefault="00F075B6" w:rsidP="00F075B6">
      <w:pPr>
        <w:pageBreakBefore/>
        <w:rPr>
          <w:b/>
          <w:bCs/>
          <w:lang w:val="en-US"/>
        </w:rPr>
      </w:pPr>
      <w:r>
        <w:rPr>
          <w:b/>
          <w:bCs/>
          <w:lang w:val="en-US"/>
        </w:rPr>
        <w:lastRenderedPageBreak/>
        <w:t xml:space="preserve">Supplement 1: </w:t>
      </w:r>
      <w:r w:rsidRPr="00641DE8">
        <w:rPr>
          <w:b/>
          <w:bCs/>
          <w:lang w:val="en-US"/>
        </w:rPr>
        <w:t>References</w:t>
      </w:r>
      <w:r>
        <w:rPr>
          <w:b/>
          <w:bCs/>
          <w:lang w:val="en-US"/>
        </w:rPr>
        <w:t xml:space="preserve"> to table 1</w:t>
      </w:r>
    </w:p>
    <w:p w14:paraId="4F91DC8A" w14:textId="77777777" w:rsidR="00F075B6" w:rsidRDefault="00F075B6" w:rsidP="00F075B6">
      <w:pPr>
        <w:rPr>
          <w:lang w:val="en-US"/>
        </w:rPr>
      </w:pPr>
    </w:p>
    <w:p w14:paraId="29C679AB"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rPr>
        <w:fldChar w:fldCharType="begin"/>
      </w:r>
      <w:r w:rsidRPr="00FC01DD">
        <w:rPr>
          <w:sz w:val="16"/>
          <w:szCs w:val="16"/>
          <w:lang w:val="en-US"/>
        </w:rPr>
        <w:instrText xml:space="preserve"> ADDIN ZOTERO_BIBL {"uncited":[],"omitted":[],"custom":[]} CSL_BIBLIOGRAPHY </w:instrText>
      </w:r>
      <w:r w:rsidRPr="00FC01DD">
        <w:rPr>
          <w:sz w:val="16"/>
          <w:szCs w:val="16"/>
        </w:rPr>
        <w:fldChar w:fldCharType="separate"/>
      </w:r>
      <w:r w:rsidRPr="00FC01DD">
        <w:rPr>
          <w:sz w:val="16"/>
          <w:szCs w:val="16"/>
          <w:lang w:val="en-US"/>
        </w:rPr>
        <w:t xml:space="preserve">1. </w:t>
      </w:r>
      <w:r w:rsidRPr="00FC01DD">
        <w:rPr>
          <w:sz w:val="16"/>
          <w:szCs w:val="16"/>
          <w:lang w:val="en-US"/>
        </w:rPr>
        <w:tab/>
        <w:t xml:space="preserve">Vesikari T, Matson DO, Dennehy P, et al. Safety and efficacy of a pentavalent human-bovine (WC3) reassortant rotavirus vaccine. </w:t>
      </w:r>
      <w:r w:rsidRPr="00FC01DD">
        <w:rPr>
          <w:i/>
          <w:iCs/>
          <w:sz w:val="16"/>
          <w:szCs w:val="16"/>
          <w:lang w:val="en-US"/>
        </w:rPr>
        <w:t>N Engl J Med</w:t>
      </w:r>
      <w:r w:rsidRPr="00FC01DD">
        <w:rPr>
          <w:sz w:val="16"/>
          <w:szCs w:val="16"/>
          <w:lang w:val="en-US"/>
        </w:rPr>
        <w:t>. 2006;354(1):23-33. doi:10.1056/NEJMoa052664</w:t>
      </w:r>
    </w:p>
    <w:p w14:paraId="3E365F4D"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 </w:t>
      </w:r>
      <w:r w:rsidRPr="00FC01DD">
        <w:rPr>
          <w:sz w:val="16"/>
          <w:szCs w:val="16"/>
          <w:lang w:val="en-US"/>
        </w:rPr>
        <w:tab/>
        <w:t xml:space="preserve">Ruiz-Palacios GM, Pérez-Schael I, Velázquez FR, et al. Safety and efficacy of an attenuated vaccine against severe rotavirus gastroenteritis. </w:t>
      </w:r>
      <w:r w:rsidRPr="00FC01DD">
        <w:rPr>
          <w:i/>
          <w:iCs/>
          <w:sz w:val="16"/>
          <w:szCs w:val="16"/>
          <w:lang w:val="en-US"/>
        </w:rPr>
        <w:t>N Engl J Med</w:t>
      </w:r>
      <w:r w:rsidRPr="00FC01DD">
        <w:rPr>
          <w:sz w:val="16"/>
          <w:szCs w:val="16"/>
          <w:lang w:val="en-US"/>
        </w:rPr>
        <w:t>. 2006;354(1):11-22. doi:10.1056/NEJMoa052434</w:t>
      </w:r>
    </w:p>
    <w:p w14:paraId="46F2E011"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 </w:t>
      </w:r>
      <w:r w:rsidRPr="00FC01DD">
        <w:rPr>
          <w:sz w:val="16"/>
          <w:szCs w:val="16"/>
          <w:lang w:val="en-US"/>
        </w:rPr>
        <w:tab/>
        <w:t xml:space="preserve">Van der Wielen M, Van Damme P. Pentavalent human-bovine (WC3) reassortant rotavirus vaccine in special populations: a review of data from the Rotavirus Efficacy and Safety Trial. </w:t>
      </w:r>
      <w:r w:rsidRPr="00FC01DD">
        <w:rPr>
          <w:i/>
          <w:iCs/>
          <w:sz w:val="16"/>
          <w:szCs w:val="16"/>
          <w:lang w:val="en-US"/>
        </w:rPr>
        <w:t>Eur J Clin Microbiol Infect Dis Off Publ Eur Soc Clin Microbiol</w:t>
      </w:r>
      <w:r w:rsidRPr="00FC01DD">
        <w:rPr>
          <w:sz w:val="16"/>
          <w:szCs w:val="16"/>
          <w:lang w:val="en-US"/>
        </w:rPr>
        <w:t>. 2008;27(7):495-501. doi:10.1007/s10096-008-0479-5</w:t>
      </w:r>
    </w:p>
    <w:p w14:paraId="6E8AD6DF"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 </w:t>
      </w:r>
      <w:r w:rsidRPr="00FC01DD">
        <w:rPr>
          <w:sz w:val="16"/>
          <w:szCs w:val="16"/>
          <w:lang w:val="en-US"/>
        </w:rPr>
        <w:tab/>
        <w:t xml:space="preserve">Goveia MG, Rodriguez ZM, Dallas MJ, et al. Safety and efficacy of the pentavalent human-bovine (WC3) reassortant rotavirus vaccine in healthy premature infants. </w:t>
      </w:r>
      <w:r w:rsidRPr="00FC01DD">
        <w:rPr>
          <w:i/>
          <w:iCs/>
          <w:sz w:val="16"/>
          <w:szCs w:val="16"/>
          <w:lang w:val="en-US"/>
        </w:rPr>
        <w:t>Pediatr Infect Dis J</w:t>
      </w:r>
      <w:r w:rsidRPr="00FC01DD">
        <w:rPr>
          <w:sz w:val="16"/>
          <w:szCs w:val="16"/>
          <w:lang w:val="en-US"/>
        </w:rPr>
        <w:t>. 2007;26(12):1099-1104. doi:10.1097/INF.0b013e31814521cb</w:t>
      </w:r>
    </w:p>
    <w:p w14:paraId="5F621C06"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 </w:t>
      </w:r>
      <w:r w:rsidRPr="00FC01DD">
        <w:rPr>
          <w:sz w:val="16"/>
          <w:szCs w:val="16"/>
          <w:lang w:val="en-US"/>
        </w:rPr>
        <w:tab/>
        <w:t xml:space="preserve">Roué JM, Nowak E, Le Gal G, et al. Impact of rotavirus vaccine on premature infants. </w:t>
      </w:r>
      <w:r w:rsidRPr="00FC01DD">
        <w:rPr>
          <w:i/>
          <w:iCs/>
          <w:sz w:val="16"/>
          <w:szCs w:val="16"/>
          <w:lang w:val="en-US"/>
        </w:rPr>
        <w:t>Clin Vaccine Immunol CVI</w:t>
      </w:r>
      <w:r w:rsidRPr="00FC01DD">
        <w:rPr>
          <w:sz w:val="16"/>
          <w:szCs w:val="16"/>
          <w:lang w:val="en-US"/>
        </w:rPr>
        <w:t>. 2014;21(10):1404-1409. doi:10.1128/CVI.00265-14</w:t>
      </w:r>
    </w:p>
    <w:p w14:paraId="51DA0B7D"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 </w:t>
      </w:r>
      <w:r w:rsidRPr="00FC01DD">
        <w:rPr>
          <w:sz w:val="16"/>
          <w:szCs w:val="16"/>
          <w:lang w:val="en-US"/>
        </w:rPr>
        <w:tab/>
        <w:t xml:space="preserve">Thrall S, Doll MK, Nhan C, et al. Evaluation of pentavalent rotavirus vaccination in neonatal intensive care units. </w:t>
      </w:r>
      <w:r w:rsidRPr="00FC01DD">
        <w:rPr>
          <w:i/>
          <w:iCs/>
          <w:sz w:val="16"/>
          <w:szCs w:val="16"/>
          <w:lang w:val="en-US"/>
        </w:rPr>
        <w:t>Vaccine</w:t>
      </w:r>
      <w:r w:rsidRPr="00FC01DD">
        <w:rPr>
          <w:sz w:val="16"/>
          <w:szCs w:val="16"/>
          <w:lang w:val="en-US"/>
        </w:rPr>
        <w:t>. 2015;33(39):5095-5102. doi:10.1016/j.vaccine.2015.08.015</w:t>
      </w:r>
    </w:p>
    <w:p w14:paraId="34F7972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 </w:t>
      </w:r>
      <w:r w:rsidRPr="00FC01DD">
        <w:rPr>
          <w:sz w:val="16"/>
          <w:szCs w:val="16"/>
          <w:lang w:val="en-US"/>
        </w:rPr>
        <w:tab/>
        <w:t xml:space="preserve">Monk HM, Motsney AJ, Wade KC. Safety of rotavirus vaccine in the NICU. </w:t>
      </w:r>
      <w:r w:rsidRPr="00FC01DD">
        <w:rPr>
          <w:i/>
          <w:iCs/>
          <w:sz w:val="16"/>
          <w:szCs w:val="16"/>
          <w:lang w:val="en-US"/>
        </w:rPr>
        <w:t>Pediatrics</w:t>
      </w:r>
      <w:r w:rsidRPr="00FC01DD">
        <w:rPr>
          <w:sz w:val="16"/>
          <w:szCs w:val="16"/>
          <w:lang w:val="en-US"/>
        </w:rPr>
        <w:t>. 2014;133(6):e1555-1560. doi:10.1542/peds.2013-3504</w:t>
      </w:r>
    </w:p>
    <w:p w14:paraId="196F47E1"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8. </w:t>
      </w:r>
      <w:r w:rsidRPr="00FC01DD">
        <w:rPr>
          <w:sz w:val="16"/>
          <w:szCs w:val="16"/>
          <w:lang w:val="en-US"/>
        </w:rPr>
        <w:tab/>
        <w:t xml:space="preserve">Hiramatsu H, Suzuki R, Nagatani A, et al. Rotavirus Vaccination Can Be Performed Without Viral Dissemination in the Neonatal Intensive Care Unit. </w:t>
      </w:r>
      <w:r w:rsidRPr="00FC01DD">
        <w:rPr>
          <w:i/>
          <w:iCs/>
          <w:sz w:val="16"/>
          <w:szCs w:val="16"/>
          <w:lang w:val="en-US"/>
        </w:rPr>
        <w:t>J Infect Dis</w:t>
      </w:r>
      <w:r w:rsidRPr="00FC01DD">
        <w:rPr>
          <w:sz w:val="16"/>
          <w:szCs w:val="16"/>
          <w:lang w:val="en-US"/>
        </w:rPr>
        <w:t>. 2018;217(4):589-596. doi:10.1093/infdis/jix590</w:t>
      </w:r>
    </w:p>
    <w:p w14:paraId="5D2554D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9. </w:t>
      </w:r>
      <w:r w:rsidRPr="00FC01DD">
        <w:rPr>
          <w:sz w:val="16"/>
          <w:szCs w:val="16"/>
          <w:lang w:val="en-US"/>
        </w:rPr>
        <w:tab/>
        <w:t xml:space="preserve">Iwata S, Nakata S, Ukae S, et al. Efficacy and safety of pentavalent rotavirus vaccine in Japan: a randomized, double-blind, placebo-controlled, multicenter trial. </w:t>
      </w:r>
      <w:r w:rsidRPr="00FC01DD">
        <w:rPr>
          <w:i/>
          <w:iCs/>
          <w:sz w:val="16"/>
          <w:szCs w:val="16"/>
          <w:lang w:val="en-US"/>
        </w:rPr>
        <w:t>Hum Vaccines Immunother</w:t>
      </w:r>
      <w:r w:rsidRPr="00FC01DD">
        <w:rPr>
          <w:sz w:val="16"/>
          <w:szCs w:val="16"/>
          <w:lang w:val="en-US"/>
        </w:rPr>
        <w:t>. 2013;9(8):1626-1633. doi:10.4161/hv.24846</w:t>
      </w:r>
    </w:p>
    <w:p w14:paraId="7C3558C1"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10. </w:t>
      </w:r>
      <w:r w:rsidRPr="00FC01DD">
        <w:rPr>
          <w:sz w:val="16"/>
          <w:szCs w:val="16"/>
          <w:lang w:val="en-US"/>
        </w:rPr>
        <w:tab/>
        <w:t xml:space="preserve">Omenaca F, Sarlangue J, Szenborn L, et al. Safety, reactogenicity and immunogenicity of the human rotavirus vaccine in preterm European Infants: a randomized phase IIIb study. </w:t>
      </w:r>
      <w:r w:rsidRPr="00FC01DD">
        <w:rPr>
          <w:i/>
          <w:iCs/>
          <w:sz w:val="16"/>
          <w:szCs w:val="16"/>
          <w:lang w:val="en-US"/>
        </w:rPr>
        <w:t>Pediatr Infect Dis J</w:t>
      </w:r>
      <w:r w:rsidRPr="00FC01DD">
        <w:rPr>
          <w:sz w:val="16"/>
          <w:szCs w:val="16"/>
          <w:lang w:val="en-US"/>
        </w:rPr>
        <w:t>. 2012;31(5):487-493. doi:10.1097/INF.0b013e3182490a2c</w:t>
      </w:r>
    </w:p>
    <w:p w14:paraId="259AE657"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11. </w:t>
      </w:r>
      <w:r w:rsidRPr="00FC01DD">
        <w:rPr>
          <w:sz w:val="16"/>
          <w:szCs w:val="16"/>
          <w:lang w:val="en-US"/>
        </w:rPr>
        <w:tab/>
        <w:t xml:space="preserve">Bhave S, Bhise S, Chavan SC, et al. Hepatitis B vaccination in premature and low birth weight (LBW) babies. </w:t>
      </w:r>
      <w:r w:rsidRPr="00FC01DD">
        <w:rPr>
          <w:i/>
          <w:iCs/>
          <w:sz w:val="16"/>
          <w:szCs w:val="16"/>
          <w:lang w:val="en-US"/>
        </w:rPr>
        <w:t>Indian Pediatr</w:t>
      </w:r>
      <w:r w:rsidRPr="00FC01DD">
        <w:rPr>
          <w:sz w:val="16"/>
          <w:szCs w:val="16"/>
          <w:lang w:val="en-US"/>
        </w:rPr>
        <w:t>. 2002;39(7):625-631.</w:t>
      </w:r>
    </w:p>
    <w:p w14:paraId="428365C1"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12. </w:t>
      </w:r>
      <w:r w:rsidRPr="00FC01DD">
        <w:rPr>
          <w:sz w:val="16"/>
          <w:szCs w:val="16"/>
          <w:lang w:val="en-US"/>
        </w:rPr>
        <w:tab/>
        <w:t xml:space="preserve">Waitz M, Hopfner R, Hummler HD, Heininger U. Hepatitis B Postexposure Prophylaxis in Preterm and Low-Birth-Weight Infants. </w:t>
      </w:r>
      <w:r w:rsidRPr="00FC01DD">
        <w:rPr>
          <w:i/>
          <w:iCs/>
          <w:sz w:val="16"/>
          <w:szCs w:val="16"/>
          <w:lang w:val="en-US"/>
        </w:rPr>
        <w:t>AJP Rep</w:t>
      </w:r>
      <w:r w:rsidRPr="00FC01DD">
        <w:rPr>
          <w:sz w:val="16"/>
          <w:szCs w:val="16"/>
          <w:lang w:val="en-US"/>
        </w:rPr>
        <w:t>. 2015;5(1):e67-72. doi:10.1055/s-0035-1547329</w:t>
      </w:r>
    </w:p>
    <w:p w14:paraId="45E38843"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13. </w:t>
      </w:r>
      <w:r w:rsidRPr="00FC01DD">
        <w:rPr>
          <w:sz w:val="16"/>
          <w:szCs w:val="16"/>
          <w:lang w:val="en-US"/>
        </w:rPr>
        <w:tab/>
        <w:t xml:space="preserve">Ellison VJ, Davis PG, Doyle LW. Adverse reactions to immunization with newer vaccines in the very preterm infant. </w:t>
      </w:r>
      <w:r w:rsidRPr="00FC01DD">
        <w:rPr>
          <w:i/>
          <w:iCs/>
          <w:sz w:val="16"/>
          <w:szCs w:val="16"/>
          <w:lang w:val="en-US"/>
        </w:rPr>
        <w:t>J Paediatr Child Health</w:t>
      </w:r>
      <w:r w:rsidRPr="00FC01DD">
        <w:rPr>
          <w:sz w:val="16"/>
          <w:szCs w:val="16"/>
          <w:lang w:val="en-US"/>
        </w:rPr>
        <w:t>. 2005;41(8):441-443. doi:10.1111/j.1440-1754.2005.00663.x</w:t>
      </w:r>
    </w:p>
    <w:p w14:paraId="44EF4270"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14. </w:t>
      </w:r>
      <w:r w:rsidRPr="00FC01DD">
        <w:rPr>
          <w:sz w:val="16"/>
          <w:szCs w:val="16"/>
          <w:lang w:val="en-US"/>
        </w:rPr>
        <w:tab/>
        <w:t xml:space="preserve">Omenaca F, Garcia-Sicilia J, García-Corbeira P, et al. Response of preterm newborns to immunization with a hexavalent diphtheria-tetanus-acellular pertussis-hepatitis B virus-inactivated polio and  Haemophilus influenzae type b vaccine: first experiences and solutions to a serious  and sensitive issue. </w:t>
      </w:r>
      <w:r w:rsidRPr="00FC01DD">
        <w:rPr>
          <w:i/>
          <w:iCs/>
          <w:sz w:val="16"/>
          <w:szCs w:val="16"/>
          <w:lang w:val="en-US"/>
        </w:rPr>
        <w:t>Pediatrics</w:t>
      </w:r>
      <w:r w:rsidRPr="00FC01DD">
        <w:rPr>
          <w:sz w:val="16"/>
          <w:szCs w:val="16"/>
          <w:lang w:val="en-US"/>
        </w:rPr>
        <w:t>. 2005;116(6):1292-1298. doi:10.1542/peds.2004-2336</w:t>
      </w:r>
    </w:p>
    <w:p w14:paraId="29D4A332"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15. </w:t>
      </w:r>
      <w:r w:rsidRPr="00FC01DD">
        <w:rPr>
          <w:sz w:val="16"/>
          <w:szCs w:val="16"/>
          <w:lang w:val="en-US"/>
        </w:rPr>
        <w:tab/>
        <w:t xml:space="preserve">Lau YL, Tam AY, Ng KW, et al. Response of preterm infants to hepatitis B vaccine. </w:t>
      </w:r>
      <w:r w:rsidRPr="00FC01DD">
        <w:rPr>
          <w:i/>
          <w:iCs/>
          <w:sz w:val="16"/>
          <w:szCs w:val="16"/>
          <w:lang w:val="en-US"/>
        </w:rPr>
        <w:t>J Pediatr</w:t>
      </w:r>
      <w:r w:rsidRPr="00FC01DD">
        <w:rPr>
          <w:sz w:val="16"/>
          <w:szCs w:val="16"/>
          <w:lang w:val="en-US"/>
        </w:rPr>
        <w:t>. 1992;121(6):962-965. doi:10.1016/s0022-3476(05)80352-x</w:t>
      </w:r>
    </w:p>
    <w:p w14:paraId="5D858D34"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16. </w:t>
      </w:r>
      <w:r w:rsidRPr="00FC01DD">
        <w:rPr>
          <w:sz w:val="16"/>
          <w:szCs w:val="16"/>
          <w:lang w:val="en-US"/>
        </w:rPr>
        <w:tab/>
        <w:t xml:space="preserve">Losonsky GA, Wasserman SS, Stephens I, et al. Hepatitis B vaccination of premature infants: a reassessment of current recommendations for delayed immunization. </w:t>
      </w:r>
      <w:r w:rsidRPr="00FC01DD">
        <w:rPr>
          <w:i/>
          <w:iCs/>
          <w:sz w:val="16"/>
          <w:szCs w:val="16"/>
          <w:lang w:val="en-US"/>
        </w:rPr>
        <w:t>Pediatrics</w:t>
      </w:r>
      <w:r w:rsidRPr="00FC01DD">
        <w:rPr>
          <w:sz w:val="16"/>
          <w:szCs w:val="16"/>
          <w:lang w:val="en-US"/>
        </w:rPr>
        <w:t>. 1999;103(2):E14. doi:10.1542/peds.103.2.e14</w:t>
      </w:r>
    </w:p>
    <w:p w14:paraId="6786EE23"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17. </w:t>
      </w:r>
      <w:r w:rsidRPr="00FC01DD">
        <w:rPr>
          <w:sz w:val="16"/>
          <w:szCs w:val="16"/>
          <w:lang w:val="en-US"/>
        </w:rPr>
        <w:tab/>
        <w:t xml:space="preserve">Saari TN. Immunization of preterm and low birth weight infants. American Academy of Pediatrics Committee on Infectious Diseases. </w:t>
      </w:r>
      <w:r w:rsidRPr="00FC01DD">
        <w:rPr>
          <w:i/>
          <w:iCs/>
          <w:sz w:val="16"/>
          <w:szCs w:val="16"/>
          <w:lang w:val="en-US"/>
        </w:rPr>
        <w:t>Pediatrics</w:t>
      </w:r>
      <w:r w:rsidRPr="00FC01DD">
        <w:rPr>
          <w:sz w:val="16"/>
          <w:szCs w:val="16"/>
          <w:lang w:val="en-US"/>
        </w:rPr>
        <w:t>. 2003;112(1 Pt 1):193-198. doi:10.1542/peds.112.1.193</w:t>
      </w:r>
    </w:p>
    <w:p w14:paraId="3E6AA449" w14:textId="77777777" w:rsidR="00F075B6" w:rsidRPr="00FC01DD" w:rsidRDefault="00F075B6" w:rsidP="00F075B6">
      <w:pPr>
        <w:widowControl w:val="0"/>
        <w:autoSpaceDE w:val="0"/>
        <w:autoSpaceDN w:val="0"/>
        <w:adjustRightInd w:val="0"/>
        <w:ind w:left="426" w:hanging="426"/>
        <w:jc w:val="both"/>
        <w:rPr>
          <w:sz w:val="16"/>
          <w:szCs w:val="16"/>
        </w:rPr>
      </w:pPr>
      <w:r w:rsidRPr="00FC01DD">
        <w:rPr>
          <w:sz w:val="16"/>
          <w:szCs w:val="16"/>
          <w:lang w:val="en-US"/>
        </w:rPr>
        <w:t xml:space="preserve">18. </w:t>
      </w:r>
      <w:r w:rsidRPr="00FC01DD">
        <w:rPr>
          <w:sz w:val="16"/>
          <w:szCs w:val="16"/>
          <w:lang w:val="en-US"/>
        </w:rPr>
        <w:tab/>
        <w:t xml:space="preserve">Fan W, Zhang M, Zhu YM, Zheng YJ. Immunogenicity of Hepatitis B Vaccine in Preterm or Low Birth Weight Infants: A Meta-Analysis. </w:t>
      </w:r>
      <w:r w:rsidRPr="00FC01DD">
        <w:rPr>
          <w:i/>
          <w:iCs/>
          <w:sz w:val="16"/>
          <w:szCs w:val="16"/>
        </w:rPr>
        <w:t>Am J Prev Med</w:t>
      </w:r>
      <w:r w:rsidRPr="00FC01DD">
        <w:rPr>
          <w:sz w:val="16"/>
          <w:szCs w:val="16"/>
        </w:rPr>
        <w:t>. 2020;59(2):278-287. doi:10.1016/j.amepre.2020.03.009</w:t>
      </w:r>
    </w:p>
    <w:p w14:paraId="1C2D49C1"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rPr>
        <w:t xml:space="preserve">19. </w:t>
      </w:r>
      <w:r w:rsidRPr="00FC01DD">
        <w:rPr>
          <w:sz w:val="16"/>
          <w:szCs w:val="16"/>
        </w:rPr>
        <w:tab/>
        <w:t xml:space="preserve">Blondheim O, Bader D, Abend M, et al. </w:t>
      </w:r>
      <w:r w:rsidRPr="00FC01DD">
        <w:rPr>
          <w:sz w:val="16"/>
          <w:szCs w:val="16"/>
          <w:lang w:val="en-US"/>
        </w:rPr>
        <w:t xml:space="preserve">Immunogenicity of hepatitis B vaccine in preterm infants. </w:t>
      </w:r>
      <w:r w:rsidRPr="00FC01DD">
        <w:rPr>
          <w:i/>
          <w:iCs/>
          <w:sz w:val="16"/>
          <w:szCs w:val="16"/>
          <w:lang w:val="en-US"/>
        </w:rPr>
        <w:t>Arch Dis Child Fetal Neonatal Ed</w:t>
      </w:r>
      <w:r w:rsidRPr="00FC01DD">
        <w:rPr>
          <w:sz w:val="16"/>
          <w:szCs w:val="16"/>
          <w:lang w:val="en-US"/>
        </w:rPr>
        <w:t>. 1998;79(3):F206-208. doi:10.1136/fn.79.3.f206</w:t>
      </w:r>
    </w:p>
    <w:p w14:paraId="107344A9"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20. </w:t>
      </w:r>
      <w:r w:rsidRPr="00FC01DD">
        <w:rPr>
          <w:sz w:val="16"/>
          <w:szCs w:val="16"/>
          <w:lang w:val="en-US"/>
        </w:rPr>
        <w:tab/>
        <w:t xml:space="preserve">Saroha M, Faridi MMA, Batra P, Kaur I, Dewan DK. Immunogenicity and safety of early vs delayed BCG vaccination in moderately preterm (31-33 weeks) infants. </w:t>
      </w:r>
      <w:r w:rsidRPr="00FC01DD">
        <w:rPr>
          <w:i/>
          <w:iCs/>
          <w:sz w:val="16"/>
          <w:szCs w:val="16"/>
          <w:lang w:val="en-US"/>
        </w:rPr>
        <w:t>Hum Vaccines Immunother</w:t>
      </w:r>
      <w:r w:rsidRPr="00FC01DD">
        <w:rPr>
          <w:sz w:val="16"/>
          <w:szCs w:val="16"/>
          <w:lang w:val="en-US"/>
        </w:rPr>
        <w:t>. 2015;11(12):2864-2871. doi:10.1080/21645515.2015.1074361</w:t>
      </w:r>
    </w:p>
    <w:p w14:paraId="311DCF2D"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21. </w:t>
      </w:r>
      <w:r w:rsidRPr="00FC01DD">
        <w:rPr>
          <w:sz w:val="16"/>
          <w:szCs w:val="16"/>
          <w:lang w:val="en-US"/>
        </w:rPr>
        <w:tab/>
        <w:t xml:space="preserve">Thayyil-Sudhan S, Kumar A, Singh M, Paul VK, Deorari AK. Safety and effectiveness of BCG vaccination in preterm babies. </w:t>
      </w:r>
      <w:r w:rsidRPr="00FC01DD">
        <w:rPr>
          <w:i/>
          <w:iCs/>
          <w:sz w:val="16"/>
          <w:szCs w:val="16"/>
          <w:lang w:val="en-US"/>
        </w:rPr>
        <w:t>Arch Dis Child Fetal Neonatal Ed</w:t>
      </w:r>
      <w:r w:rsidRPr="00FC01DD">
        <w:rPr>
          <w:sz w:val="16"/>
          <w:szCs w:val="16"/>
          <w:lang w:val="en-US"/>
        </w:rPr>
        <w:t>. 1999;81(1):F64-66. doi:10.1136/fn.81.1.f64</w:t>
      </w:r>
    </w:p>
    <w:p w14:paraId="5FA1CBA2"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22. </w:t>
      </w:r>
      <w:r w:rsidRPr="00FC01DD">
        <w:rPr>
          <w:sz w:val="16"/>
          <w:szCs w:val="16"/>
          <w:lang w:val="en-US"/>
        </w:rPr>
        <w:tab/>
        <w:t xml:space="preserve">Kaur S, Faridi MMA, Agarwal KN. BCG vaccination reaction in low birth weight infants. </w:t>
      </w:r>
      <w:r w:rsidRPr="00FC01DD">
        <w:rPr>
          <w:i/>
          <w:iCs/>
          <w:sz w:val="16"/>
          <w:szCs w:val="16"/>
          <w:lang w:val="en-US"/>
        </w:rPr>
        <w:t>Indian J Med Res</w:t>
      </w:r>
      <w:r w:rsidRPr="00FC01DD">
        <w:rPr>
          <w:sz w:val="16"/>
          <w:szCs w:val="16"/>
          <w:lang w:val="en-US"/>
        </w:rPr>
        <w:t>. 2002;116:64-69.</w:t>
      </w:r>
    </w:p>
    <w:p w14:paraId="5D0E015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23. </w:t>
      </w:r>
      <w:r w:rsidRPr="00FC01DD">
        <w:rPr>
          <w:sz w:val="16"/>
          <w:szCs w:val="16"/>
          <w:lang w:val="en-US"/>
        </w:rPr>
        <w:tab/>
        <w:t xml:space="preserve">Tun KM, Win H, Oo AK, Myint SS, Hla SK, Naing H. Tuberculin conversion after BCG vaccination: comparison by gestation and by age at immunization in Myanmar. </w:t>
      </w:r>
      <w:r w:rsidRPr="00FC01DD">
        <w:rPr>
          <w:i/>
          <w:iCs/>
          <w:sz w:val="16"/>
          <w:szCs w:val="16"/>
          <w:lang w:val="en-US"/>
        </w:rPr>
        <w:t>Trans R Soc Trop Med Hyg</w:t>
      </w:r>
      <w:r w:rsidRPr="00FC01DD">
        <w:rPr>
          <w:sz w:val="16"/>
          <w:szCs w:val="16"/>
          <w:lang w:val="en-US"/>
        </w:rPr>
        <w:t>. 2000;94(2):219-220. doi:10.1016/s0035-9203(00)90282-7</w:t>
      </w:r>
    </w:p>
    <w:p w14:paraId="7D5600E7"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24. </w:t>
      </w:r>
      <w:r w:rsidRPr="00FC01DD">
        <w:rPr>
          <w:sz w:val="16"/>
          <w:szCs w:val="16"/>
          <w:lang w:val="en-US"/>
        </w:rPr>
        <w:tab/>
        <w:t xml:space="preserve">Jensen KJ, Larsen N, Biering-Sørensen S, et al. Heterologous immunological effects of early BCG vaccination in low-birth-weight infants in Guinea-Bissau: a randomized-controlled trial. </w:t>
      </w:r>
      <w:r w:rsidRPr="00FC01DD">
        <w:rPr>
          <w:i/>
          <w:iCs/>
          <w:sz w:val="16"/>
          <w:szCs w:val="16"/>
          <w:lang w:val="en-US"/>
        </w:rPr>
        <w:t>J Infect Dis</w:t>
      </w:r>
      <w:r w:rsidRPr="00FC01DD">
        <w:rPr>
          <w:sz w:val="16"/>
          <w:szCs w:val="16"/>
          <w:lang w:val="en-US"/>
        </w:rPr>
        <w:t>. 2015;211(6):956-967. doi:10.1093/infdis/jiu508</w:t>
      </w:r>
    </w:p>
    <w:p w14:paraId="676D94C1"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25. </w:t>
      </w:r>
      <w:r w:rsidRPr="00FC01DD">
        <w:rPr>
          <w:sz w:val="16"/>
          <w:szCs w:val="16"/>
          <w:lang w:val="en-US"/>
        </w:rPr>
        <w:tab/>
        <w:t xml:space="preserve">Kjærgaard J, Stensballe LG, Birk NM, et al. Lack of a Negative Effect of BCG-Vaccination on Child Psychomotor Development: Results from the Danish Calmette Study - A Randomised Clinical Trial. </w:t>
      </w:r>
      <w:r w:rsidRPr="00FC01DD">
        <w:rPr>
          <w:i/>
          <w:iCs/>
          <w:sz w:val="16"/>
          <w:szCs w:val="16"/>
          <w:lang w:val="en-US"/>
        </w:rPr>
        <w:t>PloS One</w:t>
      </w:r>
      <w:r w:rsidRPr="00FC01DD">
        <w:rPr>
          <w:sz w:val="16"/>
          <w:szCs w:val="16"/>
          <w:lang w:val="en-US"/>
        </w:rPr>
        <w:t>. 2016;11(4):e0154541. doi:10.1371/journal.pone.0154541</w:t>
      </w:r>
    </w:p>
    <w:p w14:paraId="71F08D3F"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26. </w:t>
      </w:r>
      <w:r w:rsidRPr="00FC01DD">
        <w:rPr>
          <w:sz w:val="16"/>
          <w:szCs w:val="16"/>
          <w:lang w:val="en-US"/>
        </w:rPr>
        <w:tab/>
        <w:t xml:space="preserve">Kjærgaard J, Stensballe LG, Birk NM, et al. Bacillus Calmette-Guérin vaccination at birth: Effects on infant growth. A randomized clinical trial. </w:t>
      </w:r>
      <w:r w:rsidRPr="00FC01DD">
        <w:rPr>
          <w:i/>
          <w:iCs/>
          <w:sz w:val="16"/>
          <w:szCs w:val="16"/>
          <w:lang w:val="en-US"/>
        </w:rPr>
        <w:t>Early Hum Dev</w:t>
      </w:r>
      <w:r w:rsidRPr="00FC01DD">
        <w:rPr>
          <w:sz w:val="16"/>
          <w:szCs w:val="16"/>
          <w:lang w:val="en-US"/>
        </w:rPr>
        <w:t>. 2016;100:49-54. doi:10.1016/j.earlhumdev.2016.05.015</w:t>
      </w:r>
    </w:p>
    <w:p w14:paraId="3467A1A0"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27. </w:t>
      </w:r>
      <w:r w:rsidRPr="00FC01DD">
        <w:rPr>
          <w:sz w:val="16"/>
          <w:szCs w:val="16"/>
          <w:lang w:val="en-US"/>
        </w:rPr>
        <w:tab/>
        <w:t xml:space="preserve">Hawkridge A, Hatherill M, Little F, et al. Efficacy of percutaneous versus intradermal BCG in the prevention of tuberculosis in South African infants: randomised trial. </w:t>
      </w:r>
      <w:r w:rsidRPr="00FC01DD">
        <w:rPr>
          <w:i/>
          <w:iCs/>
          <w:sz w:val="16"/>
          <w:szCs w:val="16"/>
          <w:lang w:val="en-US"/>
        </w:rPr>
        <w:t>BMJ</w:t>
      </w:r>
      <w:r w:rsidRPr="00FC01DD">
        <w:rPr>
          <w:sz w:val="16"/>
          <w:szCs w:val="16"/>
          <w:lang w:val="en-US"/>
        </w:rPr>
        <w:t>. 2008;337:a2052. doi:10.1136/bmj.a2052</w:t>
      </w:r>
    </w:p>
    <w:p w14:paraId="06B034CB"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28. </w:t>
      </w:r>
      <w:r w:rsidRPr="00FC01DD">
        <w:rPr>
          <w:sz w:val="16"/>
          <w:szCs w:val="16"/>
          <w:lang w:val="en-US"/>
        </w:rPr>
        <w:tab/>
        <w:t xml:space="preserve">Colditz GA, Berkey CS, Mosteller F, et al. The efficacy of bacillus Calmette-Guérin vaccination of newborns and infants in the prevention of tuberculosis: meta-analyses of the published literature. </w:t>
      </w:r>
      <w:r w:rsidRPr="00FC01DD">
        <w:rPr>
          <w:i/>
          <w:iCs/>
          <w:sz w:val="16"/>
          <w:szCs w:val="16"/>
          <w:lang w:val="en-US"/>
        </w:rPr>
        <w:t>Pediatrics</w:t>
      </w:r>
      <w:r w:rsidRPr="00FC01DD">
        <w:rPr>
          <w:sz w:val="16"/>
          <w:szCs w:val="16"/>
          <w:lang w:val="en-US"/>
        </w:rPr>
        <w:t>. 1995;96(1 Pt 1):29-35.</w:t>
      </w:r>
    </w:p>
    <w:p w14:paraId="30E61608"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29. </w:t>
      </w:r>
      <w:r w:rsidRPr="00FC01DD">
        <w:rPr>
          <w:sz w:val="16"/>
          <w:szCs w:val="16"/>
          <w:lang w:val="en-US"/>
        </w:rPr>
        <w:tab/>
        <w:t xml:space="preserve">Faridi M, Kaur S, Krishnamurthy S, Kumari P. Tuberculin conversion and leukocyte migration inhibition test after BCG vaccination in newborn infants. </w:t>
      </w:r>
      <w:r w:rsidRPr="00FC01DD">
        <w:rPr>
          <w:i/>
          <w:iCs/>
          <w:sz w:val="16"/>
          <w:szCs w:val="16"/>
          <w:lang w:val="en-US"/>
        </w:rPr>
        <w:t>Hum Vaccin</w:t>
      </w:r>
      <w:r w:rsidRPr="00FC01DD">
        <w:rPr>
          <w:sz w:val="16"/>
          <w:szCs w:val="16"/>
          <w:lang w:val="en-US"/>
        </w:rPr>
        <w:t>. 2009;5(10):690-695. doi:10.4161/hv.5.10.9317</w:t>
      </w:r>
    </w:p>
    <w:p w14:paraId="05E7F2E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30. </w:t>
      </w:r>
      <w:r w:rsidRPr="00FC01DD">
        <w:rPr>
          <w:sz w:val="16"/>
          <w:szCs w:val="16"/>
          <w:lang w:val="en-US"/>
        </w:rPr>
        <w:tab/>
        <w:t>World Health Organization. Summary of WHO Position Papers - Recommended Routine Immunizations for Children. Published online April 2019. https://www.who.int/immunization/policy/Immunization_routine_table2.pdf?ua=1</w:t>
      </w:r>
    </w:p>
    <w:p w14:paraId="2E5EFC30"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31. </w:t>
      </w:r>
      <w:r w:rsidRPr="00FC01DD">
        <w:rPr>
          <w:sz w:val="16"/>
          <w:szCs w:val="16"/>
          <w:lang w:val="en-US"/>
        </w:rPr>
        <w:tab/>
        <w:t xml:space="preserve">Organization WH. BCG vaccine: WHO position paper, February 2018 - Recommendations. </w:t>
      </w:r>
      <w:r w:rsidRPr="00FC01DD">
        <w:rPr>
          <w:i/>
          <w:iCs/>
          <w:sz w:val="16"/>
          <w:szCs w:val="16"/>
          <w:lang w:val="en-US"/>
        </w:rPr>
        <w:t>Vaccine</w:t>
      </w:r>
      <w:r w:rsidRPr="00FC01DD">
        <w:rPr>
          <w:sz w:val="16"/>
          <w:szCs w:val="16"/>
          <w:lang w:val="en-US"/>
        </w:rPr>
        <w:t>. 2018;36(24):3408-3410. doi:10.1016/j.vaccine.2018.03.009</w:t>
      </w:r>
    </w:p>
    <w:p w14:paraId="0CFD769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32. </w:t>
      </w:r>
      <w:r w:rsidRPr="00FC01DD">
        <w:rPr>
          <w:sz w:val="16"/>
          <w:szCs w:val="16"/>
          <w:lang w:val="en-US"/>
        </w:rPr>
        <w:tab/>
        <w:t xml:space="preserve">Biering-Sørensen S, Aaby P, Lund N, et al. Early BCG-Denmark and Neonatal Mortality Among Infants Weighing &lt;2500 g: A Randomized Controlled Trial. </w:t>
      </w:r>
      <w:r w:rsidRPr="00FC01DD">
        <w:rPr>
          <w:i/>
          <w:iCs/>
          <w:sz w:val="16"/>
          <w:szCs w:val="16"/>
          <w:lang w:val="en-US"/>
        </w:rPr>
        <w:t>Clin Infect Dis Off Publ Infect Dis Soc Am</w:t>
      </w:r>
      <w:r w:rsidRPr="00FC01DD">
        <w:rPr>
          <w:sz w:val="16"/>
          <w:szCs w:val="16"/>
          <w:lang w:val="en-US"/>
        </w:rPr>
        <w:t>. 2017;65(7):1183-1190. doi:10.1093/cid/cix525</w:t>
      </w:r>
    </w:p>
    <w:p w14:paraId="72BC08D9"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33. </w:t>
      </w:r>
      <w:r w:rsidRPr="00FC01DD">
        <w:rPr>
          <w:sz w:val="16"/>
          <w:szCs w:val="16"/>
          <w:lang w:val="en-US"/>
        </w:rPr>
        <w:tab/>
        <w:t xml:space="preserve">Biering-Sørensen S, Aaby P, Napirna BM, et al. Small randomized trial among low-birth-weight children receiving bacillus Calmette-Guérin vaccination at first health center contact. </w:t>
      </w:r>
      <w:r w:rsidRPr="00FC01DD">
        <w:rPr>
          <w:i/>
          <w:iCs/>
          <w:sz w:val="16"/>
          <w:szCs w:val="16"/>
          <w:lang w:val="en-US"/>
        </w:rPr>
        <w:t>Pediatr Infect Dis J</w:t>
      </w:r>
      <w:r w:rsidRPr="00FC01DD">
        <w:rPr>
          <w:sz w:val="16"/>
          <w:szCs w:val="16"/>
          <w:lang w:val="en-US"/>
        </w:rPr>
        <w:t>. 2012;31(3):306-308. doi:10.1097/INF.0b013e3182458289</w:t>
      </w:r>
    </w:p>
    <w:p w14:paraId="32AC664B"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34. </w:t>
      </w:r>
      <w:r w:rsidRPr="00FC01DD">
        <w:rPr>
          <w:sz w:val="16"/>
          <w:szCs w:val="16"/>
          <w:lang w:val="en-US"/>
        </w:rPr>
        <w:tab/>
        <w:t xml:space="preserve">Lee J, Robinson JL, Spady DW. Frequency of apnea, bradycardia, and desaturations following first diphtheria-tetanus-pertussis-inactivated polio-Haemophilus influenzae type B  immunization in hospitalized preterm infants. </w:t>
      </w:r>
      <w:r w:rsidRPr="00FC01DD">
        <w:rPr>
          <w:i/>
          <w:iCs/>
          <w:sz w:val="16"/>
          <w:szCs w:val="16"/>
          <w:lang w:val="en-US"/>
        </w:rPr>
        <w:t>BMC Pediatr</w:t>
      </w:r>
      <w:r w:rsidRPr="00FC01DD">
        <w:rPr>
          <w:sz w:val="16"/>
          <w:szCs w:val="16"/>
          <w:lang w:val="en-US"/>
        </w:rPr>
        <w:t>. 2006;6:20. doi:10.1186/1471-2431-6-20</w:t>
      </w:r>
    </w:p>
    <w:p w14:paraId="1ADD0FA9"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35. </w:t>
      </w:r>
      <w:r w:rsidRPr="00FC01DD">
        <w:rPr>
          <w:sz w:val="16"/>
          <w:szCs w:val="16"/>
          <w:lang w:val="en-US"/>
        </w:rPr>
        <w:tab/>
        <w:t xml:space="preserve">Clifford V, Crawford NW, Royle J, et al. Recurrent apnoea post immunisation: Informing re-immunisation policy. </w:t>
      </w:r>
      <w:r w:rsidRPr="00FC01DD">
        <w:rPr>
          <w:i/>
          <w:iCs/>
          <w:sz w:val="16"/>
          <w:szCs w:val="16"/>
          <w:lang w:val="en-US"/>
        </w:rPr>
        <w:t>Vaccine</w:t>
      </w:r>
      <w:r w:rsidRPr="00FC01DD">
        <w:rPr>
          <w:sz w:val="16"/>
          <w:szCs w:val="16"/>
          <w:lang w:val="en-US"/>
        </w:rPr>
        <w:t>. 2011;29(34):5681-5687. doi:10.1016/j.vaccine.2011.06.005</w:t>
      </w:r>
    </w:p>
    <w:p w14:paraId="2DAE73A7"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36. </w:t>
      </w:r>
      <w:r w:rsidRPr="00FC01DD">
        <w:rPr>
          <w:sz w:val="16"/>
          <w:szCs w:val="16"/>
          <w:lang w:val="en-US"/>
        </w:rPr>
        <w:tab/>
        <w:t xml:space="preserve">Schulzke S, Heininger U, Lücking-Famira M, Fahnenstich H. Apnoea and bradycardia in preterm infants following immunisation with </w:t>
      </w:r>
      <w:r w:rsidRPr="00FC01DD">
        <w:rPr>
          <w:sz w:val="16"/>
          <w:szCs w:val="16"/>
          <w:lang w:val="en-US"/>
        </w:rPr>
        <w:lastRenderedPageBreak/>
        <w:t xml:space="preserve">pentavalent or hexavalent vaccines. </w:t>
      </w:r>
      <w:r w:rsidRPr="00FC01DD">
        <w:rPr>
          <w:i/>
          <w:iCs/>
          <w:sz w:val="16"/>
          <w:szCs w:val="16"/>
          <w:lang w:val="en-US"/>
        </w:rPr>
        <w:t>Eur J Pediatr</w:t>
      </w:r>
      <w:r w:rsidRPr="00FC01DD">
        <w:rPr>
          <w:sz w:val="16"/>
          <w:szCs w:val="16"/>
          <w:lang w:val="en-US"/>
        </w:rPr>
        <w:t>. 2005;164(7):432-435. doi:10.1007/s00431-005-1674-3</w:t>
      </w:r>
    </w:p>
    <w:p w14:paraId="18979C6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37. </w:t>
      </w:r>
      <w:r w:rsidRPr="00FC01DD">
        <w:rPr>
          <w:sz w:val="16"/>
          <w:szCs w:val="16"/>
          <w:lang w:val="en-US"/>
        </w:rPr>
        <w:tab/>
        <w:t xml:space="preserve">Flatz-Jequier A, Posfay-Barbe KM, Pfister RE, Siegrist CA. Recurrence of cardiorespiratory events following repeat DTaP-based combined immunization in very low birth weight premature infants. </w:t>
      </w:r>
      <w:r w:rsidRPr="00FC01DD">
        <w:rPr>
          <w:i/>
          <w:iCs/>
          <w:sz w:val="16"/>
          <w:szCs w:val="16"/>
          <w:lang w:val="en-US"/>
        </w:rPr>
        <w:t>J Pediatr</w:t>
      </w:r>
      <w:r w:rsidRPr="00FC01DD">
        <w:rPr>
          <w:sz w:val="16"/>
          <w:szCs w:val="16"/>
          <w:lang w:val="en-US"/>
        </w:rPr>
        <w:t>. 2008;153(3):429-431. doi:10.1016/j.jpeds.2008.03.043</w:t>
      </w:r>
    </w:p>
    <w:p w14:paraId="0B588B0B"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38. </w:t>
      </w:r>
      <w:r w:rsidRPr="00FC01DD">
        <w:rPr>
          <w:sz w:val="16"/>
          <w:szCs w:val="16"/>
          <w:lang w:val="en-US"/>
        </w:rPr>
        <w:tab/>
        <w:t xml:space="preserve">Carbone T, McEntire B, Kissin D, et al. Absence of an increase in cardiorespiratory events after diphtheria-tetanus-acellular pertussis immunization in preterm infants: a  randomized, multicenter study. </w:t>
      </w:r>
      <w:r w:rsidRPr="00FC01DD">
        <w:rPr>
          <w:i/>
          <w:iCs/>
          <w:sz w:val="16"/>
          <w:szCs w:val="16"/>
          <w:lang w:val="en-US"/>
        </w:rPr>
        <w:t>Pediatrics</w:t>
      </w:r>
      <w:r w:rsidRPr="00FC01DD">
        <w:rPr>
          <w:sz w:val="16"/>
          <w:szCs w:val="16"/>
          <w:lang w:val="en-US"/>
        </w:rPr>
        <w:t>. 2008;121(5):e1085-1090. doi:10.1542/peds.2007-2059</w:t>
      </w:r>
    </w:p>
    <w:p w14:paraId="5EDAD420"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39. </w:t>
      </w:r>
      <w:r w:rsidRPr="00FC01DD">
        <w:rPr>
          <w:sz w:val="16"/>
          <w:szCs w:val="16"/>
          <w:lang w:val="en-US"/>
        </w:rPr>
        <w:tab/>
        <w:t xml:space="preserve">Pfister RE, Aeschbach V, Niksic-Stuber V, Martin BC, Siegrist CA. Safety of DTaP-based combined immunization in very-low-birth-weight premature infants: frequent but mostly benign cardiorespiratory events. </w:t>
      </w:r>
      <w:r w:rsidRPr="00FC01DD">
        <w:rPr>
          <w:i/>
          <w:iCs/>
          <w:sz w:val="16"/>
          <w:szCs w:val="16"/>
          <w:lang w:val="en-US"/>
        </w:rPr>
        <w:t>J Pediatr</w:t>
      </w:r>
      <w:r w:rsidRPr="00FC01DD">
        <w:rPr>
          <w:sz w:val="16"/>
          <w:szCs w:val="16"/>
          <w:lang w:val="en-US"/>
        </w:rPr>
        <w:t>. 2004;145(1):58-66. doi:10.1016/j.jpeds.2004.04.006</w:t>
      </w:r>
    </w:p>
    <w:p w14:paraId="0C08B322"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40. </w:t>
      </w:r>
      <w:r w:rsidRPr="00FC01DD">
        <w:rPr>
          <w:sz w:val="16"/>
          <w:szCs w:val="16"/>
          <w:lang w:val="en-US"/>
        </w:rPr>
        <w:tab/>
        <w:t xml:space="preserve">Hacking DF, Davis PG, Wong E, Wheeler K, McVernon J. Frequency of respiratory deterioration after immunisation in preterm infants. </w:t>
      </w:r>
      <w:r w:rsidRPr="00FC01DD">
        <w:rPr>
          <w:i/>
          <w:iCs/>
          <w:sz w:val="16"/>
          <w:szCs w:val="16"/>
          <w:lang w:val="en-US"/>
        </w:rPr>
        <w:t>J Paediatr Child Health</w:t>
      </w:r>
      <w:r w:rsidRPr="00FC01DD">
        <w:rPr>
          <w:sz w:val="16"/>
          <w:szCs w:val="16"/>
          <w:lang w:val="en-US"/>
        </w:rPr>
        <w:t>. 2010;46(12):742-748. doi:10.1111/j.1440-1754.2010.01832.x</w:t>
      </w:r>
    </w:p>
    <w:p w14:paraId="44CCDB38"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41. </w:t>
      </w:r>
      <w:r w:rsidRPr="00FC01DD">
        <w:rPr>
          <w:sz w:val="16"/>
          <w:szCs w:val="16"/>
          <w:lang w:val="en-US"/>
        </w:rPr>
        <w:tab/>
        <w:t xml:space="preserve">Furck AK, Richter JW, Kattner E. Very low birth weight infants have only few adverse events after timely immunization. </w:t>
      </w:r>
      <w:r w:rsidRPr="00FC01DD">
        <w:rPr>
          <w:i/>
          <w:iCs/>
          <w:sz w:val="16"/>
          <w:szCs w:val="16"/>
          <w:lang w:val="en-US"/>
        </w:rPr>
        <w:t>J Perinatol Off J Calif Perinat Assoc</w:t>
      </w:r>
      <w:r w:rsidRPr="00FC01DD">
        <w:rPr>
          <w:sz w:val="16"/>
          <w:szCs w:val="16"/>
          <w:lang w:val="en-US"/>
        </w:rPr>
        <w:t>. 2010;30(2):118-121. doi:10.1038/jp.2009.112</w:t>
      </w:r>
    </w:p>
    <w:p w14:paraId="0202D23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42. </w:t>
      </w:r>
      <w:r w:rsidRPr="00FC01DD">
        <w:rPr>
          <w:sz w:val="16"/>
          <w:szCs w:val="16"/>
          <w:lang w:val="en-US"/>
        </w:rPr>
        <w:tab/>
        <w:t xml:space="preserve">Pourcyrous M, Korones SB, Crouse D, Bada HS. Interleukin-6, C-reactive protein, and abnormal cardiorespiratory responses to immunization in premature infants. </w:t>
      </w:r>
      <w:r w:rsidRPr="00FC01DD">
        <w:rPr>
          <w:i/>
          <w:iCs/>
          <w:sz w:val="16"/>
          <w:szCs w:val="16"/>
          <w:lang w:val="en-US"/>
        </w:rPr>
        <w:t>Pediatrics</w:t>
      </w:r>
      <w:r w:rsidRPr="00FC01DD">
        <w:rPr>
          <w:sz w:val="16"/>
          <w:szCs w:val="16"/>
          <w:lang w:val="en-US"/>
        </w:rPr>
        <w:t>. 1998;101(3):E3. doi:10.1542/peds.101.3.e3</w:t>
      </w:r>
    </w:p>
    <w:p w14:paraId="4146ED1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43. </w:t>
      </w:r>
      <w:r w:rsidRPr="00FC01DD">
        <w:rPr>
          <w:sz w:val="16"/>
          <w:szCs w:val="16"/>
          <w:lang w:val="en-US"/>
        </w:rPr>
        <w:tab/>
        <w:t xml:space="preserve">Wilińska M, Warakomska M, Głuszczak-Idziakowska E, Jackowska T. Risk factors for adverse events after vaccinations performed during the initial hospitalization of infants born prematurely. </w:t>
      </w:r>
      <w:r w:rsidRPr="00FC01DD">
        <w:rPr>
          <w:i/>
          <w:iCs/>
          <w:sz w:val="16"/>
          <w:szCs w:val="16"/>
          <w:lang w:val="en-US"/>
        </w:rPr>
        <w:t>Dev Period Med</w:t>
      </w:r>
      <w:r w:rsidRPr="00FC01DD">
        <w:rPr>
          <w:sz w:val="16"/>
          <w:szCs w:val="16"/>
          <w:lang w:val="en-US"/>
        </w:rPr>
        <w:t>. 2016;20(4):296-305.</w:t>
      </w:r>
    </w:p>
    <w:p w14:paraId="59021074"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44. </w:t>
      </w:r>
      <w:r w:rsidRPr="00FC01DD">
        <w:rPr>
          <w:sz w:val="16"/>
          <w:szCs w:val="16"/>
          <w:lang w:val="en-US"/>
        </w:rPr>
        <w:tab/>
        <w:t xml:space="preserve">Ben Jmaa W, Hernández AI, Sutherland MR, et al. Cardio-respiratory Events and Inflammatory Response After Primary Immunization in Preterm Infants &lt; 32 Weeks Gestational Age: A Randomized Controlled Study. </w:t>
      </w:r>
      <w:r w:rsidRPr="00FC01DD">
        <w:rPr>
          <w:i/>
          <w:iCs/>
          <w:sz w:val="16"/>
          <w:szCs w:val="16"/>
          <w:lang w:val="en-US"/>
        </w:rPr>
        <w:t>Pediatr Infect Dis J</w:t>
      </w:r>
      <w:r w:rsidRPr="00FC01DD">
        <w:rPr>
          <w:sz w:val="16"/>
          <w:szCs w:val="16"/>
          <w:lang w:val="en-US"/>
        </w:rPr>
        <w:t>. 2017;36(10):988-994. doi:10.1097/INF.0000000000001647</w:t>
      </w:r>
    </w:p>
    <w:p w14:paraId="3F3E0A1B"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45. </w:t>
      </w:r>
      <w:r w:rsidRPr="00FC01DD">
        <w:rPr>
          <w:sz w:val="16"/>
          <w:szCs w:val="16"/>
          <w:lang w:val="en-US"/>
        </w:rPr>
        <w:tab/>
        <w:t xml:space="preserve">Vázquez L, Garcia F, Rüttimann R, Coconier G, Jacquet JM, Schuerman L. Immunogenicity and reactogenicity of DTPa-HBV-IPV/Hib vaccine as primary and booster vaccination in low-birth-weight premature infants. </w:t>
      </w:r>
      <w:r w:rsidRPr="00FC01DD">
        <w:rPr>
          <w:i/>
          <w:iCs/>
          <w:sz w:val="16"/>
          <w:szCs w:val="16"/>
          <w:lang w:val="en-US"/>
        </w:rPr>
        <w:t>Acta Paediatr Oslo Nor 1992</w:t>
      </w:r>
      <w:r w:rsidRPr="00FC01DD">
        <w:rPr>
          <w:sz w:val="16"/>
          <w:szCs w:val="16"/>
          <w:lang w:val="en-US"/>
        </w:rPr>
        <w:t>. 2008;97(9):1243-1249. doi:10.1111/j.1651-2227.2008.00884.x</w:t>
      </w:r>
    </w:p>
    <w:p w14:paraId="4A169117"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46. </w:t>
      </w:r>
      <w:r w:rsidRPr="00FC01DD">
        <w:rPr>
          <w:sz w:val="16"/>
          <w:szCs w:val="16"/>
          <w:lang w:val="en-US"/>
        </w:rPr>
        <w:tab/>
        <w:t xml:space="preserve">Faldella G, Alessandroni R, Magini GM, et al. The preterm infant’s antibody response to a combined diphtheria, tetanus, acellular pertussis and hepatitis B vaccine. </w:t>
      </w:r>
      <w:r w:rsidRPr="00FC01DD">
        <w:rPr>
          <w:i/>
          <w:iCs/>
          <w:sz w:val="16"/>
          <w:szCs w:val="16"/>
          <w:lang w:val="en-US"/>
        </w:rPr>
        <w:t>Vaccine</w:t>
      </w:r>
      <w:r w:rsidRPr="00FC01DD">
        <w:rPr>
          <w:sz w:val="16"/>
          <w:szCs w:val="16"/>
          <w:lang w:val="en-US"/>
        </w:rPr>
        <w:t>. 1998;16(17):1646-1649. doi:10.1016/s0264-410x(98)00060-7</w:t>
      </w:r>
    </w:p>
    <w:p w14:paraId="5EC8ECAE"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47. </w:t>
      </w:r>
      <w:r w:rsidRPr="00FC01DD">
        <w:rPr>
          <w:sz w:val="16"/>
          <w:szCs w:val="16"/>
          <w:lang w:val="en-US"/>
        </w:rPr>
        <w:tab/>
        <w:t xml:space="preserve">Slack MH, Schapira D, Thwaites RJ, et al. Acellular pertussis vaccine given by accelerated schedule: response of preterm infants. </w:t>
      </w:r>
      <w:r w:rsidRPr="00FC01DD">
        <w:rPr>
          <w:i/>
          <w:iCs/>
          <w:sz w:val="16"/>
          <w:szCs w:val="16"/>
          <w:lang w:val="en-US"/>
        </w:rPr>
        <w:t>Arch Dis Child Fetal Neonatal Ed</w:t>
      </w:r>
      <w:r w:rsidRPr="00FC01DD">
        <w:rPr>
          <w:sz w:val="16"/>
          <w:szCs w:val="16"/>
          <w:lang w:val="en-US"/>
        </w:rPr>
        <w:t>. 2004;89(1):F57-60. doi:10.1136/fn.89.1.F57</w:t>
      </w:r>
    </w:p>
    <w:p w14:paraId="5D2CBA6F"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48. </w:t>
      </w:r>
      <w:r w:rsidRPr="00FC01DD">
        <w:rPr>
          <w:sz w:val="16"/>
          <w:szCs w:val="16"/>
          <w:lang w:val="en-US"/>
        </w:rPr>
        <w:tab/>
        <w:t xml:space="preserve">Schloesser RL, Fischer D, Otto W, Rettwitz-Volk W, Herden P, Zielen S. Safety and immunogenicity of an acellular pertussis vaccine in premature infants. </w:t>
      </w:r>
      <w:r w:rsidRPr="00FC01DD">
        <w:rPr>
          <w:i/>
          <w:iCs/>
          <w:sz w:val="16"/>
          <w:szCs w:val="16"/>
          <w:lang w:val="en-US"/>
        </w:rPr>
        <w:t>Pediatrics</w:t>
      </w:r>
      <w:r w:rsidRPr="00FC01DD">
        <w:rPr>
          <w:sz w:val="16"/>
          <w:szCs w:val="16"/>
          <w:lang w:val="en-US"/>
        </w:rPr>
        <w:t>. 1999;103(5):e60. doi:10.1542/peds.103.5.e60</w:t>
      </w:r>
    </w:p>
    <w:p w14:paraId="17F90B6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49. </w:t>
      </w:r>
      <w:r w:rsidRPr="00FC01DD">
        <w:rPr>
          <w:sz w:val="16"/>
          <w:szCs w:val="16"/>
          <w:lang w:val="en-US"/>
        </w:rPr>
        <w:tab/>
        <w:t xml:space="preserve">D’Angio CT, Maniscalco WM, Pichichero ME. Immunologic response of extremely premature infants to tetanus, Haemophilus influenzae, and polio immunizations. </w:t>
      </w:r>
      <w:r w:rsidRPr="00FC01DD">
        <w:rPr>
          <w:i/>
          <w:iCs/>
          <w:sz w:val="16"/>
          <w:szCs w:val="16"/>
          <w:lang w:val="en-US"/>
        </w:rPr>
        <w:t>Pediatrics</w:t>
      </w:r>
      <w:r w:rsidRPr="00FC01DD">
        <w:rPr>
          <w:sz w:val="16"/>
          <w:szCs w:val="16"/>
          <w:lang w:val="en-US"/>
        </w:rPr>
        <w:t>. 1995;96(1 Pt 1):18-22.</w:t>
      </w:r>
    </w:p>
    <w:p w14:paraId="4836D7B7"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50. </w:t>
      </w:r>
      <w:r w:rsidRPr="00FC01DD">
        <w:rPr>
          <w:sz w:val="16"/>
          <w:szCs w:val="16"/>
          <w:lang w:val="en-US"/>
        </w:rPr>
        <w:tab/>
        <w:t xml:space="preserve">Khalak R, Pichichero ME, D’Angio CT. Three-year follow-up of vaccine response in extremely preterm infants. </w:t>
      </w:r>
      <w:r w:rsidRPr="00FC01DD">
        <w:rPr>
          <w:i/>
          <w:iCs/>
          <w:sz w:val="16"/>
          <w:szCs w:val="16"/>
          <w:lang w:val="en-US"/>
        </w:rPr>
        <w:t>Pediatrics</w:t>
      </w:r>
      <w:r w:rsidRPr="00FC01DD">
        <w:rPr>
          <w:sz w:val="16"/>
          <w:szCs w:val="16"/>
          <w:lang w:val="en-US"/>
        </w:rPr>
        <w:t>. 1998;101(4 Pt 1):597-603. doi:10.1542/peds.101.4.597</w:t>
      </w:r>
    </w:p>
    <w:p w14:paraId="7AFE5FE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51. </w:t>
      </w:r>
      <w:r w:rsidRPr="00FC01DD">
        <w:rPr>
          <w:sz w:val="16"/>
          <w:szCs w:val="16"/>
          <w:lang w:val="en-US"/>
        </w:rPr>
        <w:tab/>
        <w:t xml:space="preserve">Kirmani KI, Lofthus G, Pichichero ME, Voloshen T, D’Angio CT. Seven-year follow-up of vaccine response in extremely premature infants. </w:t>
      </w:r>
      <w:r w:rsidRPr="00FC01DD">
        <w:rPr>
          <w:i/>
          <w:iCs/>
          <w:sz w:val="16"/>
          <w:szCs w:val="16"/>
          <w:lang w:val="en-US"/>
        </w:rPr>
        <w:t>Pediatrics</w:t>
      </w:r>
      <w:r w:rsidRPr="00FC01DD">
        <w:rPr>
          <w:sz w:val="16"/>
          <w:szCs w:val="16"/>
          <w:lang w:val="en-US"/>
        </w:rPr>
        <w:t>. 2002;109(3):498-504. doi:10.1542/peds.109.3.498</w:t>
      </w:r>
    </w:p>
    <w:p w14:paraId="0BB1BAE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52. </w:t>
      </w:r>
      <w:r w:rsidRPr="00FC01DD">
        <w:rPr>
          <w:sz w:val="16"/>
          <w:szCs w:val="16"/>
          <w:lang w:val="en-US"/>
        </w:rPr>
        <w:tab/>
        <w:t xml:space="preserve">Slack MH, Schapira D, Thwaites RJ, et al. Immune response of premature infants to meningococcal serogroup C and combined diphtheria-tetanus toxoids-acellular pertussis-Haemophilus influenzae type b  conjugate vaccines. </w:t>
      </w:r>
      <w:r w:rsidRPr="00FC01DD">
        <w:rPr>
          <w:i/>
          <w:iCs/>
          <w:sz w:val="16"/>
          <w:szCs w:val="16"/>
          <w:lang w:val="en-US"/>
        </w:rPr>
        <w:t>J Infect Dis</w:t>
      </w:r>
      <w:r w:rsidRPr="00FC01DD">
        <w:rPr>
          <w:sz w:val="16"/>
          <w:szCs w:val="16"/>
          <w:lang w:val="en-US"/>
        </w:rPr>
        <w:t>. 2001;184(12):1617-1620. doi:10.1086/324666</w:t>
      </w:r>
    </w:p>
    <w:p w14:paraId="3C5CA469"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53. </w:t>
      </w:r>
      <w:r w:rsidRPr="00FC01DD">
        <w:rPr>
          <w:sz w:val="16"/>
          <w:szCs w:val="16"/>
          <w:lang w:val="en-US"/>
        </w:rPr>
        <w:tab/>
        <w:t xml:space="preserve">Baxter D, Ghebrehewet S, Welfare W, Ding DCD. Vaccinating premature infants in a Special Care Baby Unit in the UK: results of a prospective, non-inferiority based, pragmatic case series study. </w:t>
      </w:r>
      <w:r w:rsidRPr="00FC01DD">
        <w:rPr>
          <w:i/>
          <w:iCs/>
          <w:sz w:val="16"/>
          <w:szCs w:val="16"/>
          <w:lang w:val="en-US"/>
        </w:rPr>
        <w:t>Hum Vaccin</w:t>
      </w:r>
      <w:r w:rsidRPr="00FC01DD">
        <w:rPr>
          <w:sz w:val="16"/>
          <w:szCs w:val="16"/>
          <w:lang w:val="en-US"/>
        </w:rPr>
        <w:t>. 2010;6(6):512-520. doi:10.4161/hv.6.6.11448</w:t>
      </w:r>
    </w:p>
    <w:p w14:paraId="491C1E38"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54. </w:t>
      </w:r>
      <w:r w:rsidRPr="00FC01DD">
        <w:rPr>
          <w:sz w:val="16"/>
          <w:szCs w:val="16"/>
          <w:lang w:val="en-US"/>
        </w:rPr>
        <w:tab/>
        <w:t xml:space="preserve">Heath PT, Booy R, Griffiths H, et al. Clinical and immunological risk factors associated with Haemophilus influenzae type b conjugate vaccine failure in childhood. </w:t>
      </w:r>
      <w:r w:rsidRPr="00FC01DD">
        <w:rPr>
          <w:i/>
          <w:iCs/>
          <w:sz w:val="16"/>
          <w:szCs w:val="16"/>
          <w:lang w:val="en-US"/>
        </w:rPr>
        <w:t>Clin Infect Dis Off Publ Infect Dis Soc Am</w:t>
      </w:r>
      <w:r w:rsidRPr="00FC01DD">
        <w:rPr>
          <w:sz w:val="16"/>
          <w:szCs w:val="16"/>
          <w:lang w:val="en-US"/>
        </w:rPr>
        <w:t>. 2000;31(4):973-980. doi:10.1086/318132</w:t>
      </w:r>
    </w:p>
    <w:p w14:paraId="56C02E86"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rPr>
        <w:t xml:space="preserve">55. </w:t>
      </w:r>
      <w:r w:rsidRPr="00FC01DD">
        <w:rPr>
          <w:sz w:val="16"/>
          <w:szCs w:val="16"/>
        </w:rPr>
        <w:tab/>
        <w:t xml:space="preserve">Kim SC, Chung EK, Hodinka RL, et al. </w:t>
      </w:r>
      <w:r w:rsidRPr="00FC01DD">
        <w:rPr>
          <w:sz w:val="16"/>
          <w:szCs w:val="16"/>
          <w:lang w:val="en-US"/>
        </w:rPr>
        <w:t xml:space="preserve">Immunogenicity of hepatitis B vaccine in preterm infants. </w:t>
      </w:r>
      <w:r w:rsidRPr="00FC01DD">
        <w:rPr>
          <w:i/>
          <w:iCs/>
          <w:sz w:val="16"/>
          <w:szCs w:val="16"/>
          <w:lang w:val="en-US"/>
        </w:rPr>
        <w:t>Pediatrics</w:t>
      </w:r>
      <w:r w:rsidRPr="00FC01DD">
        <w:rPr>
          <w:sz w:val="16"/>
          <w:szCs w:val="16"/>
          <w:lang w:val="en-US"/>
        </w:rPr>
        <w:t>. 1997;99(4):534-536. doi:10.1542/peds.99.4.534</w:t>
      </w:r>
    </w:p>
    <w:p w14:paraId="25C59EE7"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56. </w:t>
      </w:r>
      <w:r w:rsidRPr="00FC01DD">
        <w:rPr>
          <w:sz w:val="16"/>
          <w:szCs w:val="16"/>
          <w:lang w:val="en-US"/>
        </w:rPr>
        <w:tab/>
        <w:t xml:space="preserve">Kent A, Ladhani SN, Andrews NJ, et al. Schedules for Pneumococcal Vaccination of Preterm Infants: An RCT. </w:t>
      </w:r>
      <w:r w:rsidRPr="00FC01DD">
        <w:rPr>
          <w:i/>
          <w:iCs/>
          <w:sz w:val="16"/>
          <w:szCs w:val="16"/>
          <w:lang w:val="en-US"/>
        </w:rPr>
        <w:t>Pediatrics</w:t>
      </w:r>
      <w:r w:rsidRPr="00FC01DD">
        <w:rPr>
          <w:sz w:val="16"/>
          <w:szCs w:val="16"/>
          <w:lang w:val="en-US"/>
        </w:rPr>
        <w:t>. 2016;138(3). doi:10.1542/peds.2015-3945</w:t>
      </w:r>
    </w:p>
    <w:p w14:paraId="296DBDB0"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57. </w:t>
      </w:r>
      <w:r w:rsidRPr="00FC01DD">
        <w:rPr>
          <w:sz w:val="16"/>
          <w:szCs w:val="16"/>
          <w:lang w:val="en-US"/>
        </w:rPr>
        <w:tab/>
        <w:t xml:space="preserve">Omeñaca F, Merino JM, Tejedor JC, et al. Immunization of preterm infants with 10-valent pneumococcal conjugate vaccine. </w:t>
      </w:r>
      <w:r w:rsidRPr="00FC01DD">
        <w:rPr>
          <w:i/>
          <w:iCs/>
          <w:sz w:val="16"/>
          <w:szCs w:val="16"/>
          <w:lang w:val="en-US"/>
        </w:rPr>
        <w:t>Pediatrics</w:t>
      </w:r>
      <w:r w:rsidRPr="00FC01DD">
        <w:rPr>
          <w:sz w:val="16"/>
          <w:szCs w:val="16"/>
          <w:lang w:val="en-US"/>
        </w:rPr>
        <w:t>. 2011;128(2):e290-298. doi:10.1542/peds.2010-1184</w:t>
      </w:r>
    </w:p>
    <w:p w14:paraId="7212E47F"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58. </w:t>
      </w:r>
      <w:r w:rsidRPr="00FC01DD">
        <w:rPr>
          <w:sz w:val="16"/>
          <w:szCs w:val="16"/>
          <w:lang w:val="en-US"/>
        </w:rPr>
        <w:tab/>
        <w:t xml:space="preserve">Esposito S, Pugni L, Bosis S, et al. Immunogenicity, safety and tolerability of heptavalent pneumococcal conjugate vaccine administered at 3, 5 and 11 months post-natally to pre- and full-term  infants. </w:t>
      </w:r>
      <w:r w:rsidRPr="00FC01DD">
        <w:rPr>
          <w:i/>
          <w:iCs/>
          <w:sz w:val="16"/>
          <w:szCs w:val="16"/>
          <w:lang w:val="en-US"/>
        </w:rPr>
        <w:t>Vaccine</w:t>
      </w:r>
      <w:r w:rsidRPr="00FC01DD">
        <w:rPr>
          <w:sz w:val="16"/>
          <w:szCs w:val="16"/>
          <w:lang w:val="en-US"/>
        </w:rPr>
        <w:t>. 2005;23(14):1703-1708. doi:10.1016/j.vaccine.2004.09.029</w:t>
      </w:r>
    </w:p>
    <w:p w14:paraId="59D4DAFD"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59. </w:t>
      </w:r>
      <w:r w:rsidRPr="00FC01DD">
        <w:rPr>
          <w:sz w:val="16"/>
          <w:szCs w:val="16"/>
          <w:lang w:val="en-US"/>
        </w:rPr>
        <w:tab/>
        <w:t xml:space="preserve">Shinefield H, Black S, Ray P, Fireman B, Schwalbe J, Lewis E. Efficacy, immunogenicity and safety of heptavalent pneumococcal conjugate vaccine in low birth weight and preterm infants. </w:t>
      </w:r>
      <w:r w:rsidRPr="00FC01DD">
        <w:rPr>
          <w:i/>
          <w:iCs/>
          <w:sz w:val="16"/>
          <w:szCs w:val="16"/>
          <w:lang w:val="en-US"/>
        </w:rPr>
        <w:t>Pediatr Infect Dis J</w:t>
      </w:r>
      <w:r w:rsidRPr="00FC01DD">
        <w:rPr>
          <w:sz w:val="16"/>
          <w:szCs w:val="16"/>
          <w:lang w:val="en-US"/>
        </w:rPr>
        <w:t>. 2002;21(3):182-186. doi:10.1097/00006454-200203000-00003</w:t>
      </w:r>
    </w:p>
    <w:p w14:paraId="55E209AE"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60. </w:t>
      </w:r>
      <w:r w:rsidRPr="00FC01DD">
        <w:rPr>
          <w:sz w:val="16"/>
          <w:szCs w:val="16"/>
          <w:lang w:val="en-US"/>
        </w:rPr>
        <w:tab/>
        <w:t xml:space="preserve">Black S, Shinefield H. Safety and efficacy of the seven-valent pneumococcal conjugate vaccine: evidence from Northern California. </w:t>
      </w:r>
      <w:r w:rsidRPr="00FC01DD">
        <w:rPr>
          <w:i/>
          <w:iCs/>
          <w:sz w:val="16"/>
          <w:szCs w:val="16"/>
          <w:lang w:val="en-US"/>
        </w:rPr>
        <w:t>Eur J Pediatr</w:t>
      </w:r>
      <w:r w:rsidRPr="00FC01DD">
        <w:rPr>
          <w:sz w:val="16"/>
          <w:szCs w:val="16"/>
          <w:lang w:val="en-US"/>
        </w:rPr>
        <w:t>. 2002;161 Suppl 2:S127-131. doi:10.1007/s00431-002-1064-z</w:t>
      </w:r>
    </w:p>
    <w:p w14:paraId="5B9A360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61. </w:t>
      </w:r>
      <w:r w:rsidRPr="00FC01DD">
        <w:rPr>
          <w:sz w:val="16"/>
          <w:szCs w:val="16"/>
          <w:lang w:val="en-US"/>
        </w:rPr>
        <w:tab/>
        <w:t xml:space="preserve">Moss SJ, Fenton AC, Toomey JA, Grainger AJ, Smith J, Gennery AR. Responses to a conjugate pneumococcal vaccine in preterm infants immunized at 2, 3, and 4 months of age. </w:t>
      </w:r>
      <w:r w:rsidRPr="00FC01DD">
        <w:rPr>
          <w:i/>
          <w:iCs/>
          <w:sz w:val="16"/>
          <w:szCs w:val="16"/>
          <w:lang w:val="en-US"/>
        </w:rPr>
        <w:t>Clin Vaccine Immunol CVI</w:t>
      </w:r>
      <w:r w:rsidRPr="00FC01DD">
        <w:rPr>
          <w:sz w:val="16"/>
          <w:szCs w:val="16"/>
          <w:lang w:val="en-US"/>
        </w:rPr>
        <w:t>. 2010;17(11):1810-1816. doi:10.1128/CVI.00214-10</w:t>
      </w:r>
    </w:p>
    <w:p w14:paraId="4617478A"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62. </w:t>
      </w:r>
      <w:r w:rsidRPr="00FC01DD">
        <w:rPr>
          <w:sz w:val="16"/>
          <w:szCs w:val="16"/>
          <w:lang w:val="en-US"/>
        </w:rPr>
        <w:tab/>
        <w:t xml:space="preserve">Szynczewska E, Chlebna-Sokół D. Immunogenicity of heptavalent conjugate vaccine against Streptococcus pneumoniae in premature babies with low birth weight. </w:t>
      </w:r>
      <w:r w:rsidRPr="00FC01DD">
        <w:rPr>
          <w:i/>
          <w:iCs/>
          <w:sz w:val="16"/>
          <w:szCs w:val="16"/>
          <w:lang w:val="en-US"/>
        </w:rPr>
        <w:t>Pediatr Neonatol</w:t>
      </w:r>
      <w:r w:rsidRPr="00FC01DD">
        <w:rPr>
          <w:sz w:val="16"/>
          <w:szCs w:val="16"/>
          <w:lang w:val="en-US"/>
        </w:rPr>
        <w:t>. 2014;55(2):101-107. doi:10.1016/j.pedneo.2013.06.005</w:t>
      </w:r>
    </w:p>
    <w:p w14:paraId="06205E4A"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63. </w:t>
      </w:r>
      <w:r w:rsidRPr="00FC01DD">
        <w:rPr>
          <w:sz w:val="16"/>
          <w:szCs w:val="16"/>
          <w:lang w:val="en-US"/>
        </w:rPr>
        <w:tab/>
        <w:t xml:space="preserve">Martinón-Torres F, Czajka H, Center KJ, et al. 13-valent pneumococcal conjugate vaccine (PCV13) in preterm versus term infants. </w:t>
      </w:r>
      <w:r w:rsidRPr="00FC01DD">
        <w:rPr>
          <w:i/>
          <w:iCs/>
          <w:sz w:val="16"/>
          <w:szCs w:val="16"/>
          <w:lang w:val="en-US"/>
        </w:rPr>
        <w:t>Pediatrics</w:t>
      </w:r>
      <w:r w:rsidRPr="00FC01DD">
        <w:rPr>
          <w:sz w:val="16"/>
          <w:szCs w:val="16"/>
          <w:lang w:val="en-US"/>
        </w:rPr>
        <w:t>. 2015;135(4):e876-886. doi:10.1542/peds.2014-2941</w:t>
      </w:r>
    </w:p>
    <w:p w14:paraId="22CDF89A"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64. </w:t>
      </w:r>
      <w:r w:rsidRPr="00FC01DD">
        <w:rPr>
          <w:sz w:val="16"/>
          <w:szCs w:val="16"/>
          <w:lang w:val="en-US"/>
        </w:rPr>
        <w:tab/>
        <w:t xml:space="preserve">D’Angio CT, Heyne RJ, O’Shea TM, et al. Heptavalent pneumococcal conjugate vaccine immunogenicity in very-low-birth-weight, premature infants. </w:t>
      </w:r>
      <w:r w:rsidRPr="00FC01DD">
        <w:rPr>
          <w:i/>
          <w:iCs/>
          <w:sz w:val="16"/>
          <w:szCs w:val="16"/>
          <w:lang w:val="en-US"/>
        </w:rPr>
        <w:t>Pediatr Infect Dis J</w:t>
      </w:r>
      <w:r w:rsidRPr="00FC01DD">
        <w:rPr>
          <w:sz w:val="16"/>
          <w:szCs w:val="16"/>
          <w:lang w:val="en-US"/>
        </w:rPr>
        <w:t>. 2010;29(7):600-606. doi:10.1097/INF.0b013e3181d264a6</w:t>
      </w:r>
    </w:p>
    <w:p w14:paraId="52C6FCDE"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65. </w:t>
      </w:r>
      <w:r w:rsidRPr="00FC01DD">
        <w:rPr>
          <w:sz w:val="16"/>
          <w:szCs w:val="16"/>
          <w:lang w:val="en-US"/>
        </w:rPr>
        <w:tab/>
        <w:t xml:space="preserve">Rückinger S, van der Linden M, von Kries R. Effect of heptavalent pneumococcal conjugate vaccination on invasive pneumococcal disease in preterm born infants. </w:t>
      </w:r>
      <w:r w:rsidRPr="00FC01DD">
        <w:rPr>
          <w:i/>
          <w:iCs/>
          <w:sz w:val="16"/>
          <w:szCs w:val="16"/>
          <w:lang w:val="en-US"/>
        </w:rPr>
        <w:t>BMC Infect Dis</w:t>
      </w:r>
      <w:r w:rsidRPr="00FC01DD">
        <w:rPr>
          <w:sz w:val="16"/>
          <w:szCs w:val="16"/>
          <w:lang w:val="en-US"/>
        </w:rPr>
        <w:t>. 2010;10:12. doi:10.1186/1471-2334-10-12</w:t>
      </w:r>
    </w:p>
    <w:p w14:paraId="36DFB11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66. </w:t>
      </w:r>
      <w:r w:rsidRPr="00FC01DD">
        <w:rPr>
          <w:sz w:val="16"/>
          <w:szCs w:val="16"/>
          <w:lang w:val="en-US"/>
        </w:rPr>
        <w:tab/>
        <w:t xml:space="preserve">Esposito S, Corbellini B, Bosis S, et al. Immunogenicity, safety and tolerability of meningococcal C CRM197 conjugate vaccine administered 3, 5 and 11 months post-natally to pre- and full-term infants. </w:t>
      </w:r>
      <w:r w:rsidRPr="00FC01DD">
        <w:rPr>
          <w:i/>
          <w:iCs/>
          <w:sz w:val="16"/>
          <w:szCs w:val="16"/>
          <w:lang w:val="en-US"/>
        </w:rPr>
        <w:t>Vaccine</w:t>
      </w:r>
      <w:r w:rsidRPr="00FC01DD">
        <w:rPr>
          <w:sz w:val="16"/>
          <w:szCs w:val="16"/>
          <w:lang w:val="en-US"/>
        </w:rPr>
        <w:t>. 2007;25(26):4889-4894. doi:10.1016/j.vaccine.2007.04.018</w:t>
      </w:r>
    </w:p>
    <w:p w14:paraId="3E9943B4"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67. </w:t>
      </w:r>
      <w:r w:rsidRPr="00FC01DD">
        <w:rPr>
          <w:sz w:val="16"/>
          <w:szCs w:val="16"/>
          <w:lang w:val="en-US"/>
        </w:rPr>
        <w:tab/>
        <w:t xml:space="preserve">Kent A, Beebeejaun K, Braccio S, et al. Safety of meningococcal group B vaccination in hospitalised premature infants. </w:t>
      </w:r>
      <w:r w:rsidRPr="00FC01DD">
        <w:rPr>
          <w:i/>
          <w:iCs/>
          <w:sz w:val="16"/>
          <w:szCs w:val="16"/>
          <w:lang w:val="en-US"/>
        </w:rPr>
        <w:t>Arch Dis Child Fetal Neonatal Ed</w:t>
      </w:r>
      <w:r w:rsidRPr="00FC01DD">
        <w:rPr>
          <w:sz w:val="16"/>
          <w:szCs w:val="16"/>
          <w:lang w:val="en-US"/>
        </w:rPr>
        <w:t>. 2019;104(2):F171-F175. doi:10.1136/archdischild-2017-314152</w:t>
      </w:r>
    </w:p>
    <w:p w14:paraId="18C71866"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68. </w:t>
      </w:r>
      <w:r w:rsidRPr="00FC01DD">
        <w:rPr>
          <w:sz w:val="16"/>
          <w:szCs w:val="16"/>
          <w:lang w:val="en-US"/>
        </w:rPr>
        <w:tab/>
        <w:t xml:space="preserve">Collins CL, Ruggeberg JU, Balfour G, et al. Immunogenicity and immunologic memory of meningococcal C conjugate vaccine in premature infants. </w:t>
      </w:r>
      <w:r w:rsidRPr="00FC01DD">
        <w:rPr>
          <w:i/>
          <w:iCs/>
          <w:sz w:val="16"/>
          <w:szCs w:val="16"/>
          <w:lang w:val="en-US"/>
        </w:rPr>
        <w:t>Pediatr Infect Dis J</w:t>
      </w:r>
      <w:r w:rsidRPr="00FC01DD">
        <w:rPr>
          <w:sz w:val="16"/>
          <w:szCs w:val="16"/>
          <w:lang w:val="en-US"/>
        </w:rPr>
        <w:t>. 2005;24(11):966-968. doi:10.1097/01.inf.0000187027.45918.6a</w:t>
      </w:r>
    </w:p>
    <w:p w14:paraId="28FFC9E3"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69. </w:t>
      </w:r>
      <w:r w:rsidRPr="00FC01DD">
        <w:rPr>
          <w:sz w:val="16"/>
          <w:szCs w:val="16"/>
          <w:lang w:val="en-US"/>
        </w:rPr>
        <w:tab/>
        <w:t xml:space="preserve">Sáez-Llorens X, Castaño E, Null D, et al. Safety and pharmacokinetics of an intramuscular humanized monoclonal antibody to respiratory syncytial virus in premature infants and infants with bronchopulmonary  dysplasia. The MEDI-493 Study Group. </w:t>
      </w:r>
      <w:r w:rsidRPr="00FC01DD">
        <w:rPr>
          <w:i/>
          <w:iCs/>
          <w:sz w:val="16"/>
          <w:szCs w:val="16"/>
          <w:lang w:val="en-US"/>
        </w:rPr>
        <w:t>Pediatr Infect Dis J</w:t>
      </w:r>
      <w:r w:rsidRPr="00FC01DD">
        <w:rPr>
          <w:sz w:val="16"/>
          <w:szCs w:val="16"/>
          <w:lang w:val="en-US"/>
        </w:rPr>
        <w:t>. 1998;17(9):787-791. doi:10.1097/00006454-199809000-00007</w:t>
      </w:r>
    </w:p>
    <w:p w14:paraId="77F0D238"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70. </w:t>
      </w:r>
      <w:r w:rsidRPr="00FC01DD">
        <w:rPr>
          <w:sz w:val="16"/>
          <w:szCs w:val="16"/>
          <w:lang w:val="en-US"/>
        </w:rPr>
        <w:tab/>
        <w:t xml:space="preserve">Palivizumab, a humanized respiratory syncytial virus monoclonal antibody, reduces hospitalization from respiratory syncytial virus infection in high-risk infants. The  IMpact-RSV Study Group. </w:t>
      </w:r>
      <w:r w:rsidRPr="00FC01DD">
        <w:rPr>
          <w:i/>
          <w:iCs/>
          <w:sz w:val="16"/>
          <w:szCs w:val="16"/>
          <w:lang w:val="en-US"/>
        </w:rPr>
        <w:t>Pediatrics</w:t>
      </w:r>
      <w:r w:rsidRPr="00FC01DD">
        <w:rPr>
          <w:sz w:val="16"/>
          <w:szCs w:val="16"/>
          <w:lang w:val="en-US"/>
        </w:rPr>
        <w:t>. 1998;102(3 Pt 1):531-537.</w:t>
      </w:r>
    </w:p>
    <w:p w14:paraId="6CBD967E"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71. </w:t>
      </w:r>
      <w:r w:rsidRPr="00FC01DD">
        <w:rPr>
          <w:sz w:val="16"/>
          <w:szCs w:val="16"/>
          <w:lang w:val="en-US"/>
        </w:rPr>
        <w:tab/>
        <w:t xml:space="preserve">Groothuis JR. Safety and tolerance of palivizumab administration in a large Northern Hemisphere trial. Northern Hemisphere Expanded </w:t>
      </w:r>
      <w:r w:rsidRPr="00FC01DD">
        <w:rPr>
          <w:sz w:val="16"/>
          <w:szCs w:val="16"/>
          <w:lang w:val="en-US"/>
        </w:rPr>
        <w:lastRenderedPageBreak/>
        <w:t xml:space="preserve">Access Study Group. </w:t>
      </w:r>
      <w:r w:rsidRPr="00FC01DD">
        <w:rPr>
          <w:i/>
          <w:iCs/>
          <w:sz w:val="16"/>
          <w:szCs w:val="16"/>
          <w:lang w:val="en-US"/>
        </w:rPr>
        <w:t>Pediatr Infect Dis J</w:t>
      </w:r>
      <w:r w:rsidRPr="00FC01DD">
        <w:rPr>
          <w:sz w:val="16"/>
          <w:szCs w:val="16"/>
          <w:lang w:val="en-US"/>
        </w:rPr>
        <w:t>. 2001;20(6):628-630. doi:10.1097/00006454-200106000-00018</w:t>
      </w:r>
    </w:p>
    <w:p w14:paraId="40434C32"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rPr>
        <w:t xml:space="preserve">72. </w:t>
      </w:r>
      <w:r w:rsidRPr="00FC01DD">
        <w:rPr>
          <w:sz w:val="16"/>
          <w:szCs w:val="16"/>
        </w:rPr>
        <w:tab/>
        <w:t xml:space="preserve">Subramanian KN, Weisman LE, Rhodes T, et al. </w:t>
      </w:r>
      <w:r w:rsidRPr="00FC01DD">
        <w:rPr>
          <w:sz w:val="16"/>
          <w:szCs w:val="16"/>
          <w:lang w:val="en-US"/>
        </w:rPr>
        <w:t xml:space="preserve">Safety, tolerance and pharmacokinetics of a humanized monoclonal antibody to respiratory syncytial virus in premature infants and infants with bronchopulmonary  dysplasia. MEDI-493 Study Group. </w:t>
      </w:r>
      <w:r w:rsidRPr="00FC01DD">
        <w:rPr>
          <w:i/>
          <w:iCs/>
          <w:sz w:val="16"/>
          <w:szCs w:val="16"/>
          <w:lang w:val="en-US"/>
        </w:rPr>
        <w:t>Pediatr Infect Dis J</w:t>
      </w:r>
      <w:r w:rsidRPr="00FC01DD">
        <w:rPr>
          <w:sz w:val="16"/>
          <w:szCs w:val="16"/>
          <w:lang w:val="en-US"/>
        </w:rPr>
        <w:t>. 1998;17(2):110-115. doi:10.1097/00006454-199802000-00006</w:t>
      </w:r>
    </w:p>
    <w:p w14:paraId="70CEEDB5"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73. </w:t>
      </w:r>
      <w:r w:rsidRPr="00FC01DD">
        <w:rPr>
          <w:sz w:val="16"/>
          <w:szCs w:val="16"/>
          <w:lang w:val="en-US"/>
        </w:rPr>
        <w:tab/>
        <w:t xml:space="preserve">Mitchell I, Tough S, Gillis L, Majaesic C. Beyond randomized controlled trials: a “real life” experience of respiratory syncytial virus infection prevention in infancy with and without palivizumab. </w:t>
      </w:r>
      <w:r w:rsidRPr="00FC01DD">
        <w:rPr>
          <w:i/>
          <w:iCs/>
          <w:sz w:val="16"/>
          <w:szCs w:val="16"/>
          <w:lang w:val="en-US"/>
        </w:rPr>
        <w:t>Pediatr Pulmonol</w:t>
      </w:r>
      <w:r w:rsidRPr="00FC01DD">
        <w:rPr>
          <w:sz w:val="16"/>
          <w:szCs w:val="16"/>
          <w:lang w:val="en-US"/>
        </w:rPr>
        <w:t>. 2006;41(12):1167-1174. doi:10.1002/ppul.20507</w:t>
      </w:r>
    </w:p>
    <w:p w14:paraId="4D8226E6"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74. </w:t>
      </w:r>
      <w:r w:rsidRPr="00FC01DD">
        <w:rPr>
          <w:sz w:val="16"/>
          <w:szCs w:val="16"/>
          <w:lang w:val="en-US"/>
        </w:rPr>
        <w:tab/>
        <w:t xml:space="preserve">Singleton RJ, Bruden D, Bulkow LR, Varney G, Butler JC. Decline in respiratory syncytial virus hospitalizations in a region with high hospitalization rates and prolonged season. </w:t>
      </w:r>
      <w:r w:rsidRPr="00FC01DD">
        <w:rPr>
          <w:i/>
          <w:iCs/>
          <w:sz w:val="16"/>
          <w:szCs w:val="16"/>
          <w:lang w:val="en-US"/>
        </w:rPr>
        <w:t>Pediatr Infect Dis J</w:t>
      </w:r>
      <w:r w:rsidRPr="00FC01DD">
        <w:rPr>
          <w:sz w:val="16"/>
          <w:szCs w:val="16"/>
          <w:lang w:val="en-US"/>
        </w:rPr>
        <w:t>. 2006;25(12):1116-1122. doi:10.1097/01.inf.0000245104.26996.57</w:t>
      </w:r>
    </w:p>
    <w:p w14:paraId="151B1FFF"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75. </w:t>
      </w:r>
      <w:r w:rsidRPr="00FC01DD">
        <w:rPr>
          <w:sz w:val="16"/>
          <w:szCs w:val="16"/>
          <w:lang w:val="en-US"/>
        </w:rPr>
        <w:tab/>
        <w:t xml:space="preserve">Groothuis JR, Levin MJ, Rabalais GP, Meiklejohn G, Lauer BA. Immunization of high-risk infants younger than 18 months of age with split-product influenza vaccine. </w:t>
      </w:r>
      <w:r w:rsidRPr="00FC01DD">
        <w:rPr>
          <w:i/>
          <w:iCs/>
          <w:sz w:val="16"/>
          <w:szCs w:val="16"/>
          <w:lang w:val="en-US"/>
        </w:rPr>
        <w:t>Pediatrics</w:t>
      </w:r>
      <w:r w:rsidRPr="00FC01DD">
        <w:rPr>
          <w:sz w:val="16"/>
          <w:szCs w:val="16"/>
          <w:lang w:val="en-US"/>
        </w:rPr>
        <w:t>. 1991;87(6):823-828.</w:t>
      </w:r>
    </w:p>
    <w:p w14:paraId="4CA73654"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76. </w:t>
      </w:r>
      <w:r w:rsidRPr="00FC01DD">
        <w:rPr>
          <w:sz w:val="16"/>
          <w:szCs w:val="16"/>
          <w:lang w:val="en-US"/>
        </w:rPr>
        <w:tab/>
        <w:t xml:space="preserve">D’Angio CT, Heyne RJ, Duara S, et al. Immunogenicity of trivalent influenza vaccine in extremely low-birth-weight, premature versus term infants. </w:t>
      </w:r>
      <w:r w:rsidRPr="00FC01DD">
        <w:rPr>
          <w:i/>
          <w:iCs/>
          <w:sz w:val="16"/>
          <w:szCs w:val="16"/>
          <w:lang w:val="en-US"/>
        </w:rPr>
        <w:t>Pediatr Infect Dis J</w:t>
      </w:r>
      <w:r w:rsidRPr="00FC01DD">
        <w:rPr>
          <w:sz w:val="16"/>
          <w:szCs w:val="16"/>
          <w:lang w:val="en-US"/>
        </w:rPr>
        <w:t>. 2011;30(7):570-574. doi:10.1097/INF.0b013e31820c1fdf</w:t>
      </w:r>
    </w:p>
    <w:p w14:paraId="45DC134D"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77. </w:t>
      </w:r>
      <w:r w:rsidRPr="00FC01DD">
        <w:rPr>
          <w:sz w:val="16"/>
          <w:szCs w:val="16"/>
          <w:lang w:val="en-US"/>
        </w:rPr>
        <w:tab/>
        <w:t xml:space="preserve">Groothuis JR, Levin MJ, Lehr MV, Weston JA, Hayward AR. Immune response to split-product influenza vaccine in preterm and full-term young children. </w:t>
      </w:r>
      <w:r w:rsidRPr="00FC01DD">
        <w:rPr>
          <w:i/>
          <w:iCs/>
          <w:sz w:val="16"/>
          <w:szCs w:val="16"/>
          <w:lang w:val="en-US"/>
        </w:rPr>
        <w:t>Vaccine</w:t>
      </w:r>
      <w:r w:rsidRPr="00FC01DD">
        <w:rPr>
          <w:sz w:val="16"/>
          <w:szCs w:val="16"/>
          <w:lang w:val="en-US"/>
        </w:rPr>
        <w:t>. 1992;10(4):221-225. doi:10.1016/0264-410x(92)90156-e</w:t>
      </w:r>
    </w:p>
    <w:p w14:paraId="26DD4232"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78. </w:t>
      </w:r>
      <w:r w:rsidRPr="00FC01DD">
        <w:rPr>
          <w:sz w:val="16"/>
          <w:szCs w:val="16"/>
          <w:lang w:val="en-US"/>
        </w:rPr>
        <w:tab/>
        <w:t xml:space="preserve">D’Angio CT, Wyman CP, Misra RS, et al. Plasma cell and serum antibody responses to influenza vaccine in preterm and full-term infants. </w:t>
      </w:r>
      <w:r w:rsidRPr="00FC01DD">
        <w:rPr>
          <w:i/>
          <w:iCs/>
          <w:sz w:val="16"/>
          <w:szCs w:val="16"/>
          <w:lang w:val="en-US"/>
        </w:rPr>
        <w:t>Vaccine</w:t>
      </w:r>
      <w:r w:rsidRPr="00FC01DD">
        <w:rPr>
          <w:sz w:val="16"/>
          <w:szCs w:val="16"/>
          <w:lang w:val="en-US"/>
        </w:rPr>
        <w:t>. 2017;35(38):5163-5171. doi:10.1016/j.vaccine.2017.07.115</w:t>
      </w:r>
    </w:p>
    <w:p w14:paraId="11414E1C"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79. </w:t>
      </w:r>
      <w:r w:rsidRPr="00FC01DD">
        <w:rPr>
          <w:sz w:val="16"/>
          <w:szCs w:val="16"/>
          <w:lang w:val="en-US"/>
        </w:rPr>
        <w:tab/>
        <w:t xml:space="preserve">Sasaki Y, Kusuhara K, Saito M, et al. Serum immunoglobulin levels do not affect antibody responses to influenza HA vaccine in preterm infants. </w:t>
      </w:r>
      <w:r w:rsidRPr="00FC01DD">
        <w:rPr>
          <w:i/>
          <w:iCs/>
          <w:sz w:val="16"/>
          <w:szCs w:val="16"/>
          <w:lang w:val="en-US"/>
        </w:rPr>
        <w:t>Vaccine</w:t>
      </w:r>
      <w:r w:rsidRPr="00FC01DD">
        <w:rPr>
          <w:sz w:val="16"/>
          <w:szCs w:val="16"/>
          <w:lang w:val="en-US"/>
        </w:rPr>
        <w:t>. 2006;24(12):2208-2212. doi:10.1016/j.vaccine.2005.11.001</w:t>
      </w:r>
    </w:p>
    <w:p w14:paraId="115E48C3"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80. </w:t>
      </w:r>
      <w:r w:rsidRPr="00FC01DD">
        <w:rPr>
          <w:sz w:val="16"/>
          <w:szCs w:val="16"/>
          <w:lang w:val="en-US"/>
        </w:rPr>
        <w:tab/>
        <w:t>World Health Organization. https://cdn.who.int. Table 2: Summary of WHO Position Papers - Recommended Routine Immunizations for Children. Published November 2021. Accessed January 19, 2022. https://cdn.who.int/media/docs/default-source/immunization/immunization_schedules/immunization-routine-table2.pdf?sfvrsn=3e27ab48_9&amp;download=true</w:t>
      </w:r>
    </w:p>
    <w:p w14:paraId="691A2A58"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81. </w:t>
      </w:r>
      <w:r w:rsidRPr="00FC01DD">
        <w:rPr>
          <w:sz w:val="16"/>
          <w:szCs w:val="16"/>
          <w:lang w:val="en-US"/>
        </w:rPr>
        <w:tab/>
        <w:t>Australian Government – Department of Health. The Australian Immunisation Handbook. Vaccination for preterm infants. Published June 3, 2020. Accessed January 19, 2022. https://immunisationhandbook.health.gov.au/vaccination-for-special-risk-groups/vaccination-for-preterm-infants</w:t>
      </w:r>
    </w:p>
    <w:p w14:paraId="2BD75314"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82. </w:t>
      </w:r>
      <w:r w:rsidRPr="00FC01DD">
        <w:rPr>
          <w:sz w:val="16"/>
          <w:szCs w:val="16"/>
          <w:lang w:val="en-US"/>
        </w:rPr>
        <w:tab/>
        <w:t>Government of Canada – Department of Health. Immunization of infants born prematurely: Canadian Immunization Guide. Published December 2, 2020. Accessed January 19, 2022. https://www.canada.ca/en/public-health/services/publications/healthy-living/canadian-immunization-guide-part-3-vaccination-specific-populations/page-5-immunization-infants-born-prematurely.html</w:t>
      </w:r>
    </w:p>
    <w:p w14:paraId="7E9AE953" w14:textId="77777777" w:rsidR="00F075B6" w:rsidRPr="00FC01DD" w:rsidRDefault="00F075B6" w:rsidP="00F075B6">
      <w:pPr>
        <w:widowControl w:val="0"/>
        <w:autoSpaceDE w:val="0"/>
        <w:autoSpaceDN w:val="0"/>
        <w:adjustRightInd w:val="0"/>
        <w:ind w:left="426" w:hanging="426"/>
        <w:jc w:val="both"/>
        <w:rPr>
          <w:sz w:val="16"/>
          <w:szCs w:val="16"/>
          <w:lang w:val="en-US"/>
        </w:rPr>
      </w:pPr>
      <w:r w:rsidRPr="00FC01DD">
        <w:rPr>
          <w:sz w:val="16"/>
          <w:szCs w:val="16"/>
          <w:lang w:val="en-US"/>
        </w:rPr>
        <w:t xml:space="preserve">83. </w:t>
      </w:r>
      <w:r w:rsidRPr="00FC01DD">
        <w:rPr>
          <w:sz w:val="16"/>
          <w:szCs w:val="16"/>
          <w:lang w:val="en-US"/>
        </w:rPr>
        <w:tab/>
        <w:t>American Academy of Pediatrics. American Academy of Pediatrics (AAP). American Academy of Pediatrics. Published March 8, 2021. Accessed January 19, 2022. https://www.aap.org</w:t>
      </w:r>
    </w:p>
    <w:p w14:paraId="17F604CC" w14:textId="77777777" w:rsidR="00F075B6" w:rsidRPr="00FC01DD" w:rsidRDefault="00F075B6" w:rsidP="00F075B6">
      <w:pPr>
        <w:widowControl w:val="0"/>
        <w:autoSpaceDE w:val="0"/>
        <w:autoSpaceDN w:val="0"/>
        <w:adjustRightInd w:val="0"/>
        <w:ind w:left="426" w:hanging="426"/>
        <w:jc w:val="both"/>
        <w:rPr>
          <w:sz w:val="16"/>
          <w:szCs w:val="16"/>
        </w:rPr>
      </w:pPr>
      <w:r w:rsidRPr="00FC01DD">
        <w:rPr>
          <w:sz w:val="16"/>
          <w:szCs w:val="16"/>
          <w:lang w:val="en-US"/>
        </w:rPr>
        <w:t xml:space="preserve">84. </w:t>
      </w:r>
      <w:r w:rsidRPr="00FC01DD">
        <w:rPr>
          <w:sz w:val="16"/>
          <w:szCs w:val="16"/>
          <w:lang w:val="en-US"/>
        </w:rPr>
        <w:tab/>
        <w:t xml:space="preserve">Updated guidance for palivizumab prophylaxis among infants and young children at increased risk of hospitalization for respiratory syncytial virus infection. </w:t>
      </w:r>
      <w:r w:rsidRPr="00FC01DD">
        <w:rPr>
          <w:i/>
          <w:iCs/>
          <w:sz w:val="16"/>
          <w:szCs w:val="16"/>
        </w:rPr>
        <w:t>Pediatrics</w:t>
      </w:r>
      <w:r w:rsidRPr="00FC01DD">
        <w:rPr>
          <w:sz w:val="16"/>
          <w:szCs w:val="16"/>
        </w:rPr>
        <w:t>. 2014;134(2):415-420. doi:10.1542/peds.2014-1665</w:t>
      </w:r>
    </w:p>
    <w:p w14:paraId="4F04050A" w14:textId="5422D276" w:rsidR="00F075B6" w:rsidRPr="003949E1" w:rsidRDefault="00F075B6" w:rsidP="00F075B6">
      <w:pPr>
        <w:ind w:left="426" w:hanging="426"/>
        <w:jc w:val="both"/>
        <w:rPr>
          <w:lang w:val="en-US"/>
        </w:rPr>
      </w:pPr>
      <w:r w:rsidRPr="00FC01DD">
        <w:rPr>
          <w:sz w:val="16"/>
          <w:szCs w:val="16"/>
          <w:lang w:val="en-US"/>
        </w:rPr>
        <w:fldChar w:fldCharType="end"/>
      </w:r>
      <w:bookmarkStart w:id="0" w:name="_GoBack"/>
      <w:bookmarkEnd w:id="0"/>
    </w:p>
    <w:sectPr w:rsidR="00F075B6" w:rsidRPr="003949E1" w:rsidSect="0056245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0097E" w14:textId="77777777" w:rsidR="00F61474" w:rsidRDefault="00F61474" w:rsidP="00FE1F16">
      <w:r>
        <w:separator/>
      </w:r>
    </w:p>
  </w:endnote>
  <w:endnote w:type="continuationSeparator" w:id="0">
    <w:p w14:paraId="0BE922CC" w14:textId="77777777" w:rsidR="00F61474" w:rsidRDefault="00F61474" w:rsidP="00FE1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C9FDC" w14:textId="77777777" w:rsidR="00F61474" w:rsidRDefault="00F61474" w:rsidP="00FE1F16">
      <w:r>
        <w:separator/>
      </w:r>
    </w:p>
  </w:footnote>
  <w:footnote w:type="continuationSeparator" w:id="0">
    <w:p w14:paraId="5A1D1B3E" w14:textId="77777777" w:rsidR="00F61474" w:rsidRDefault="00F61474" w:rsidP="00FE1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4289"/>
    <w:multiLevelType w:val="hybridMultilevel"/>
    <w:tmpl w:val="4A62114E"/>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BE29C6"/>
    <w:multiLevelType w:val="hybridMultilevel"/>
    <w:tmpl w:val="9334A3C0"/>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532182"/>
    <w:multiLevelType w:val="hybridMultilevel"/>
    <w:tmpl w:val="5776ADF6"/>
    <w:lvl w:ilvl="0" w:tplc="62689AA4">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C4F62AD"/>
    <w:multiLevelType w:val="hybridMultilevel"/>
    <w:tmpl w:val="9398A09A"/>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FA5BF4"/>
    <w:multiLevelType w:val="hybridMultilevel"/>
    <w:tmpl w:val="F48C50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59F7A89"/>
    <w:multiLevelType w:val="hybridMultilevel"/>
    <w:tmpl w:val="743C7B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75A533C"/>
    <w:multiLevelType w:val="hybridMultilevel"/>
    <w:tmpl w:val="17C645D0"/>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AEC5199"/>
    <w:multiLevelType w:val="hybridMultilevel"/>
    <w:tmpl w:val="2794D3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B4E1213"/>
    <w:multiLevelType w:val="hybridMultilevel"/>
    <w:tmpl w:val="26E43E88"/>
    <w:lvl w:ilvl="0" w:tplc="EE06033C">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B68707F"/>
    <w:multiLevelType w:val="hybridMultilevel"/>
    <w:tmpl w:val="2020B312"/>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D611D35"/>
    <w:multiLevelType w:val="hybridMultilevel"/>
    <w:tmpl w:val="625E3306"/>
    <w:lvl w:ilvl="0" w:tplc="B8344E76">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2CD4BEE"/>
    <w:multiLevelType w:val="hybridMultilevel"/>
    <w:tmpl w:val="F0C0A9AC"/>
    <w:lvl w:ilvl="0" w:tplc="B8181700">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3354F61"/>
    <w:multiLevelType w:val="hybridMultilevel"/>
    <w:tmpl w:val="E41493E8"/>
    <w:lvl w:ilvl="0" w:tplc="94841658">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5D352A8"/>
    <w:multiLevelType w:val="hybridMultilevel"/>
    <w:tmpl w:val="95763864"/>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C17361D"/>
    <w:multiLevelType w:val="hybridMultilevel"/>
    <w:tmpl w:val="E0D29E2A"/>
    <w:lvl w:ilvl="0" w:tplc="04070001">
      <w:start w:val="1"/>
      <w:numFmt w:val="bullet"/>
      <w:lvlText w:val=""/>
      <w:lvlJc w:val="left"/>
      <w:pPr>
        <w:ind w:left="840" w:hanging="360"/>
      </w:pPr>
      <w:rPr>
        <w:rFonts w:ascii="Symbol" w:hAnsi="Symbol" w:hint="default"/>
      </w:rPr>
    </w:lvl>
    <w:lvl w:ilvl="1" w:tplc="04070003" w:tentative="1">
      <w:start w:val="1"/>
      <w:numFmt w:val="bullet"/>
      <w:lvlText w:val="o"/>
      <w:lvlJc w:val="left"/>
      <w:pPr>
        <w:ind w:left="1560" w:hanging="360"/>
      </w:pPr>
      <w:rPr>
        <w:rFonts w:ascii="Courier New" w:hAnsi="Courier New" w:cs="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cs="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cs="Courier New" w:hint="default"/>
      </w:rPr>
    </w:lvl>
    <w:lvl w:ilvl="8" w:tplc="04070005" w:tentative="1">
      <w:start w:val="1"/>
      <w:numFmt w:val="bullet"/>
      <w:lvlText w:val=""/>
      <w:lvlJc w:val="left"/>
      <w:pPr>
        <w:ind w:left="6600" w:hanging="360"/>
      </w:pPr>
      <w:rPr>
        <w:rFonts w:ascii="Wingdings" w:hAnsi="Wingdings" w:hint="default"/>
      </w:rPr>
    </w:lvl>
  </w:abstractNum>
  <w:abstractNum w:abstractNumId="15" w15:restartNumberingAfterBreak="0">
    <w:nsid w:val="61845299"/>
    <w:multiLevelType w:val="hybridMultilevel"/>
    <w:tmpl w:val="DCA8B0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392229E"/>
    <w:multiLevelType w:val="hybridMultilevel"/>
    <w:tmpl w:val="786AEB98"/>
    <w:lvl w:ilvl="0" w:tplc="53D8E0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56516CD"/>
    <w:multiLevelType w:val="hybridMultilevel"/>
    <w:tmpl w:val="D1FAE4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A9177EC"/>
    <w:multiLevelType w:val="hybridMultilevel"/>
    <w:tmpl w:val="CEAC46D0"/>
    <w:lvl w:ilvl="0" w:tplc="DCE2683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5"/>
  </w:num>
  <w:num w:numId="4">
    <w:abstractNumId w:val="7"/>
  </w:num>
  <w:num w:numId="5">
    <w:abstractNumId w:val="8"/>
  </w:num>
  <w:num w:numId="6">
    <w:abstractNumId w:val="2"/>
  </w:num>
  <w:num w:numId="7">
    <w:abstractNumId w:val="16"/>
  </w:num>
  <w:num w:numId="8">
    <w:abstractNumId w:val="10"/>
  </w:num>
  <w:num w:numId="9">
    <w:abstractNumId w:val="12"/>
  </w:num>
  <w:num w:numId="10">
    <w:abstractNumId w:val="11"/>
  </w:num>
  <w:num w:numId="11">
    <w:abstractNumId w:val="6"/>
  </w:num>
  <w:num w:numId="12">
    <w:abstractNumId w:val="1"/>
  </w:num>
  <w:num w:numId="13">
    <w:abstractNumId w:val="0"/>
  </w:num>
  <w:num w:numId="14">
    <w:abstractNumId w:val="3"/>
  </w:num>
  <w:num w:numId="15">
    <w:abstractNumId w:val="13"/>
  </w:num>
  <w:num w:numId="16">
    <w:abstractNumId w:val="14"/>
  </w:num>
  <w:num w:numId="17">
    <w:abstractNumId w:val="15"/>
  </w:num>
  <w:num w:numId="18">
    <w:abstractNumId w:val="9"/>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BC6"/>
    <w:rsid w:val="00013E70"/>
    <w:rsid w:val="000157DA"/>
    <w:rsid w:val="00020B89"/>
    <w:rsid w:val="00027D85"/>
    <w:rsid w:val="000473DB"/>
    <w:rsid w:val="0004777D"/>
    <w:rsid w:val="000504BC"/>
    <w:rsid w:val="0007061A"/>
    <w:rsid w:val="00074811"/>
    <w:rsid w:val="00077C67"/>
    <w:rsid w:val="000837F8"/>
    <w:rsid w:val="00085335"/>
    <w:rsid w:val="0009321F"/>
    <w:rsid w:val="000975B4"/>
    <w:rsid w:val="000A5CDD"/>
    <w:rsid w:val="000D06E7"/>
    <w:rsid w:val="000D0764"/>
    <w:rsid w:val="000D6018"/>
    <w:rsid w:val="000D7DD0"/>
    <w:rsid w:val="000F6CE3"/>
    <w:rsid w:val="00103E1C"/>
    <w:rsid w:val="0011040E"/>
    <w:rsid w:val="00113F76"/>
    <w:rsid w:val="00123D36"/>
    <w:rsid w:val="00125090"/>
    <w:rsid w:val="0013709C"/>
    <w:rsid w:val="00141394"/>
    <w:rsid w:val="00167663"/>
    <w:rsid w:val="0017347E"/>
    <w:rsid w:val="001739BF"/>
    <w:rsid w:val="00177836"/>
    <w:rsid w:val="00186C79"/>
    <w:rsid w:val="00194993"/>
    <w:rsid w:val="001B77D8"/>
    <w:rsid w:val="001D08D8"/>
    <w:rsid w:val="001D1D44"/>
    <w:rsid w:val="001D454E"/>
    <w:rsid w:val="001E295F"/>
    <w:rsid w:val="001E7272"/>
    <w:rsid w:val="0022159E"/>
    <w:rsid w:val="00225283"/>
    <w:rsid w:val="00233C22"/>
    <w:rsid w:val="00241C59"/>
    <w:rsid w:val="00262BC4"/>
    <w:rsid w:val="00273940"/>
    <w:rsid w:val="00276BC8"/>
    <w:rsid w:val="00286F92"/>
    <w:rsid w:val="00292BD1"/>
    <w:rsid w:val="00297AFD"/>
    <w:rsid w:val="002A492A"/>
    <w:rsid w:val="002B46DE"/>
    <w:rsid w:val="002F3B0D"/>
    <w:rsid w:val="002F76F9"/>
    <w:rsid w:val="0030120C"/>
    <w:rsid w:val="00307DFC"/>
    <w:rsid w:val="00307EC8"/>
    <w:rsid w:val="00320E8B"/>
    <w:rsid w:val="003339ED"/>
    <w:rsid w:val="00344582"/>
    <w:rsid w:val="00345473"/>
    <w:rsid w:val="00363584"/>
    <w:rsid w:val="003661C5"/>
    <w:rsid w:val="0037165B"/>
    <w:rsid w:val="003717FA"/>
    <w:rsid w:val="00372D76"/>
    <w:rsid w:val="00392435"/>
    <w:rsid w:val="003949E1"/>
    <w:rsid w:val="003B68B0"/>
    <w:rsid w:val="003C2F74"/>
    <w:rsid w:val="003D36A2"/>
    <w:rsid w:val="003F2BE5"/>
    <w:rsid w:val="003F4A53"/>
    <w:rsid w:val="003F7766"/>
    <w:rsid w:val="00402FE4"/>
    <w:rsid w:val="004318AE"/>
    <w:rsid w:val="004409AA"/>
    <w:rsid w:val="004434A6"/>
    <w:rsid w:val="00446894"/>
    <w:rsid w:val="00454048"/>
    <w:rsid w:val="00483350"/>
    <w:rsid w:val="00496D25"/>
    <w:rsid w:val="004A085E"/>
    <w:rsid w:val="004C6616"/>
    <w:rsid w:val="004E7CC2"/>
    <w:rsid w:val="004F1434"/>
    <w:rsid w:val="004F5AA1"/>
    <w:rsid w:val="00502431"/>
    <w:rsid w:val="00505779"/>
    <w:rsid w:val="00506825"/>
    <w:rsid w:val="00517DC0"/>
    <w:rsid w:val="00532BDE"/>
    <w:rsid w:val="00534FD6"/>
    <w:rsid w:val="0054796C"/>
    <w:rsid w:val="00562452"/>
    <w:rsid w:val="0057566F"/>
    <w:rsid w:val="00591461"/>
    <w:rsid w:val="0059465C"/>
    <w:rsid w:val="00597350"/>
    <w:rsid w:val="00597733"/>
    <w:rsid w:val="005C05D4"/>
    <w:rsid w:val="005C1335"/>
    <w:rsid w:val="005C749E"/>
    <w:rsid w:val="005D577E"/>
    <w:rsid w:val="005F37DC"/>
    <w:rsid w:val="005F7883"/>
    <w:rsid w:val="00614A1A"/>
    <w:rsid w:val="00641DE8"/>
    <w:rsid w:val="006424EF"/>
    <w:rsid w:val="006436F0"/>
    <w:rsid w:val="00667B64"/>
    <w:rsid w:val="00684B86"/>
    <w:rsid w:val="006A3C27"/>
    <w:rsid w:val="006B4ABE"/>
    <w:rsid w:val="006B5282"/>
    <w:rsid w:val="006D3634"/>
    <w:rsid w:val="006D755B"/>
    <w:rsid w:val="006E5DBD"/>
    <w:rsid w:val="006F0463"/>
    <w:rsid w:val="006F4A8F"/>
    <w:rsid w:val="006F7EE1"/>
    <w:rsid w:val="00715F93"/>
    <w:rsid w:val="00721913"/>
    <w:rsid w:val="00741A80"/>
    <w:rsid w:val="00756552"/>
    <w:rsid w:val="0079791D"/>
    <w:rsid w:val="007E3A43"/>
    <w:rsid w:val="007E3BB3"/>
    <w:rsid w:val="007F4643"/>
    <w:rsid w:val="007F5EB6"/>
    <w:rsid w:val="0080118A"/>
    <w:rsid w:val="00812A43"/>
    <w:rsid w:val="00821C57"/>
    <w:rsid w:val="00843DF7"/>
    <w:rsid w:val="00853FBF"/>
    <w:rsid w:val="008718F2"/>
    <w:rsid w:val="0088200D"/>
    <w:rsid w:val="008870B4"/>
    <w:rsid w:val="00893ABE"/>
    <w:rsid w:val="008A37BF"/>
    <w:rsid w:val="008B4F55"/>
    <w:rsid w:val="008E1705"/>
    <w:rsid w:val="008E29A7"/>
    <w:rsid w:val="008E48AF"/>
    <w:rsid w:val="008F5099"/>
    <w:rsid w:val="00901AE5"/>
    <w:rsid w:val="00920C08"/>
    <w:rsid w:val="00927484"/>
    <w:rsid w:val="00930581"/>
    <w:rsid w:val="009454BF"/>
    <w:rsid w:val="009509AC"/>
    <w:rsid w:val="00951293"/>
    <w:rsid w:val="00963B12"/>
    <w:rsid w:val="00973D92"/>
    <w:rsid w:val="0098214B"/>
    <w:rsid w:val="00992886"/>
    <w:rsid w:val="009A40AD"/>
    <w:rsid w:val="009B1C23"/>
    <w:rsid w:val="009E001C"/>
    <w:rsid w:val="009E3EA3"/>
    <w:rsid w:val="009E6A7C"/>
    <w:rsid w:val="009F5189"/>
    <w:rsid w:val="00A05F20"/>
    <w:rsid w:val="00A06574"/>
    <w:rsid w:val="00A21A7F"/>
    <w:rsid w:val="00A26FAB"/>
    <w:rsid w:val="00A3218D"/>
    <w:rsid w:val="00A33E39"/>
    <w:rsid w:val="00A46CDA"/>
    <w:rsid w:val="00A61C0F"/>
    <w:rsid w:val="00A62323"/>
    <w:rsid w:val="00A6624E"/>
    <w:rsid w:val="00A91697"/>
    <w:rsid w:val="00A943B1"/>
    <w:rsid w:val="00AA7B26"/>
    <w:rsid w:val="00AB3F90"/>
    <w:rsid w:val="00AD017D"/>
    <w:rsid w:val="00AD05A1"/>
    <w:rsid w:val="00AD6CA9"/>
    <w:rsid w:val="00AE66B1"/>
    <w:rsid w:val="00AF7A62"/>
    <w:rsid w:val="00B10257"/>
    <w:rsid w:val="00B22DB7"/>
    <w:rsid w:val="00B25EDC"/>
    <w:rsid w:val="00B46CEC"/>
    <w:rsid w:val="00B51003"/>
    <w:rsid w:val="00B55241"/>
    <w:rsid w:val="00B57F22"/>
    <w:rsid w:val="00B62C1E"/>
    <w:rsid w:val="00B75475"/>
    <w:rsid w:val="00BB13E1"/>
    <w:rsid w:val="00BB75E9"/>
    <w:rsid w:val="00BC2126"/>
    <w:rsid w:val="00BD141E"/>
    <w:rsid w:val="00BD4726"/>
    <w:rsid w:val="00C11697"/>
    <w:rsid w:val="00C22C28"/>
    <w:rsid w:val="00C251C1"/>
    <w:rsid w:val="00C300CD"/>
    <w:rsid w:val="00C54614"/>
    <w:rsid w:val="00C70A09"/>
    <w:rsid w:val="00CA1C1F"/>
    <w:rsid w:val="00CB17AC"/>
    <w:rsid w:val="00CC26CC"/>
    <w:rsid w:val="00CD62DC"/>
    <w:rsid w:val="00CD73E5"/>
    <w:rsid w:val="00CE6598"/>
    <w:rsid w:val="00CF3F1C"/>
    <w:rsid w:val="00D03BC6"/>
    <w:rsid w:val="00D07F05"/>
    <w:rsid w:val="00D101C5"/>
    <w:rsid w:val="00D14138"/>
    <w:rsid w:val="00D2091D"/>
    <w:rsid w:val="00D2402C"/>
    <w:rsid w:val="00D263F9"/>
    <w:rsid w:val="00D6275D"/>
    <w:rsid w:val="00D74AF5"/>
    <w:rsid w:val="00D86862"/>
    <w:rsid w:val="00D93BD8"/>
    <w:rsid w:val="00D976E5"/>
    <w:rsid w:val="00D97D68"/>
    <w:rsid w:val="00DA0412"/>
    <w:rsid w:val="00DB13E0"/>
    <w:rsid w:val="00DB2BDF"/>
    <w:rsid w:val="00DB3B86"/>
    <w:rsid w:val="00DD68EF"/>
    <w:rsid w:val="00DE18F1"/>
    <w:rsid w:val="00E134DA"/>
    <w:rsid w:val="00E2043D"/>
    <w:rsid w:val="00E226B7"/>
    <w:rsid w:val="00E27A22"/>
    <w:rsid w:val="00E52480"/>
    <w:rsid w:val="00E70416"/>
    <w:rsid w:val="00E84459"/>
    <w:rsid w:val="00E96E49"/>
    <w:rsid w:val="00EB46A6"/>
    <w:rsid w:val="00EE1A05"/>
    <w:rsid w:val="00EE428A"/>
    <w:rsid w:val="00EF1AF5"/>
    <w:rsid w:val="00EF6251"/>
    <w:rsid w:val="00F0210A"/>
    <w:rsid w:val="00F075B6"/>
    <w:rsid w:val="00F10CB9"/>
    <w:rsid w:val="00F27726"/>
    <w:rsid w:val="00F42E0F"/>
    <w:rsid w:val="00F5197A"/>
    <w:rsid w:val="00F54204"/>
    <w:rsid w:val="00F56A41"/>
    <w:rsid w:val="00F61474"/>
    <w:rsid w:val="00F77A89"/>
    <w:rsid w:val="00F81C09"/>
    <w:rsid w:val="00F93D76"/>
    <w:rsid w:val="00FA4384"/>
    <w:rsid w:val="00FC01DD"/>
    <w:rsid w:val="00FD400D"/>
    <w:rsid w:val="00FE1F16"/>
    <w:rsid w:val="00FE6644"/>
    <w:rsid w:val="00FE6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0BDC6"/>
  <w15:chartTrackingRefBased/>
  <w15:docId w15:val="{4FA13687-B0CA-4E48-AAFD-7BE979108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86862"/>
    <w:rPr>
      <w:rFonts w:ascii="Times New Roman" w:eastAsia="Times New Roman" w:hAnsi="Times New Roman" w:cs="Times New Roman"/>
      <w:lang w:eastAsia="de-DE"/>
    </w:rPr>
  </w:style>
  <w:style w:type="paragraph" w:styleId="berschrift3">
    <w:name w:val="heading 3"/>
    <w:basedOn w:val="Standard"/>
    <w:link w:val="berschrift3Zchn"/>
    <w:uiPriority w:val="9"/>
    <w:qFormat/>
    <w:rsid w:val="00DB3B86"/>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03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CC26CC"/>
    <w:pPr>
      <w:spacing w:after="200"/>
    </w:pPr>
    <w:rPr>
      <w:rFonts w:asciiTheme="minorHAnsi" w:eastAsiaTheme="minorHAnsi" w:hAnsiTheme="minorHAnsi" w:cstheme="minorBidi"/>
      <w:i/>
      <w:iCs/>
      <w:color w:val="44546A" w:themeColor="text2"/>
      <w:sz w:val="18"/>
      <w:szCs w:val="18"/>
      <w:lang w:eastAsia="en-US"/>
    </w:rPr>
  </w:style>
  <w:style w:type="paragraph" w:styleId="Listenabsatz">
    <w:name w:val="List Paragraph"/>
    <w:basedOn w:val="Standard"/>
    <w:uiPriority w:val="34"/>
    <w:qFormat/>
    <w:rsid w:val="006D755B"/>
    <w:pPr>
      <w:ind w:left="720"/>
      <w:contextualSpacing/>
    </w:pPr>
    <w:rPr>
      <w:rFonts w:asciiTheme="minorHAnsi" w:eastAsiaTheme="minorHAnsi" w:hAnsiTheme="minorHAnsi" w:cstheme="minorBidi"/>
      <w:lang w:eastAsia="en-US"/>
    </w:rPr>
  </w:style>
  <w:style w:type="paragraph" w:styleId="Kopfzeile">
    <w:name w:val="header"/>
    <w:basedOn w:val="Standard"/>
    <w:link w:val="KopfzeileZchn"/>
    <w:uiPriority w:val="99"/>
    <w:unhideWhenUsed/>
    <w:rsid w:val="00FE1F16"/>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FE1F16"/>
  </w:style>
  <w:style w:type="paragraph" w:styleId="Fuzeile">
    <w:name w:val="footer"/>
    <w:basedOn w:val="Standard"/>
    <w:link w:val="FuzeileZchn"/>
    <w:uiPriority w:val="99"/>
    <w:unhideWhenUsed/>
    <w:rsid w:val="00FE1F16"/>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FE1F16"/>
  </w:style>
  <w:style w:type="paragraph" w:customStyle="1" w:styleId="Literaturverzeichnis1">
    <w:name w:val="Literaturverzeichnis1"/>
    <w:basedOn w:val="Standard"/>
    <w:link w:val="BibliographyZchn"/>
    <w:rsid w:val="00641DE8"/>
    <w:pPr>
      <w:tabs>
        <w:tab w:val="left" w:pos="500"/>
      </w:tabs>
      <w:spacing w:after="240"/>
      <w:ind w:left="504" w:hanging="504"/>
    </w:pPr>
    <w:rPr>
      <w:rFonts w:asciiTheme="minorHAnsi" w:eastAsiaTheme="minorHAnsi" w:hAnsiTheme="minorHAnsi" w:cstheme="minorBidi"/>
      <w:lang w:val="en-US" w:eastAsia="en-US"/>
    </w:rPr>
  </w:style>
  <w:style w:type="character" w:customStyle="1" w:styleId="BibliographyZchn">
    <w:name w:val="Bibliography Zchn"/>
    <w:basedOn w:val="Absatz-Standardschriftart"/>
    <w:link w:val="Literaturverzeichnis1"/>
    <w:rsid w:val="00641DE8"/>
    <w:rPr>
      <w:lang w:val="en-US"/>
    </w:rPr>
  </w:style>
  <w:style w:type="character" w:styleId="Kommentarzeichen">
    <w:name w:val="annotation reference"/>
    <w:basedOn w:val="Absatz-Standardschriftart"/>
    <w:uiPriority w:val="99"/>
    <w:semiHidden/>
    <w:unhideWhenUsed/>
    <w:rsid w:val="0059465C"/>
    <w:rPr>
      <w:sz w:val="16"/>
      <w:szCs w:val="16"/>
    </w:rPr>
  </w:style>
  <w:style w:type="paragraph" w:styleId="Kommentartext">
    <w:name w:val="annotation text"/>
    <w:basedOn w:val="Standard"/>
    <w:link w:val="KommentartextZchn"/>
    <w:uiPriority w:val="99"/>
    <w:semiHidden/>
    <w:unhideWhenUsed/>
    <w:rsid w:val="0059465C"/>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59465C"/>
    <w:rPr>
      <w:sz w:val="20"/>
      <w:szCs w:val="20"/>
    </w:rPr>
  </w:style>
  <w:style w:type="paragraph" w:styleId="Kommentarthema">
    <w:name w:val="annotation subject"/>
    <w:basedOn w:val="Kommentartext"/>
    <w:next w:val="Kommentartext"/>
    <w:link w:val="KommentarthemaZchn"/>
    <w:uiPriority w:val="99"/>
    <w:semiHidden/>
    <w:unhideWhenUsed/>
    <w:rsid w:val="0059465C"/>
    <w:rPr>
      <w:b/>
      <w:bCs/>
    </w:rPr>
  </w:style>
  <w:style w:type="character" w:customStyle="1" w:styleId="KommentarthemaZchn">
    <w:name w:val="Kommentarthema Zchn"/>
    <w:basedOn w:val="KommentartextZchn"/>
    <w:link w:val="Kommentarthema"/>
    <w:uiPriority w:val="99"/>
    <w:semiHidden/>
    <w:rsid w:val="0059465C"/>
    <w:rPr>
      <w:b/>
      <w:bCs/>
      <w:sz w:val="20"/>
      <w:szCs w:val="20"/>
    </w:rPr>
  </w:style>
  <w:style w:type="paragraph" w:styleId="berarbeitung">
    <w:name w:val="Revision"/>
    <w:hidden/>
    <w:uiPriority w:val="99"/>
    <w:semiHidden/>
    <w:rsid w:val="0030120C"/>
  </w:style>
  <w:style w:type="character" w:customStyle="1" w:styleId="highlight">
    <w:name w:val="highlight"/>
    <w:basedOn w:val="Absatz-Standardschriftart"/>
    <w:rsid w:val="00E27A22"/>
  </w:style>
  <w:style w:type="character" w:customStyle="1" w:styleId="markedcontent">
    <w:name w:val="markedcontent"/>
    <w:basedOn w:val="Absatz-Standardschriftart"/>
    <w:rsid w:val="000D0764"/>
  </w:style>
  <w:style w:type="paragraph" w:styleId="StandardWeb">
    <w:name w:val="Normal (Web)"/>
    <w:basedOn w:val="Standard"/>
    <w:uiPriority w:val="99"/>
    <w:unhideWhenUsed/>
    <w:rsid w:val="006436F0"/>
    <w:pPr>
      <w:spacing w:before="100" w:beforeAutospacing="1" w:after="100" w:afterAutospacing="1"/>
    </w:pPr>
  </w:style>
  <w:style w:type="character" w:styleId="HTMLDefinition">
    <w:name w:val="HTML Definition"/>
    <w:basedOn w:val="Absatz-Standardschriftart"/>
    <w:uiPriority w:val="99"/>
    <w:semiHidden/>
    <w:unhideWhenUsed/>
    <w:rsid w:val="00D86862"/>
    <w:rPr>
      <w:i/>
      <w:iCs/>
    </w:rPr>
  </w:style>
  <w:style w:type="character" w:styleId="Hyperlink">
    <w:name w:val="Hyperlink"/>
    <w:basedOn w:val="Absatz-Standardschriftart"/>
    <w:uiPriority w:val="99"/>
    <w:semiHidden/>
    <w:unhideWhenUsed/>
    <w:rsid w:val="00D86862"/>
    <w:rPr>
      <w:color w:val="0000FF"/>
      <w:u w:val="single"/>
    </w:rPr>
  </w:style>
  <w:style w:type="character" w:customStyle="1" w:styleId="berschrift3Zchn">
    <w:name w:val="Überschrift 3 Zchn"/>
    <w:basedOn w:val="Absatz-Standardschriftart"/>
    <w:link w:val="berschrift3"/>
    <w:uiPriority w:val="9"/>
    <w:rsid w:val="00DB3B86"/>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18459">
      <w:bodyDiv w:val="1"/>
      <w:marLeft w:val="0"/>
      <w:marRight w:val="0"/>
      <w:marTop w:val="0"/>
      <w:marBottom w:val="0"/>
      <w:divBdr>
        <w:top w:val="none" w:sz="0" w:space="0" w:color="auto"/>
        <w:left w:val="none" w:sz="0" w:space="0" w:color="auto"/>
        <w:bottom w:val="none" w:sz="0" w:space="0" w:color="auto"/>
        <w:right w:val="none" w:sz="0" w:space="0" w:color="auto"/>
      </w:divBdr>
    </w:div>
    <w:div w:id="661591705">
      <w:bodyDiv w:val="1"/>
      <w:marLeft w:val="0"/>
      <w:marRight w:val="0"/>
      <w:marTop w:val="0"/>
      <w:marBottom w:val="0"/>
      <w:divBdr>
        <w:top w:val="none" w:sz="0" w:space="0" w:color="auto"/>
        <w:left w:val="none" w:sz="0" w:space="0" w:color="auto"/>
        <w:bottom w:val="none" w:sz="0" w:space="0" w:color="auto"/>
        <w:right w:val="none" w:sz="0" w:space="0" w:color="auto"/>
      </w:divBdr>
    </w:div>
    <w:div w:id="1095981520">
      <w:bodyDiv w:val="1"/>
      <w:marLeft w:val="0"/>
      <w:marRight w:val="0"/>
      <w:marTop w:val="0"/>
      <w:marBottom w:val="0"/>
      <w:divBdr>
        <w:top w:val="none" w:sz="0" w:space="0" w:color="auto"/>
        <w:left w:val="none" w:sz="0" w:space="0" w:color="auto"/>
        <w:bottom w:val="none" w:sz="0" w:space="0" w:color="auto"/>
        <w:right w:val="none" w:sz="0" w:space="0" w:color="auto"/>
      </w:divBdr>
    </w:div>
    <w:div w:id="1550149620">
      <w:bodyDiv w:val="1"/>
      <w:marLeft w:val="0"/>
      <w:marRight w:val="0"/>
      <w:marTop w:val="0"/>
      <w:marBottom w:val="0"/>
      <w:divBdr>
        <w:top w:val="none" w:sz="0" w:space="0" w:color="auto"/>
        <w:left w:val="none" w:sz="0" w:space="0" w:color="auto"/>
        <w:bottom w:val="none" w:sz="0" w:space="0" w:color="auto"/>
        <w:right w:val="none" w:sz="0" w:space="0" w:color="auto"/>
      </w:divBdr>
    </w:div>
    <w:div w:id="1568761546">
      <w:bodyDiv w:val="1"/>
      <w:marLeft w:val="0"/>
      <w:marRight w:val="0"/>
      <w:marTop w:val="0"/>
      <w:marBottom w:val="0"/>
      <w:divBdr>
        <w:top w:val="none" w:sz="0" w:space="0" w:color="auto"/>
        <w:left w:val="none" w:sz="0" w:space="0" w:color="auto"/>
        <w:bottom w:val="none" w:sz="0" w:space="0" w:color="auto"/>
        <w:right w:val="none" w:sz="0" w:space="0" w:color="auto"/>
      </w:divBdr>
    </w:div>
    <w:div w:id="1775009314">
      <w:bodyDiv w:val="1"/>
      <w:marLeft w:val="0"/>
      <w:marRight w:val="0"/>
      <w:marTop w:val="0"/>
      <w:marBottom w:val="0"/>
      <w:divBdr>
        <w:top w:val="none" w:sz="0" w:space="0" w:color="auto"/>
        <w:left w:val="none" w:sz="0" w:space="0" w:color="auto"/>
        <w:bottom w:val="none" w:sz="0" w:space="0" w:color="auto"/>
        <w:right w:val="none" w:sz="0" w:space="0" w:color="auto"/>
      </w:divBdr>
    </w:div>
    <w:div w:id="1853910643">
      <w:bodyDiv w:val="1"/>
      <w:marLeft w:val="0"/>
      <w:marRight w:val="0"/>
      <w:marTop w:val="0"/>
      <w:marBottom w:val="0"/>
      <w:divBdr>
        <w:top w:val="none" w:sz="0" w:space="0" w:color="auto"/>
        <w:left w:val="none" w:sz="0" w:space="0" w:color="auto"/>
        <w:bottom w:val="none" w:sz="0" w:space="0" w:color="auto"/>
        <w:right w:val="none" w:sz="0" w:space="0" w:color="auto"/>
      </w:divBdr>
    </w:div>
    <w:div w:id="195004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2690</Words>
  <Characters>16953</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Ingmar Fortmann</dc:creator>
  <cp:keywords/>
  <dc:description/>
  <cp:lastModifiedBy>Härtel, Christoph</cp:lastModifiedBy>
  <cp:revision>3</cp:revision>
  <dcterms:created xsi:type="dcterms:W3CDTF">2022-02-09T15:13:00Z</dcterms:created>
  <dcterms:modified xsi:type="dcterms:W3CDTF">2022-02-10T07:26:00Z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id="ZauVXsDd"/&gt;&lt;style id="http://www.zotero.org/styles/american-medical-association" hasBibliography="1" bibliographyStyleHasBeenSet="1"/&gt;&lt;prefs&gt;&lt;pref name="fieldType" value="Field"/&gt;&lt;pref name="au</vt:lpwstr>
  </property>
  <property fmtid="{D5CDD505-2E9C-101B-9397-08002B2CF9AE}" pid="3" name="ZOTERO_PREF_2">
    <vt:lpwstr>tomaticJournalAbbreviations" value="true"/&gt;&lt;pref name="dontAskDelayCitationUpdates" value="true"/&gt;&lt;/prefs&gt;&lt;/data&gt;</vt:lpwstr>
  </property>
</Properties>
</file>