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5C2BA" w14:textId="72A9BEFF" w:rsidR="00A92A74" w:rsidRPr="00E06CB1" w:rsidRDefault="00F2619A" w:rsidP="00EF1618">
      <w:pPr>
        <w:pStyle w:val="AuthorList"/>
        <w:spacing w:before="0" w:after="0"/>
        <w:ind w:left="426" w:right="396"/>
        <w:rPr>
          <w:rFonts w:eastAsia="Times New Roman"/>
          <w:b w:val="0"/>
          <w:sz w:val="20"/>
          <w:szCs w:val="20"/>
          <w:lang w:val="en-US"/>
        </w:rPr>
      </w:pPr>
      <w:bookmarkStart w:id="0" w:name="_Hlk212453848"/>
      <w:r w:rsidRPr="00E06CB1">
        <w:rPr>
          <w:sz w:val="20"/>
          <w:szCs w:val="20"/>
          <w:lang w:val="en-US"/>
        </w:rPr>
        <w:t xml:space="preserve">Article title: </w:t>
      </w:r>
      <w:r w:rsidRPr="00E06CB1">
        <w:rPr>
          <w:b w:val="0"/>
          <w:bCs/>
          <w:sz w:val="20"/>
          <w:szCs w:val="20"/>
          <w:lang w:val="en-US"/>
        </w:rPr>
        <w:t xml:space="preserve">Genomic insights into a new </w:t>
      </w:r>
      <w:r w:rsidRPr="00E06CB1">
        <w:rPr>
          <w:b w:val="0"/>
          <w:bCs/>
          <w:i/>
          <w:iCs/>
          <w:sz w:val="20"/>
          <w:szCs w:val="20"/>
          <w:lang w:val="en-US"/>
        </w:rPr>
        <w:t>Burkholderia cenocepacia</w:t>
      </w:r>
      <w:r w:rsidRPr="00E06CB1">
        <w:rPr>
          <w:b w:val="0"/>
          <w:bCs/>
          <w:sz w:val="20"/>
          <w:szCs w:val="20"/>
          <w:lang w:val="en-US"/>
        </w:rPr>
        <w:t xml:space="preserve"> sequence type linked to cepacia syndrome in cystic fibrosis</w:t>
      </w:r>
      <w:r w:rsidRPr="00E06CB1">
        <w:rPr>
          <w:sz w:val="20"/>
          <w:szCs w:val="20"/>
          <w:lang w:val="en-US"/>
        </w:rPr>
        <w:br/>
      </w:r>
      <w:r w:rsidRPr="00E06CB1">
        <w:rPr>
          <w:bCs/>
          <w:sz w:val="20"/>
          <w:szCs w:val="20"/>
          <w:lang w:val="en-US"/>
        </w:rPr>
        <w:t>Journal:</w:t>
      </w:r>
      <w:r w:rsidRPr="00E06CB1">
        <w:rPr>
          <w:sz w:val="20"/>
          <w:szCs w:val="20"/>
          <w:lang w:val="en-US"/>
        </w:rPr>
        <w:t xml:space="preserve"> </w:t>
      </w:r>
      <w:r w:rsidR="00E85FE7" w:rsidRPr="00E06CB1">
        <w:rPr>
          <w:b w:val="0"/>
          <w:bCs/>
          <w:sz w:val="20"/>
          <w:szCs w:val="20"/>
          <w:lang w:val="en-US"/>
        </w:rPr>
        <w:t>Current Microbiology</w:t>
      </w:r>
      <w:r w:rsidRPr="00E06CB1">
        <w:rPr>
          <w:sz w:val="20"/>
          <w:szCs w:val="20"/>
          <w:lang w:val="en-US"/>
        </w:rPr>
        <w:br/>
      </w:r>
      <w:bookmarkStart w:id="1" w:name="_Hlk212452251"/>
      <w:r w:rsidR="00A92A74" w:rsidRPr="00E06CB1">
        <w:rPr>
          <w:bCs/>
          <w:sz w:val="20"/>
          <w:szCs w:val="20"/>
          <w:lang w:val="en-US"/>
        </w:rPr>
        <w:t xml:space="preserve">Authors: </w:t>
      </w:r>
      <w:r w:rsidR="00A92A74" w:rsidRPr="00E06CB1">
        <w:rPr>
          <w:rFonts w:eastAsia="Times New Roman"/>
          <w:b w:val="0"/>
          <w:sz w:val="20"/>
          <w:szCs w:val="20"/>
          <w:lang w:val="en-US"/>
        </w:rPr>
        <w:t>Tatiane S. Xavier</w:t>
      </w:r>
      <w:r w:rsidR="00A92A74" w:rsidRPr="00E06CB1">
        <w:rPr>
          <w:rFonts w:eastAsia="Times New Roman"/>
          <w:b w:val="0"/>
          <w:sz w:val="20"/>
          <w:szCs w:val="20"/>
          <w:vertAlign w:val="superscript"/>
          <w:lang w:val="en-US"/>
        </w:rPr>
        <w:t>1</w:t>
      </w:r>
      <w:r w:rsidR="00A92A74" w:rsidRPr="00E06CB1">
        <w:rPr>
          <w:rFonts w:eastAsia="Times New Roman"/>
          <w:b w:val="0"/>
          <w:sz w:val="20"/>
          <w:szCs w:val="20"/>
          <w:lang w:val="en-US"/>
        </w:rPr>
        <w:t>, Felipe A. Simão</w:t>
      </w:r>
      <w:r w:rsidR="00A92A74" w:rsidRPr="00E06CB1">
        <w:rPr>
          <w:rFonts w:eastAsia="Times New Roman"/>
          <w:b w:val="0"/>
          <w:sz w:val="20"/>
          <w:szCs w:val="20"/>
          <w:vertAlign w:val="superscript"/>
          <w:lang w:val="en-US"/>
        </w:rPr>
        <w:t>1</w:t>
      </w:r>
      <w:r w:rsidR="00A92A74" w:rsidRPr="00E06CB1">
        <w:rPr>
          <w:rFonts w:eastAsia="Times New Roman"/>
          <w:b w:val="0"/>
          <w:sz w:val="20"/>
          <w:szCs w:val="20"/>
          <w:lang w:val="en-US"/>
        </w:rPr>
        <w:t>, Heloísa S. Rosa</w:t>
      </w:r>
      <w:r w:rsidR="00A92A74" w:rsidRPr="00E06CB1">
        <w:rPr>
          <w:rFonts w:eastAsia="Times New Roman"/>
          <w:b w:val="0"/>
          <w:sz w:val="20"/>
          <w:szCs w:val="20"/>
          <w:vertAlign w:val="superscript"/>
          <w:lang w:val="en-US"/>
        </w:rPr>
        <w:t>1</w:t>
      </w:r>
      <w:r w:rsidR="00A92A74" w:rsidRPr="00E06CB1">
        <w:rPr>
          <w:rFonts w:eastAsia="Times New Roman"/>
          <w:b w:val="0"/>
          <w:sz w:val="20"/>
          <w:szCs w:val="20"/>
          <w:lang w:val="en-US"/>
        </w:rPr>
        <w:t xml:space="preserve">, Jade </w:t>
      </w:r>
      <w:r w:rsidR="00D62899">
        <w:rPr>
          <w:rFonts w:eastAsia="Times New Roman"/>
          <w:b w:val="0"/>
          <w:sz w:val="20"/>
          <w:szCs w:val="20"/>
          <w:lang w:val="en-US"/>
        </w:rPr>
        <w:t xml:space="preserve">C. </w:t>
      </w:r>
      <w:r w:rsidR="00A92A74" w:rsidRPr="00E06CB1">
        <w:rPr>
          <w:rFonts w:eastAsia="Times New Roman"/>
          <w:b w:val="0"/>
          <w:sz w:val="20"/>
          <w:szCs w:val="20"/>
          <w:lang w:val="en-US"/>
        </w:rPr>
        <w:t>S. Colomer</w:t>
      </w:r>
      <w:r w:rsidR="00A92A74" w:rsidRPr="00E06CB1">
        <w:rPr>
          <w:rFonts w:eastAsia="Times New Roman"/>
          <w:b w:val="0"/>
          <w:sz w:val="20"/>
          <w:szCs w:val="20"/>
          <w:vertAlign w:val="superscript"/>
          <w:lang w:val="en-US"/>
        </w:rPr>
        <w:t>1</w:t>
      </w:r>
      <w:r w:rsidR="00A92A74" w:rsidRPr="00E06CB1">
        <w:rPr>
          <w:rFonts w:eastAsia="Times New Roman"/>
          <w:b w:val="0"/>
          <w:sz w:val="20"/>
          <w:szCs w:val="20"/>
          <w:lang w:val="en-US"/>
        </w:rPr>
        <w:t>, Renata W. Cohen</w:t>
      </w:r>
      <w:r w:rsidR="00A92A74" w:rsidRPr="00E06CB1">
        <w:rPr>
          <w:rFonts w:eastAsia="Times New Roman"/>
          <w:b w:val="0"/>
          <w:sz w:val="20"/>
          <w:szCs w:val="20"/>
          <w:vertAlign w:val="superscript"/>
          <w:lang w:val="en-US"/>
        </w:rPr>
        <w:t>2</w:t>
      </w:r>
      <w:r w:rsidR="00A92A74" w:rsidRPr="00E06CB1">
        <w:rPr>
          <w:rFonts w:eastAsia="Times New Roman"/>
          <w:b w:val="0"/>
          <w:sz w:val="20"/>
          <w:szCs w:val="20"/>
          <w:lang w:val="en-US"/>
        </w:rPr>
        <w:t>, Tânia W. Folescu</w:t>
      </w:r>
      <w:r w:rsidR="00A92A74" w:rsidRPr="00E06CB1">
        <w:rPr>
          <w:rFonts w:eastAsia="Times New Roman"/>
          <w:b w:val="0"/>
          <w:sz w:val="20"/>
          <w:szCs w:val="20"/>
          <w:vertAlign w:val="superscript"/>
          <w:lang w:val="en-US"/>
        </w:rPr>
        <w:t>2</w:t>
      </w:r>
      <w:r w:rsidR="00A92A74" w:rsidRPr="00E06CB1">
        <w:rPr>
          <w:rFonts w:eastAsia="Times New Roman"/>
          <w:b w:val="0"/>
          <w:sz w:val="20"/>
          <w:szCs w:val="20"/>
          <w:lang w:val="en-US"/>
        </w:rPr>
        <w:t xml:space="preserve">, </w:t>
      </w:r>
      <w:r w:rsidR="00D62899" w:rsidRPr="00D62899">
        <w:rPr>
          <w:rFonts w:eastAsia="Times New Roman"/>
          <w:b w:val="0"/>
          <w:sz w:val="20"/>
          <w:szCs w:val="20"/>
        </w:rPr>
        <w:t>Ana Paula D’A. Carvalho-Assef</w:t>
      </w:r>
      <w:r w:rsidR="00D62899" w:rsidRPr="00D62899">
        <w:rPr>
          <w:rFonts w:eastAsia="Times New Roman"/>
          <w:b w:val="0"/>
          <w:sz w:val="20"/>
          <w:szCs w:val="20"/>
          <w:vertAlign w:val="superscript"/>
        </w:rPr>
        <w:t>3</w:t>
      </w:r>
      <w:r w:rsidR="00A92A74" w:rsidRPr="00E06CB1">
        <w:rPr>
          <w:rFonts w:eastAsia="Times New Roman"/>
          <w:b w:val="0"/>
          <w:sz w:val="20"/>
          <w:szCs w:val="20"/>
          <w:lang w:val="en-US"/>
        </w:rPr>
        <w:t>, Robson S. Leão</w:t>
      </w:r>
      <w:r w:rsidR="00A92A74" w:rsidRPr="00E06CB1">
        <w:rPr>
          <w:rFonts w:eastAsia="Times New Roman"/>
          <w:b w:val="0"/>
          <w:sz w:val="20"/>
          <w:szCs w:val="20"/>
          <w:vertAlign w:val="superscript"/>
          <w:lang w:val="en-US"/>
        </w:rPr>
        <w:t>1</w:t>
      </w:r>
      <w:r w:rsidR="00A92A74" w:rsidRPr="00E06CB1">
        <w:rPr>
          <w:rFonts w:eastAsia="Times New Roman"/>
          <w:b w:val="0"/>
          <w:sz w:val="20"/>
          <w:szCs w:val="20"/>
          <w:lang w:val="en-US"/>
        </w:rPr>
        <w:t xml:space="preserve"> and Elizabeth A. Marques</w:t>
      </w:r>
      <w:r w:rsidR="00A92A74" w:rsidRPr="00E06CB1">
        <w:rPr>
          <w:rFonts w:eastAsia="Times New Roman"/>
          <w:b w:val="0"/>
          <w:sz w:val="20"/>
          <w:szCs w:val="20"/>
          <w:vertAlign w:val="superscript"/>
          <w:lang w:val="en-US"/>
        </w:rPr>
        <w:t>1*</w:t>
      </w:r>
      <w:r w:rsidR="00A92A74" w:rsidRPr="00E06CB1">
        <w:rPr>
          <w:rFonts w:eastAsia="Times New Roman"/>
          <w:b w:val="0"/>
          <w:sz w:val="20"/>
          <w:szCs w:val="20"/>
          <w:lang w:val="en-US"/>
        </w:rPr>
        <w:t xml:space="preserve"> </w:t>
      </w:r>
      <w:bookmarkEnd w:id="1"/>
    </w:p>
    <w:p w14:paraId="2D4C22B4" w14:textId="1F2C92C6" w:rsidR="00A92A74" w:rsidRPr="00E06CB1" w:rsidRDefault="00A92A74" w:rsidP="00EF1618">
      <w:pPr>
        <w:spacing w:before="0" w:after="0"/>
        <w:ind w:left="426" w:right="396"/>
        <w:rPr>
          <w:rFonts w:eastAsia="Times New Roman" w:cs="Times New Roman"/>
          <w:sz w:val="20"/>
          <w:szCs w:val="20"/>
        </w:rPr>
      </w:pPr>
      <w:r w:rsidRPr="00E06CB1">
        <w:rPr>
          <w:rFonts w:cs="Times New Roman"/>
          <w:b/>
          <w:bCs/>
          <w:sz w:val="20"/>
          <w:szCs w:val="20"/>
        </w:rPr>
        <w:t xml:space="preserve">Affiliation: </w:t>
      </w:r>
      <w:r w:rsidRPr="00E06CB1">
        <w:rPr>
          <w:rFonts w:eastAsia="Times New Roman" w:cs="Times New Roman"/>
          <w:sz w:val="20"/>
          <w:szCs w:val="20"/>
          <w:vertAlign w:val="superscript"/>
        </w:rPr>
        <w:t xml:space="preserve">1 </w:t>
      </w:r>
      <w:bookmarkStart w:id="2" w:name="_Hlk212452313"/>
      <w:r w:rsidRPr="00E06CB1">
        <w:rPr>
          <w:rFonts w:eastAsia="Times New Roman" w:cs="Times New Roman"/>
          <w:sz w:val="20"/>
          <w:szCs w:val="20"/>
        </w:rPr>
        <w:t>Laboratório de Microbiologia da Fibrose Cística, Departamento de Microbiologia, Imunologia e Parasitologia, Faculdade de Ciências Médicas, Universidade do Estado do Rio de Janeiro, Rio de Janeiro, Brazil.</w:t>
      </w:r>
      <w:bookmarkEnd w:id="2"/>
    </w:p>
    <w:p w14:paraId="5CDC11A8" w14:textId="77777777" w:rsidR="00A92A74" w:rsidRPr="00E06CB1" w:rsidRDefault="00A92A74" w:rsidP="00EF1618">
      <w:pPr>
        <w:spacing w:before="0" w:after="0"/>
        <w:ind w:left="426" w:right="396"/>
        <w:rPr>
          <w:rFonts w:eastAsia="Times New Roman" w:cs="Times New Roman"/>
          <w:sz w:val="20"/>
          <w:szCs w:val="20"/>
        </w:rPr>
      </w:pPr>
      <w:r w:rsidRPr="00E06CB1">
        <w:rPr>
          <w:rFonts w:eastAsia="Times New Roman" w:cs="Times New Roman"/>
          <w:sz w:val="20"/>
          <w:szCs w:val="20"/>
          <w:vertAlign w:val="superscript"/>
        </w:rPr>
        <w:t xml:space="preserve">2 </w:t>
      </w:r>
      <w:r w:rsidRPr="00E06CB1">
        <w:rPr>
          <w:rFonts w:eastAsia="Times New Roman" w:cs="Times New Roman"/>
          <w:sz w:val="20"/>
          <w:szCs w:val="20"/>
        </w:rPr>
        <w:t>Instituto Nacional de Saúde da Mulher, da Criança e do Adolescente Fernandes Figueira, Centro de Referência para Crianças e Adolescentes com Fibrose Cística – Ministério da Saúde, Fundação Oswaldo Cruz, Rio de Janeiro, Brazil.</w:t>
      </w:r>
    </w:p>
    <w:p w14:paraId="2E35994F" w14:textId="4204A502" w:rsidR="00F2619A" w:rsidRPr="00E06CB1" w:rsidRDefault="00A92A74" w:rsidP="00EF1618">
      <w:pPr>
        <w:spacing w:before="0" w:after="0"/>
        <w:ind w:left="426" w:right="396"/>
        <w:rPr>
          <w:rFonts w:eastAsia="Times New Roman" w:cs="Times New Roman"/>
          <w:sz w:val="20"/>
          <w:szCs w:val="20"/>
        </w:rPr>
      </w:pPr>
      <w:r w:rsidRPr="00E06CB1">
        <w:rPr>
          <w:rFonts w:eastAsia="Times New Roman" w:cs="Times New Roman"/>
          <w:sz w:val="20"/>
          <w:szCs w:val="20"/>
          <w:vertAlign w:val="superscript"/>
        </w:rPr>
        <w:t>3</w:t>
      </w:r>
      <w:r w:rsidRPr="00E06CB1">
        <w:rPr>
          <w:rFonts w:eastAsia="Times New Roman" w:cs="Times New Roman"/>
          <w:sz w:val="20"/>
          <w:szCs w:val="20"/>
        </w:rPr>
        <w:t xml:space="preserve"> Laboratório de Bacteriologia Aplicada à Saúde Única e Resistência Antimicrobiana, Instituto Oswaldo Cruz, Rio de Janeiro, Brazil.</w:t>
      </w:r>
      <w:r w:rsidR="00F2619A" w:rsidRPr="00E06CB1">
        <w:rPr>
          <w:rFonts w:cs="Times New Roman"/>
          <w:sz w:val="20"/>
          <w:szCs w:val="20"/>
        </w:rPr>
        <w:br/>
      </w:r>
      <w:r w:rsidR="00F2619A" w:rsidRPr="00E06CB1">
        <w:rPr>
          <w:rFonts w:cs="Times New Roman"/>
          <w:b/>
          <w:bCs/>
          <w:sz w:val="20"/>
          <w:szCs w:val="20"/>
        </w:rPr>
        <w:t>Corresponding author:</w:t>
      </w:r>
      <w:r w:rsidR="00F2619A" w:rsidRPr="00E06CB1">
        <w:rPr>
          <w:rFonts w:cs="Times New Roman"/>
          <w:sz w:val="20"/>
          <w:szCs w:val="20"/>
        </w:rPr>
        <w:t xml:space="preserve"> </w:t>
      </w:r>
      <w:bookmarkStart w:id="3" w:name="_Hlk212453766"/>
      <w:r w:rsidR="00F2619A" w:rsidRPr="00E06CB1">
        <w:rPr>
          <w:rFonts w:eastAsia="Times New Roman" w:cs="Times New Roman"/>
          <w:sz w:val="20"/>
          <w:szCs w:val="20"/>
        </w:rPr>
        <w:t>Elizabeth A. Marques (</w:t>
      </w:r>
      <w:bookmarkEnd w:id="3"/>
      <w:r w:rsidR="00E85FE7" w:rsidRPr="00E06CB1">
        <w:rPr>
          <w:rFonts w:eastAsia="Times New Roman" w:cs="Times New Roman"/>
          <w:sz w:val="20"/>
          <w:szCs w:val="20"/>
        </w:rPr>
        <w:t>marbe@uerj.br)</w:t>
      </w:r>
    </w:p>
    <w:bookmarkEnd w:id="0"/>
    <w:p w14:paraId="0AD8EB1E" w14:textId="77777777" w:rsidR="00F2619A" w:rsidRPr="00E06CB1" w:rsidRDefault="00F2619A" w:rsidP="00EF1618">
      <w:pPr>
        <w:ind w:left="426"/>
      </w:pPr>
    </w:p>
    <w:tbl>
      <w:tblPr>
        <w:tblStyle w:val="Tabelacomgrade"/>
        <w:tblW w:w="13198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3543"/>
        <w:gridCol w:w="1077"/>
        <w:gridCol w:w="1077"/>
        <w:gridCol w:w="1077"/>
        <w:gridCol w:w="1077"/>
        <w:gridCol w:w="1077"/>
        <w:gridCol w:w="1077"/>
        <w:gridCol w:w="1071"/>
      </w:tblGrid>
      <w:tr w:rsidR="007C7A1E" w:rsidRPr="00E06CB1" w14:paraId="784DA84A" w14:textId="77777777" w:rsidTr="00F12B69">
        <w:trPr>
          <w:jc w:val="center"/>
        </w:trPr>
        <w:tc>
          <w:tcPr>
            <w:tcW w:w="131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C421B3" w14:textId="1C5B8831" w:rsidR="007C7A1E" w:rsidRPr="00E06CB1" w:rsidRDefault="00EA1FC3" w:rsidP="00EF1618">
            <w:pPr>
              <w:spacing w:before="0" w:after="0"/>
              <w:ind w:left="-105" w:right="-88"/>
              <w:jc w:val="both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Supplementary table S2</w:t>
            </w:r>
            <w:r w:rsidR="007C7A1E" w:rsidRPr="00E06CB1">
              <w:rPr>
                <w:rFonts w:cs="Times New Roman"/>
                <w:sz w:val="20"/>
                <w:szCs w:val="20"/>
              </w:rPr>
              <w:t xml:space="preserve"> </w:t>
            </w:r>
            <w:r w:rsidR="00A92A74" w:rsidRPr="00E06CB1">
              <w:rPr>
                <w:rFonts w:cs="Times New Roman"/>
                <w:sz w:val="20"/>
                <w:szCs w:val="20"/>
              </w:rPr>
              <w:t xml:space="preserve">Putative antimicrobial resistance determinants in five </w:t>
            </w:r>
            <w:r w:rsidR="00A92A74" w:rsidRPr="00E06CB1">
              <w:rPr>
                <w:rFonts w:cs="Times New Roman"/>
                <w:i/>
                <w:iCs/>
                <w:sz w:val="20"/>
                <w:szCs w:val="20"/>
              </w:rPr>
              <w:t>Burkholderia cenocepacia</w:t>
            </w:r>
            <w:r w:rsidR="00A92A74" w:rsidRPr="00E06CB1">
              <w:rPr>
                <w:rFonts w:cs="Times New Roman"/>
                <w:sz w:val="20"/>
                <w:szCs w:val="20"/>
              </w:rPr>
              <w:t xml:space="preserve"> clinical isolates compared with those annotated in the reference strains </w:t>
            </w:r>
            <w:r w:rsidR="00E9743D" w:rsidRPr="00121A04">
              <w:rPr>
                <w:rFonts w:cs="Times New Roman"/>
                <w:i/>
                <w:iCs/>
                <w:sz w:val="20"/>
                <w:szCs w:val="20"/>
              </w:rPr>
              <w:t>B. cenocepacia</w:t>
            </w:r>
            <w:r w:rsidR="00E9743D">
              <w:rPr>
                <w:rFonts w:cs="Times New Roman"/>
                <w:sz w:val="20"/>
                <w:szCs w:val="20"/>
              </w:rPr>
              <w:t xml:space="preserve"> </w:t>
            </w:r>
            <w:r w:rsidR="00A92A74" w:rsidRPr="00E06CB1">
              <w:rPr>
                <w:rFonts w:cs="Times New Roman"/>
                <w:sz w:val="20"/>
                <w:szCs w:val="20"/>
              </w:rPr>
              <w:t xml:space="preserve">J2315 and </w:t>
            </w:r>
            <w:r w:rsidR="00E9743D" w:rsidRPr="00121A04">
              <w:rPr>
                <w:rFonts w:cs="Times New Roman"/>
                <w:i/>
                <w:iCs/>
                <w:sz w:val="20"/>
                <w:szCs w:val="20"/>
              </w:rPr>
              <w:t>B. cenocepacia</w:t>
            </w:r>
            <w:r w:rsidR="00E9743D">
              <w:rPr>
                <w:rFonts w:cs="Times New Roman"/>
                <w:sz w:val="20"/>
                <w:szCs w:val="20"/>
              </w:rPr>
              <w:t xml:space="preserve"> </w:t>
            </w:r>
            <w:r w:rsidR="00A92A74" w:rsidRPr="00E06CB1">
              <w:rPr>
                <w:rFonts w:cs="Times New Roman"/>
                <w:sz w:val="20"/>
                <w:szCs w:val="20"/>
              </w:rPr>
              <w:t>ST32</w:t>
            </w:r>
          </w:p>
        </w:tc>
      </w:tr>
      <w:tr w:rsidR="00806E23" w:rsidRPr="00E06CB1" w14:paraId="010ABFB5" w14:textId="77777777" w:rsidTr="00F12B69">
        <w:trPr>
          <w:jc w:val="center"/>
        </w:trPr>
        <w:tc>
          <w:tcPr>
            <w:tcW w:w="2122" w:type="dxa"/>
            <w:tcBorders>
              <w:top w:val="single" w:sz="4" w:space="0" w:color="auto"/>
            </w:tcBorders>
            <w:vAlign w:val="center"/>
          </w:tcPr>
          <w:p w14:paraId="02E4DF7B" w14:textId="77777777" w:rsidR="00806E23" w:rsidRPr="00E06CB1" w:rsidRDefault="00806E23" w:rsidP="00806E23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14:paraId="215E228A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Product encoded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335FCC19" w14:textId="277EEB84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3424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7D259BE4" w14:textId="5892C31B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3442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26DA7E9A" w14:textId="58950EA4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3443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2737AEB1" w14:textId="141E450F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3412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1E35807D" w14:textId="47732A71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3415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058EFA21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J2315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14:paraId="591E78BD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ST32</w:t>
            </w:r>
          </w:p>
        </w:tc>
      </w:tr>
      <w:tr w:rsidR="00806E23" w:rsidRPr="00E06CB1" w14:paraId="2440DC60" w14:textId="77777777" w:rsidTr="00F12B69">
        <w:trPr>
          <w:jc w:val="center"/>
        </w:trPr>
        <w:tc>
          <w:tcPr>
            <w:tcW w:w="13198" w:type="dxa"/>
            <w:gridSpan w:val="9"/>
            <w:vAlign w:val="center"/>
          </w:tcPr>
          <w:p w14:paraId="14693C74" w14:textId="77777777" w:rsidR="00806E23" w:rsidRPr="00E06CB1" w:rsidRDefault="00806E23" w:rsidP="00806E23">
            <w:pPr>
              <w:spacing w:before="0" w:after="0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Antibiotic inactivation enzyme</w:t>
            </w:r>
          </w:p>
        </w:tc>
      </w:tr>
      <w:tr w:rsidR="00806E23" w:rsidRPr="00E06CB1" w14:paraId="2A4DB9DA" w14:textId="77777777" w:rsidTr="00F12B69">
        <w:trPr>
          <w:trHeight w:val="572"/>
          <w:jc w:val="center"/>
        </w:trPr>
        <w:tc>
          <w:tcPr>
            <w:tcW w:w="2122" w:type="dxa"/>
            <w:vAlign w:val="center"/>
          </w:tcPr>
          <w:p w14:paraId="6753109F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sz w:val="20"/>
                <w:szCs w:val="20"/>
              </w:rPr>
              <w:t>aac(6')-Ib/</w:t>
            </w:r>
            <w:proofErr w:type="gramStart"/>
            <w:r w:rsidRPr="00E06CB1">
              <w:rPr>
                <w:rFonts w:cs="Times New Roman"/>
                <w:i/>
                <w:iCs/>
                <w:sz w:val="20"/>
                <w:szCs w:val="20"/>
              </w:rPr>
              <w:t>aac(</w:t>
            </w:r>
            <w:proofErr w:type="gramEnd"/>
            <w:r w:rsidRPr="00E06CB1">
              <w:rPr>
                <w:rFonts w:cs="Times New Roman"/>
                <w:i/>
                <w:iCs/>
                <w:sz w:val="20"/>
                <w:szCs w:val="20"/>
              </w:rPr>
              <w:t>6')-II</w:t>
            </w:r>
          </w:p>
        </w:tc>
        <w:tc>
          <w:tcPr>
            <w:tcW w:w="3543" w:type="dxa"/>
            <w:vAlign w:val="center"/>
          </w:tcPr>
          <w:p w14:paraId="78B19FBA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  <w:lang w:val="pt-BR"/>
              </w:rPr>
              <w:t xml:space="preserve">Aminoglycoside </w:t>
            </w:r>
            <w:proofErr w:type="gramStart"/>
            <w:r w:rsidRPr="00E06CB1">
              <w:rPr>
                <w:rFonts w:cs="Times New Roman"/>
                <w:sz w:val="20"/>
                <w:szCs w:val="20"/>
                <w:lang w:val="pt-BR"/>
              </w:rPr>
              <w:t>N(</w:t>
            </w:r>
            <w:proofErr w:type="gramEnd"/>
            <w:r w:rsidRPr="00E06CB1">
              <w:rPr>
                <w:rFonts w:cs="Times New Roman"/>
                <w:sz w:val="20"/>
                <w:szCs w:val="20"/>
                <w:lang w:val="pt-BR"/>
              </w:rPr>
              <w:t>6</w:t>
            </w:r>
            <w:proofErr w:type="gramStart"/>
            <w:r w:rsidRPr="00E06CB1">
              <w:rPr>
                <w:rFonts w:cs="Times New Roman"/>
                <w:sz w:val="20"/>
                <w:szCs w:val="20"/>
                <w:lang w:val="pt-BR"/>
              </w:rPr>
              <w:t>')-</w:t>
            </w:r>
            <w:proofErr w:type="gramEnd"/>
            <w:r w:rsidRPr="00E06CB1">
              <w:rPr>
                <w:rFonts w:cs="Times New Roman"/>
                <w:sz w:val="20"/>
                <w:szCs w:val="20"/>
                <w:lang w:val="pt-BR"/>
              </w:rPr>
              <w:t>acetyltransferase</w:t>
            </w:r>
          </w:p>
        </w:tc>
        <w:tc>
          <w:tcPr>
            <w:tcW w:w="1077" w:type="dxa"/>
            <w:vAlign w:val="center"/>
          </w:tcPr>
          <w:p w14:paraId="5149A3BF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11BB5EC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F1EE8E9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FDA2C1B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FDACC38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7D953F7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071" w:type="dxa"/>
            <w:vAlign w:val="center"/>
          </w:tcPr>
          <w:p w14:paraId="7776F97A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806E23" w:rsidRPr="00E06CB1" w14:paraId="33C237DE" w14:textId="77777777" w:rsidTr="00F12B69">
        <w:trPr>
          <w:jc w:val="center"/>
        </w:trPr>
        <w:tc>
          <w:tcPr>
            <w:tcW w:w="2122" w:type="dxa"/>
            <w:vAlign w:val="center"/>
          </w:tcPr>
          <w:p w14:paraId="02DFB5D8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sz w:val="20"/>
                <w:szCs w:val="20"/>
              </w:rPr>
              <w:t>aph(3')-II/</w:t>
            </w:r>
            <w:proofErr w:type="gramStart"/>
            <w:r w:rsidRPr="00E06CB1">
              <w:rPr>
                <w:rFonts w:cs="Times New Roman"/>
                <w:i/>
                <w:iCs/>
                <w:sz w:val="20"/>
                <w:szCs w:val="20"/>
              </w:rPr>
              <w:t>aph(</w:t>
            </w:r>
            <w:proofErr w:type="gramEnd"/>
            <w:r w:rsidRPr="00E06CB1">
              <w:rPr>
                <w:rFonts w:cs="Times New Roman"/>
                <w:i/>
                <w:iCs/>
                <w:sz w:val="20"/>
                <w:szCs w:val="20"/>
              </w:rPr>
              <w:t>3')-XV</w:t>
            </w:r>
          </w:p>
        </w:tc>
        <w:tc>
          <w:tcPr>
            <w:tcW w:w="3543" w:type="dxa"/>
            <w:vAlign w:val="center"/>
          </w:tcPr>
          <w:p w14:paraId="5B4FC42F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Aminoglycoside 3'-phosphotransferase</w:t>
            </w:r>
          </w:p>
        </w:tc>
        <w:tc>
          <w:tcPr>
            <w:tcW w:w="1077" w:type="dxa"/>
            <w:vAlign w:val="center"/>
          </w:tcPr>
          <w:p w14:paraId="1E261911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69C716D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AB82AAE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64A250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57AA8BA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DA7A9BC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442753AF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39E22885" w14:textId="77777777" w:rsidTr="00F12B69">
        <w:trPr>
          <w:jc w:val="center"/>
        </w:trPr>
        <w:tc>
          <w:tcPr>
            <w:tcW w:w="2122" w:type="dxa"/>
            <w:vAlign w:val="center"/>
          </w:tcPr>
          <w:p w14:paraId="3CE60A94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sz w:val="20"/>
                <w:szCs w:val="20"/>
              </w:rPr>
              <w:t>penA</w:t>
            </w:r>
          </w:p>
        </w:tc>
        <w:tc>
          <w:tcPr>
            <w:tcW w:w="3543" w:type="dxa"/>
            <w:vAlign w:val="center"/>
          </w:tcPr>
          <w:p w14:paraId="60309BD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Class A beta-lactamase</w:t>
            </w:r>
          </w:p>
        </w:tc>
        <w:tc>
          <w:tcPr>
            <w:tcW w:w="1077" w:type="dxa"/>
            <w:vAlign w:val="center"/>
          </w:tcPr>
          <w:p w14:paraId="43D688C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84A0AB2" w14:textId="68ED7B45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B88FE5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191575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FD0B6C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5014BD6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5DC7179F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71F1F065" w14:textId="77777777" w:rsidTr="00F12B69">
        <w:trPr>
          <w:jc w:val="center"/>
        </w:trPr>
        <w:tc>
          <w:tcPr>
            <w:tcW w:w="2122" w:type="dxa"/>
            <w:vAlign w:val="center"/>
          </w:tcPr>
          <w:p w14:paraId="34395686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sz w:val="20"/>
                <w:szCs w:val="20"/>
              </w:rPr>
              <w:t>ampC</w:t>
            </w:r>
          </w:p>
        </w:tc>
        <w:tc>
          <w:tcPr>
            <w:tcW w:w="3543" w:type="dxa"/>
            <w:vAlign w:val="center"/>
          </w:tcPr>
          <w:p w14:paraId="16B9353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Class C beta-lactamase</w:t>
            </w:r>
          </w:p>
        </w:tc>
        <w:tc>
          <w:tcPr>
            <w:tcW w:w="1077" w:type="dxa"/>
            <w:vAlign w:val="center"/>
          </w:tcPr>
          <w:p w14:paraId="5A3B2CFC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B39AD9E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EC659B8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A6CC115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9382948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A94834D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6E7DFA23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77155CBC" w14:textId="77777777" w:rsidTr="00F12B69">
        <w:trPr>
          <w:jc w:val="center"/>
        </w:trPr>
        <w:tc>
          <w:tcPr>
            <w:tcW w:w="2122" w:type="dxa"/>
            <w:vAlign w:val="center"/>
          </w:tcPr>
          <w:p w14:paraId="69A0513E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OXA</w:t>
            </w:r>
          </w:p>
        </w:tc>
        <w:tc>
          <w:tcPr>
            <w:tcW w:w="3543" w:type="dxa"/>
            <w:vAlign w:val="center"/>
          </w:tcPr>
          <w:p w14:paraId="4659AFC9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Class D beta-lactamase</w:t>
            </w:r>
          </w:p>
        </w:tc>
        <w:tc>
          <w:tcPr>
            <w:tcW w:w="1077" w:type="dxa"/>
            <w:vAlign w:val="center"/>
          </w:tcPr>
          <w:p w14:paraId="79B979F3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B884780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62BECD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E28D64F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FB25A0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833D93E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6821E32E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806E23" w:rsidRPr="00E06CB1" w14:paraId="1B26D4AE" w14:textId="77777777" w:rsidTr="00F12B69">
        <w:trPr>
          <w:jc w:val="center"/>
        </w:trPr>
        <w:tc>
          <w:tcPr>
            <w:tcW w:w="2122" w:type="dxa"/>
            <w:vAlign w:val="center"/>
          </w:tcPr>
          <w:p w14:paraId="09939043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aadA</w:t>
            </w:r>
          </w:p>
        </w:tc>
        <w:tc>
          <w:tcPr>
            <w:tcW w:w="3543" w:type="dxa"/>
            <w:vAlign w:val="center"/>
          </w:tcPr>
          <w:p w14:paraId="7D120678" w14:textId="799EEF56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 xml:space="preserve">Aminoglycoside </w:t>
            </w:r>
            <w:proofErr w:type="gramStart"/>
            <w:r w:rsidRPr="00E06CB1">
              <w:rPr>
                <w:rFonts w:cs="Times New Roman"/>
                <w:color w:val="000000"/>
                <w:sz w:val="20"/>
                <w:szCs w:val="20"/>
              </w:rPr>
              <w:t>3''</w:t>
            </w:r>
            <w:proofErr w:type="gramEnd"/>
            <w:r w:rsidRPr="00E06CB1">
              <w:rPr>
                <w:rFonts w:cs="Times New Roman"/>
                <w:color w:val="000000"/>
                <w:sz w:val="20"/>
                <w:szCs w:val="20"/>
              </w:rPr>
              <w:t>-nucleotidyltransferase</w:t>
            </w:r>
          </w:p>
        </w:tc>
        <w:tc>
          <w:tcPr>
            <w:tcW w:w="1077" w:type="dxa"/>
            <w:vAlign w:val="center"/>
          </w:tcPr>
          <w:p w14:paraId="378F2946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A2F29B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E5F14CF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0AE3B2B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7209EA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973A285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071" w:type="dxa"/>
            <w:vAlign w:val="center"/>
          </w:tcPr>
          <w:p w14:paraId="542E9C16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806E23" w:rsidRPr="00E06CB1" w14:paraId="7857EEAE" w14:textId="77777777" w:rsidTr="00F12B69">
        <w:trPr>
          <w:jc w:val="center"/>
        </w:trPr>
        <w:tc>
          <w:tcPr>
            <w:tcW w:w="2122" w:type="dxa"/>
            <w:vAlign w:val="center"/>
          </w:tcPr>
          <w:p w14:paraId="3BB9E523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659845F5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Aminoglycoside 6-phosphotransferase, putative</w:t>
            </w:r>
          </w:p>
        </w:tc>
        <w:tc>
          <w:tcPr>
            <w:tcW w:w="1077" w:type="dxa"/>
            <w:vAlign w:val="center"/>
          </w:tcPr>
          <w:p w14:paraId="1DC0A478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272489E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55891A3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1D81BEB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AB3E0F6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1CA07FF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5EA1982D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3D3CCC23" w14:textId="77777777" w:rsidTr="00F12B69">
        <w:trPr>
          <w:jc w:val="center"/>
        </w:trPr>
        <w:tc>
          <w:tcPr>
            <w:tcW w:w="13198" w:type="dxa"/>
            <w:gridSpan w:val="9"/>
            <w:vAlign w:val="center"/>
          </w:tcPr>
          <w:p w14:paraId="606C7E79" w14:textId="77777777" w:rsidR="00806E23" w:rsidRPr="00E06CB1" w:rsidRDefault="00806E23" w:rsidP="00806E23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Antibiotic target in susceptible species</w:t>
            </w:r>
          </w:p>
        </w:tc>
      </w:tr>
      <w:tr w:rsidR="00806E23" w:rsidRPr="00E06CB1" w14:paraId="2D51665C" w14:textId="77777777" w:rsidTr="00F12B69">
        <w:trPr>
          <w:jc w:val="center"/>
        </w:trPr>
        <w:tc>
          <w:tcPr>
            <w:tcW w:w="2122" w:type="dxa"/>
            <w:vAlign w:val="center"/>
          </w:tcPr>
          <w:p w14:paraId="60702EEF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MurA</w:t>
            </w:r>
          </w:p>
        </w:tc>
        <w:tc>
          <w:tcPr>
            <w:tcW w:w="3543" w:type="dxa"/>
            <w:vAlign w:val="center"/>
          </w:tcPr>
          <w:p w14:paraId="4AC566F5" w14:textId="6150BE4F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UDP-N-acetylglucosamine 1-carboxyvinyltransferase</w:t>
            </w:r>
          </w:p>
        </w:tc>
        <w:tc>
          <w:tcPr>
            <w:tcW w:w="1077" w:type="dxa"/>
            <w:vAlign w:val="center"/>
          </w:tcPr>
          <w:p w14:paraId="120BA09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31BB32A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8B53FF4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C634A7C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82D3E88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AC4A5D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151A4EE5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21E408EF" w14:textId="77777777" w:rsidTr="00F12B69">
        <w:trPr>
          <w:jc w:val="center"/>
        </w:trPr>
        <w:tc>
          <w:tcPr>
            <w:tcW w:w="2122" w:type="dxa"/>
            <w:vAlign w:val="center"/>
          </w:tcPr>
          <w:p w14:paraId="26D08F9F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EF-G, EF-Tu</w:t>
            </w:r>
          </w:p>
        </w:tc>
        <w:tc>
          <w:tcPr>
            <w:tcW w:w="3543" w:type="dxa"/>
            <w:vAlign w:val="center"/>
          </w:tcPr>
          <w:p w14:paraId="2A228315" w14:textId="71A1D781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Translation elongation</w:t>
            </w:r>
          </w:p>
        </w:tc>
        <w:tc>
          <w:tcPr>
            <w:tcW w:w="1077" w:type="dxa"/>
            <w:vAlign w:val="center"/>
          </w:tcPr>
          <w:p w14:paraId="090B7893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81D5EDF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9CD3EB8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1EBEB0B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2A4C270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5C41A6E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6F36BC55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74B70DFC" w14:textId="77777777" w:rsidTr="00F12B69">
        <w:trPr>
          <w:jc w:val="center"/>
        </w:trPr>
        <w:tc>
          <w:tcPr>
            <w:tcW w:w="2122" w:type="dxa"/>
            <w:vAlign w:val="center"/>
          </w:tcPr>
          <w:p w14:paraId="44377CA2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Dxr</w:t>
            </w:r>
          </w:p>
        </w:tc>
        <w:tc>
          <w:tcPr>
            <w:tcW w:w="3543" w:type="dxa"/>
            <w:vAlign w:val="center"/>
          </w:tcPr>
          <w:p w14:paraId="1FB53B74" w14:textId="68D564E6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1-deoxy-D-xylulose 5-phosphate reductoisomerase</w:t>
            </w:r>
          </w:p>
        </w:tc>
        <w:tc>
          <w:tcPr>
            <w:tcW w:w="1077" w:type="dxa"/>
            <w:vAlign w:val="center"/>
          </w:tcPr>
          <w:p w14:paraId="06B69A80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651CD4F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B3E1B0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89EBDE6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CE7CD70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3C113F5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512788C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75D93868" w14:textId="77777777" w:rsidTr="00F12B69">
        <w:trPr>
          <w:jc w:val="center"/>
        </w:trPr>
        <w:tc>
          <w:tcPr>
            <w:tcW w:w="2122" w:type="dxa"/>
            <w:vAlign w:val="center"/>
          </w:tcPr>
          <w:p w14:paraId="2DA078A1" w14:textId="5F3E1EB9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proofErr w:type="gramStart"/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gyrA,gyrB</w:t>
            </w:r>
            <w:proofErr w:type="gramEnd"/>
          </w:p>
        </w:tc>
        <w:tc>
          <w:tcPr>
            <w:tcW w:w="3543" w:type="dxa"/>
            <w:vAlign w:val="center"/>
          </w:tcPr>
          <w:p w14:paraId="00408A8A" w14:textId="5D8CC144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DNA gyrase</w:t>
            </w:r>
          </w:p>
        </w:tc>
        <w:tc>
          <w:tcPr>
            <w:tcW w:w="1077" w:type="dxa"/>
            <w:vAlign w:val="center"/>
          </w:tcPr>
          <w:p w14:paraId="470F7FA3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8A07033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DFD3089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53BFA1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8F55996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77A8944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52F0AAE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1C22DF4C" w14:textId="77777777" w:rsidTr="00F12B69">
        <w:trPr>
          <w:jc w:val="center"/>
        </w:trPr>
        <w:tc>
          <w:tcPr>
            <w:tcW w:w="2122" w:type="dxa"/>
            <w:vAlign w:val="center"/>
          </w:tcPr>
          <w:p w14:paraId="2955DB7A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Iso-tRNA</w:t>
            </w:r>
          </w:p>
        </w:tc>
        <w:tc>
          <w:tcPr>
            <w:tcW w:w="3543" w:type="dxa"/>
            <w:vAlign w:val="center"/>
          </w:tcPr>
          <w:p w14:paraId="5DD1AE29" w14:textId="7BDF3540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Isoleucyl-tRNA synthetase</w:t>
            </w:r>
          </w:p>
        </w:tc>
        <w:tc>
          <w:tcPr>
            <w:tcW w:w="1077" w:type="dxa"/>
            <w:vAlign w:val="center"/>
          </w:tcPr>
          <w:p w14:paraId="501348BD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EDA5F7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A8C314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F4BC96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97A9FB4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04D9F13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2CDC57D9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7B7F0C41" w14:textId="77777777" w:rsidTr="00F12B69">
        <w:trPr>
          <w:jc w:val="center"/>
        </w:trPr>
        <w:tc>
          <w:tcPr>
            <w:tcW w:w="2122" w:type="dxa"/>
            <w:vAlign w:val="center"/>
          </w:tcPr>
          <w:p w14:paraId="00DD3AAF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sz w:val="20"/>
                <w:szCs w:val="20"/>
              </w:rPr>
              <w:lastRenderedPageBreak/>
              <w:t>rpsJ, rpsL</w:t>
            </w:r>
          </w:p>
        </w:tc>
        <w:tc>
          <w:tcPr>
            <w:tcW w:w="3543" w:type="dxa"/>
            <w:vAlign w:val="center"/>
          </w:tcPr>
          <w:p w14:paraId="4220F768" w14:textId="3D0AD980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  <w:lang w:val="pt-BR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  <w:lang w:val="pt-BR"/>
              </w:rPr>
              <w:t xml:space="preserve">SSU ribosomal protein S10p e </w:t>
            </w: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  <w:lang w:val="pt-BR"/>
              </w:rPr>
              <w:t>S12p</w:t>
            </w:r>
          </w:p>
        </w:tc>
        <w:tc>
          <w:tcPr>
            <w:tcW w:w="1077" w:type="dxa"/>
            <w:vAlign w:val="center"/>
          </w:tcPr>
          <w:p w14:paraId="05C0349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9AE41B3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D1B3662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8023CF2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8E8E6C2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9E967F5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4A4606C8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4BC1D7E4" w14:textId="77777777" w:rsidTr="00F12B69">
        <w:trPr>
          <w:jc w:val="center"/>
        </w:trPr>
        <w:tc>
          <w:tcPr>
            <w:tcW w:w="2122" w:type="dxa"/>
            <w:vAlign w:val="center"/>
          </w:tcPr>
          <w:p w14:paraId="54062581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rpoB, rpoC</w:t>
            </w:r>
          </w:p>
        </w:tc>
        <w:tc>
          <w:tcPr>
            <w:tcW w:w="3543" w:type="dxa"/>
            <w:vAlign w:val="center"/>
          </w:tcPr>
          <w:p w14:paraId="0AD9A480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DNA-directed RNA polymerase beta' subunit</w:t>
            </w:r>
          </w:p>
        </w:tc>
        <w:tc>
          <w:tcPr>
            <w:tcW w:w="1077" w:type="dxa"/>
            <w:vAlign w:val="center"/>
          </w:tcPr>
          <w:p w14:paraId="5A8885C9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2814E34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5A2071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3F6F444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405B8BC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A8CCA95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46447824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7F5DC774" w14:textId="77777777" w:rsidTr="00F12B69">
        <w:trPr>
          <w:jc w:val="center"/>
        </w:trPr>
        <w:tc>
          <w:tcPr>
            <w:tcW w:w="2122" w:type="dxa"/>
            <w:vAlign w:val="center"/>
          </w:tcPr>
          <w:p w14:paraId="6684255C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Alr</w:t>
            </w:r>
          </w:p>
        </w:tc>
        <w:tc>
          <w:tcPr>
            <w:tcW w:w="3543" w:type="dxa"/>
            <w:vAlign w:val="center"/>
          </w:tcPr>
          <w:p w14:paraId="769A2AF6" w14:textId="6446EA13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Alanine racemase</w:t>
            </w:r>
          </w:p>
        </w:tc>
        <w:tc>
          <w:tcPr>
            <w:tcW w:w="1077" w:type="dxa"/>
            <w:vAlign w:val="center"/>
          </w:tcPr>
          <w:p w14:paraId="136F18D4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818416D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592C638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ACB2118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DC16BE3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054B8F6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1D487283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5D183B41" w14:textId="77777777" w:rsidTr="00F12B69">
        <w:trPr>
          <w:jc w:val="center"/>
        </w:trPr>
        <w:tc>
          <w:tcPr>
            <w:tcW w:w="2122" w:type="dxa"/>
            <w:vAlign w:val="center"/>
          </w:tcPr>
          <w:p w14:paraId="4BB9B25D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Ddl</w:t>
            </w:r>
          </w:p>
        </w:tc>
        <w:tc>
          <w:tcPr>
            <w:tcW w:w="3543" w:type="dxa"/>
            <w:vAlign w:val="center"/>
          </w:tcPr>
          <w:p w14:paraId="2DFC7221" w14:textId="0F8ECE4C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D-alanine--D-alanine ligase</w:t>
            </w:r>
          </w:p>
        </w:tc>
        <w:tc>
          <w:tcPr>
            <w:tcW w:w="1077" w:type="dxa"/>
            <w:vAlign w:val="center"/>
          </w:tcPr>
          <w:p w14:paraId="48B31562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9482FB0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15A39AD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D6340F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3BF4600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BED5B52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1BD53328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68E400D7" w14:textId="77777777" w:rsidTr="00F12B69">
        <w:trPr>
          <w:jc w:val="center"/>
        </w:trPr>
        <w:tc>
          <w:tcPr>
            <w:tcW w:w="2122" w:type="dxa"/>
            <w:vAlign w:val="center"/>
          </w:tcPr>
          <w:p w14:paraId="05A60F86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kasA</w:t>
            </w:r>
          </w:p>
        </w:tc>
        <w:tc>
          <w:tcPr>
            <w:tcW w:w="3543" w:type="dxa"/>
            <w:vAlign w:val="center"/>
          </w:tcPr>
          <w:p w14:paraId="4EAE322A" w14:textId="748CE298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3-oxoacyl-[acyl-carrier-protein] synthase, KASII</w:t>
            </w:r>
          </w:p>
        </w:tc>
        <w:tc>
          <w:tcPr>
            <w:tcW w:w="1077" w:type="dxa"/>
            <w:vAlign w:val="center"/>
          </w:tcPr>
          <w:p w14:paraId="0BC74EB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823E466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3FE0B0D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3FABE14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55ABC44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4F53C9E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5F2350E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618B3C3D" w14:textId="77777777" w:rsidTr="00F12B69">
        <w:trPr>
          <w:jc w:val="center"/>
        </w:trPr>
        <w:tc>
          <w:tcPr>
            <w:tcW w:w="2122" w:type="dxa"/>
            <w:vAlign w:val="center"/>
          </w:tcPr>
          <w:p w14:paraId="0E011E29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Rho</w:t>
            </w:r>
          </w:p>
        </w:tc>
        <w:tc>
          <w:tcPr>
            <w:tcW w:w="3543" w:type="dxa"/>
            <w:vAlign w:val="center"/>
          </w:tcPr>
          <w:p w14:paraId="5BEECD8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Transcription termination factor Rho</w:t>
            </w:r>
          </w:p>
        </w:tc>
        <w:tc>
          <w:tcPr>
            <w:tcW w:w="1077" w:type="dxa"/>
            <w:vAlign w:val="center"/>
          </w:tcPr>
          <w:p w14:paraId="734EBA0F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E44B66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D15747E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B22C3A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FB92BF2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DD7BEED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38C46609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4CC5D14A" w14:textId="77777777" w:rsidTr="00F12B69">
        <w:trPr>
          <w:jc w:val="center"/>
        </w:trPr>
        <w:tc>
          <w:tcPr>
            <w:tcW w:w="2122" w:type="dxa"/>
            <w:vAlign w:val="center"/>
          </w:tcPr>
          <w:p w14:paraId="3592C940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folA, Dfr</w:t>
            </w:r>
          </w:p>
        </w:tc>
        <w:tc>
          <w:tcPr>
            <w:tcW w:w="3543" w:type="dxa"/>
            <w:vAlign w:val="center"/>
          </w:tcPr>
          <w:p w14:paraId="5B3F74F7" w14:textId="5BDDC8C5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Dihydrofolate reductase</w:t>
            </w:r>
          </w:p>
        </w:tc>
        <w:tc>
          <w:tcPr>
            <w:tcW w:w="1077" w:type="dxa"/>
            <w:vAlign w:val="center"/>
          </w:tcPr>
          <w:p w14:paraId="2C7703F8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CE00B92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A28CF0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A9A5A04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E7C2092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AFA6812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437724A6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63D69CBC" w14:textId="77777777" w:rsidTr="00F12B69">
        <w:trPr>
          <w:jc w:val="center"/>
        </w:trPr>
        <w:tc>
          <w:tcPr>
            <w:tcW w:w="2122" w:type="dxa"/>
            <w:vAlign w:val="center"/>
          </w:tcPr>
          <w:p w14:paraId="5BFAEDAE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folP</w:t>
            </w:r>
          </w:p>
        </w:tc>
        <w:tc>
          <w:tcPr>
            <w:tcW w:w="3543" w:type="dxa"/>
            <w:vAlign w:val="center"/>
          </w:tcPr>
          <w:p w14:paraId="447D1855" w14:textId="666C089A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Dihydropteroate synthase</w:t>
            </w:r>
          </w:p>
        </w:tc>
        <w:tc>
          <w:tcPr>
            <w:tcW w:w="1077" w:type="dxa"/>
            <w:vAlign w:val="center"/>
          </w:tcPr>
          <w:p w14:paraId="0E1B52D8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945D36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6CBF355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942C059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0D9E03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17B5534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338080B6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48673BF0" w14:textId="77777777" w:rsidTr="00F12B69">
        <w:trPr>
          <w:jc w:val="center"/>
        </w:trPr>
        <w:tc>
          <w:tcPr>
            <w:tcW w:w="13198" w:type="dxa"/>
            <w:gridSpan w:val="9"/>
            <w:vAlign w:val="center"/>
          </w:tcPr>
          <w:p w14:paraId="3B47B13D" w14:textId="77777777" w:rsidR="00806E23" w:rsidRPr="00E06CB1" w:rsidRDefault="00806E23" w:rsidP="00806E23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Efflux pump conferring antibiotic resistance</w:t>
            </w:r>
          </w:p>
        </w:tc>
      </w:tr>
      <w:tr w:rsidR="00806E23" w:rsidRPr="00E06CB1" w14:paraId="6282031E" w14:textId="77777777" w:rsidTr="00F12B69">
        <w:trPr>
          <w:jc w:val="center"/>
        </w:trPr>
        <w:tc>
          <w:tcPr>
            <w:tcW w:w="2122" w:type="dxa"/>
            <w:vAlign w:val="center"/>
          </w:tcPr>
          <w:p w14:paraId="3B734AAB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EmrAB-TolC</w:t>
            </w:r>
          </w:p>
        </w:tc>
        <w:tc>
          <w:tcPr>
            <w:tcW w:w="3543" w:type="dxa"/>
            <w:vAlign w:val="center"/>
          </w:tcPr>
          <w:p w14:paraId="51044BDA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Multidrug efflux system EmrAB-OMF, inner-membrane proton/drug antiporter EmrB (MFS type)</w:t>
            </w:r>
          </w:p>
        </w:tc>
        <w:tc>
          <w:tcPr>
            <w:tcW w:w="1077" w:type="dxa"/>
            <w:vAlign w:val="center"/>
          </w:tcPr>
          <w:p w14:paraId="2CDEB9D8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78C7087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1C5DBCF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E8E7C45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B426EBC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E9EEBF3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31CEB853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77E68FC8" w14:textId="77777777" w:rsidTr="00F12B69">
        <w:trPr>
          <w:jc w:val="center"/>
        </w:trPr>
        <w:tc>
          <w:tcPr>
            <w:tcW w:w="2122" w:type="dxa"/>
            <w:vAlign w:val="center"/>
          </w:tcPr>
          <w:p w14:paraId="30BE943B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MexXY-OMP</w:t>
            </w:r>
          </w:p>
        </w:tc>
        <w:tc>
          <w:tcPr>
            <w:tcW w:w="3543" w:type="dxa"/>
            <w:vAlign w:val="center"/>
          </w:tcPr>
          <w:p w14:paraId="1A49585A" w14:textId="5992F062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Multidrug efflux system, membrane fusion component</w:t>
            </w:r>
          </w:p>
        </w:tc>
        <w:tc>
          <w:tcPr>
            <w:tcW w:w="1077" w:type="dxa"/>
            <w:vAlign w:val="center"/>
          </w:tcPr>
          <w:p w14:paraId="0ACF4206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C24A50A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4DC47B3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1B77A6B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6E00CEC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C5CA078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5884C0D5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2B890278" w14:textId="77777777" w:rsidTr="00F12B69">
        <w:trPr>
          <w:jc w:val="center"/>
        </w:trPr>
        <w:tc>
          <w:tcPr>
            <w:tcW w:w="2122" w:type="dxa"/>
            <w:vAlign w:val="center"/>
          </w:tcPr>
          <w:p w14:paraId="6326D4C7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MdtABC-TolC</w:t>
            </w:r>
          </w:p>
        </w:tc>
        <w:tc>
          <w:tcPr>
            <w:tcW w:w="3543" w:type="dxa"/>
            <w:vAlign w:val="center"/>
          </w:tcPr>
          <w:p w14:paraId="63BDD080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Multidrug efflux system MdtABC-TolC, inner-membrane proton/drug antiporter MdtC (RND type)</w:t>
            </w:r>
          </w:p>
        </w:tc>
        <w:tc>
          <w:tcPr>
            <w:tcW w:w="1077" w:type="dxa"/>
            <w:vAlign w:val="center"/>
          </w:tcPr>
          <w:p w14:paraId="03F4A229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AFDA256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F4993DC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4BA37DC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6FDE41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5231E4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3F4DECF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4EEE9E51" w14:textId="77777777" w:rsidTr="00F12B69">
        <w:trPr>
          <w:jc w:val="center"/>
        </w:trPr>
        <w:tc>
          <w:tcPr>
            <w:tcW w:w="2122" w:type="dxa"/>
            <w:vAlign w:val="center"/>
          </w:tcPr>
          <w:p w14:paraId="423092A8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MdtABC-OMF, EmrAB-OMF</w:t>
            </w:r>
          </w:p>
        </w:tc>
        <w:tc>
          <w:tcPr>
            <w:tcW w:w="3543" w:type="dxa"/>
            <w:vAlign w:val="center"/>
          </w:tcPr>
          <w:p w14:paraId="5C77016F" w14:textId="751CC3C7" w:rsidR="00806E23" w:rsidRPr="00E06CB1" w:rsidRDefault="00806E23" w:rsidP="00806E23">
            <w:pPr>
              <w:spacing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Outer membrane factor (OMF) lipoprotein</w:t>
            </w:r>
          </w:p>
        </w:tc>
        <w:tc>
          <w:tcPr>
            <w:tcW w:w="1077" w:type="dxa"/>
            <w:vAlign w:val="center"/>
          </w:tcPr>
          <w:p w14:paraId="5C7EE753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B7D397E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E133E2F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3457FBF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C4280B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E513E34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6DCC3A89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28FDC3CC" w14:textId="77777777" w:rsidTr="00F12B69">
        <w:trPr>
          <w:jc w:val="center"/>
        </w:trPr>
        <w:tc>
          <w:tcPr>
            <w:tcW w:w="2122" w:type="dxa"/>
            <w:vAlign w:val="center"/>
          </w:tcPr>
          <w:p w14:paraId="333C6FB4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MacB</w:t>
            </w:r>
          </w:p>
        </w:tc>
        <w:tc>
          <w:tcPr>
            <w:tcW w:w="3543" w:type="dxa"/>
            <w:vAlign w:val="center"/>
          </w:tcPr>
          <w:p w14:paraId="309623E8" w14:textId="6B8FA3E0" w:rsidR="00806E23" w:rsidRPr="00E06CB1" w:rsidRDefault="00806E23" w:rsidP="00806E23">
            <w:pPr>
              <w:spacing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Macrolide export ATP-binding/permease protein</w:t>
            </w:r>
          </w:p>
        </w:tc>
        <w:tc>
          <w:tcPr>
            <w:tcW w:w="1077" w:type="dxa"/>
            <w:vAlign w:val="center"/>
          </w:tcPr>
          <w:p w14:paraId="0AEC5B1E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8704D9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75D5C7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3B12D6D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F28938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2B06F38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25A794A2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42458918" w14:textId="77777777" w:rsidTr="00F12B69">
        <w:trPr>
          <w:jc w:val="center"/>
        </w:trPr>
        <w:tc>
          <w:tcPr>
            <w:tcW w:w="2122" w:type="dxa"/>
            <w:vAlign w:val="center"/>
          </w:tcPr>
          <w:p w14:paraId="2A4D44C0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MacA</w:t>
            </w:r>
          </w:p>
        </w:tc>
        <w:tc>
          <w:tcPr>
            <w:tcW w:w="3543" w:type="dxa"/>
            <w:vAlign w:val="center"/>
          </w:tcPr>
          <w:p w14:paraId="715332D8" w14:textId="008EA883" w:rsidR="00806E23" w:rsidRPr="00E06CB1" w:rsidRDefault="00806E23" w:rsidP="00806E23">
            <w:pPr>
              <w:spacing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Macrolide-specific efflux</w:t>
            </w:r>
          </w:p>
        </w:tc>
        <w:tc>
          <w:tcPr>
            <w:tcW w:w="1077" w:type="dxa"/>
            <w:vAlign w:val="center"/>
          </w:tcPr>
          <w:p w14:paraId="1FD2720C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76DE749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E4ECCCF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014139E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D4155F7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E8B95BC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6BFC1F3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498A10B8" w14:textId="77777777" w:rsidTr="00F12B69">
        <w:trPr>
          <w:jc w:val="center"/>
        </w:trPr>
        <w:tc>
          <w:tcPr>
            <w:tcW w:w="2122" w:type="dxa"/>
            <w:vAlign w:val="center"/>
          </w:tcPr>
          <w:p w14:paraId="00A945F3" w14:textId="77777777" w:rsidR="00806E23" w:rsidRPr="00E06CB1" w:rsidRDefault="00806E23" w:rsidP="00806E23">
            <w:pPr>
              <w:tabs>
                <w:tab w:val="left" w:pos="1095"/>
              </w:tabs>
              <w:spacing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ceoB</w:t>
            </w:r>
          </w:p>
        </w:tc>
        <w:tc>
          <w:tcPr>
            <w:tcW w:w="3543" w:type="dxa"/>
            <w:vAlign w:val="center"/>
          </w:tcPr>
          <w:p w14:paraId="78ED21C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RND efflux system, inner membrane transporter</w:t>
            </w:r>
          </w:p>
        </w:tc>
        <w:tc>
          <w:tcPr>
            <w:tcW w:w="1077" w:type="dxa"/>
            <w:vAlign w:val="center"/>
          </w:tcPr>
          <w:p w14:paraId="3C362A29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4FC3BF1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B94463F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257B37B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98D524B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D9AF492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5CA5390A" w14:textId="77777777" w:rsidR="00806E23" w:rsidRPr="00E06CB1" w:rsidRDefault="00806E23" w:rsidP="00806E2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1570A79A" w14:textId="77777777" w:rsidTr="00F12B69">
        <w:trPr>
          <w:jc w:val="center"/>
        </w:trPr>
        <w:tc>
          <w:tcPr>
            <w:tcW w:w="13198" w:type="dxa"/>
            <w:gridSpan w:val="9"/>
            <w:vAlign w:val="center"/>
          </w:tcPr>
          <w:p w14:paraId="50B045C0" w14:textId="77777777" w:rsidR="00806E23" w:rsidRPr="00E06CB1" w:rsidRDefault="00806E23" w:rsidP="00806E23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Regulator modulating expression of antibiotic resistance genes</w:t>
            </w:r>
          </w:p>
        </w:tc>
      </w:tr>
      <w:tr w:rsidR="00806E23" w:rsidRPr="00E06CB1" w14:paraId="0A115509" w14:textId="77777777" w:rsidTr="00F12B69">
        <w:trPr>
          <w:jc w:val="center"/>
        </w:trPr>
        <w:tc>
          <w:tcPr>
            <w:tcW w:w="2122" w:type="dxa"/>
            <w:vAlign w:val="center"/>
          </w:tcPr>
          <w:p w14:paraId="1DDA720C" w14:textId="7E3A93AD" w:rsidR="00806E23" w:rsidRPr="00E06CB1" w:rsidRDefault="00635E84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hns</w:t>
            </w:r>
          </w:p>
        </w:tc>
        <w:tc>
          <w:tcPr>
            <w:tcW w:w="3543" w:type="dxa"/>
            <w:vAlign w:val="center"/>
          </w:tcPr>
          <w:p w14:paraId="60560B8D" w14:textId="7BE35EDC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DNA-binding protein</w:t>
            </w:r>
          </w:p>
        </w:tc>
        <w:tc>
          <w:tcPr>
            <w:tcW w:w="1077" w:type="dxa"/>
            <w:vAlign w:val="center"/>
          </w:tcPr>
          <w:p w14:paraId="60060E37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35C46B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610F806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407E475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DD43406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0DC83A6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66B35D5B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3C26836A" w14:textId="77777777" w:rsidTr="00F12B69">
        <w:trPr>
          <w:jc w:val="center"/>
        </w:trPr>
        <w:tc>
          <w:tcPr>
            <w:tcW w:w="2122" w:type="dxa"/>
            <w:vAlign w:val="center"/>
          </w:tcPr>
          <w:p w14:paraId="55F8001A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OxyR</w:t>
            </w:r>
          </w:p>
        </w:tc>
        <w:tc>
          <w:tcPr>
            <w:tcW w:w="3543" w:type="dxa"/>
            <w:vAlign w:val="center"/>
          </w:tcPr>
          <w:p w14:paraId="2628CA60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Hydrogen peroxide-inducible genes activator</w:t>
            </w:r>
          </w:p>
        </w:tc>
        <w:tc>
          <w:tcPr>
            <w:tcW w:w="1077" w:type="dxa"/>
            <w:vAlign w:val="center"/>
          </w:tcPr>
          <w:p w14:paraId="05E8920E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637DA0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7B35E09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72B5AE8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54B55BE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6251D3C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48DF5E03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1CF37FB0" w14:textId="77777777" w:rsidTr="00F12B69">
        <w:trPr>
          <w:jc w:val="center"/>
        </w:trPr>
        <w:tc>
          <w:tcPr>
            <w:tcW w:w="13198" w:type="dxa"/>
            <w:gridSpan w:val="9"/>
            <w:vAlign w:val="center"/>
          </w:tcPr>
          <w:p w14:paraId="2C8C49AF" w14:textId="77777777" w:rsidR="00806E23" w:rsidRPr="00E06CB1" w:rsidRDefault="00806E23" w:rsidP="00806E23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Protein modulating permeability to antibiotic</w:t>
            </w:r>
          </w:p>
        </w:tc>
      </w:tr>
      <w:tr w:rsidR="00806E23" w:rsidRPr="00E06CB1" w14:paraId="32F8B04A" w14:textId="77777777" w:rsidTr="00F12B69">
        <w:trPr>
          <w:jc w:val="center"/>
        </w:trPr>
        <w:tc>
          <w:tcPr>
            <w:tcW w:w="2122" w:type="dxa"/>
            <w:vAlign w:val="center"/>
          </w:tcPr>
          <w:p w14:paraId="447656DB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OprB, OprD</w:t>
            </w:r>
          </w:p>
        </w:tc>
        <w:tc>
          <w:tcPr>
            <w:tcW w:w="3543" w:type="dxa"/>
            <w:vAlign w:val="center"/>
          </w:tcPr>
          <w:p w14:paraId="0AEEFA2F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Outer membrane low permeability porin</w:t>
            </w:r>
          </w:p>
        </w:tc>
        <w:tc>
          <w:tcPr>
            <w:tcW w:w="1077" w:type="dxa"/>
            <w:vAlign w:val="center"/>
          </w:tcPr>
          <w:p w14:paraId="0D00A2C3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C70C377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D07A803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9C557A0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2BF7B7A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6F0D5CF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30471B8D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6BAAB90C" w14:textId="77777777" w:rsidTr="00F12B69">
        <w:trPr>
          <w:jc w:val="center"/>
        </w:trPr>
        <w:tc>
          <w:tcPr>
            <w:tcW w:w="13198" w:type="dxa"/>
            <w:gridSpan w:val="9"/>
            <w:vAlign w:val="center"/>
          </w:tcPr>
          <w:p w14:paraId="098FC5FA" w14:textId="77777777" w:rsidR="00806E23" w:rsidRPr="00E06CB1" w:rsidRDefault="00806E23" w:rsidP="00806E23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Protein altering cell wall charge conferring antibiotic resistance</w:t>
            </w:r>
          </w:p>
        </w:tc>
      </w:tr>
      <w:tr w:rsidR="00806E23" w:rsidRPr="00E06CB1" w14:paraId="068ED2D4" w14:textId="77777777" w:rsidTr="00F12B69">
        <w:trPr>
          <w:jc w:val="center"/>
        </w:trPr>
        <w:tc>
          <w:tcPr>
            <w:tcW w:w="2122" w:type="dxa"/>
            <w:vAlign w:val="center"/>
          </w:tcPr>
          <w:p w14:paraId="0F89E82A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PgsA</w:t>
            </w:r>
          </w:p>
        </w:tc>
        <w:tc>
          <w:tcPr>
            <w:tcW w:w="3543" w:type="dxa"/>
            <w:vAlign w:val="center"/>
          </w:tcPr>
          <w:p w14:paraId="389C4ED4" w14:textId="5CBB23BE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CDP-diacylglycerol-glycerol-3-phosphate 3-phosphatidyltransferase</w:t>
            </w:r>
          </w:p>
        </w:tc>
        <w:tc>
          <w:tcPr>
            <w:tcW w:w="1077" w:type="dxa"/>
            <w:vAlign w:val="center"/>
          </w:tcPr>
          <w:p w14:paraId="5F88DE00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0B98EAD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9A3532D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9BA8E08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4E7BAF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8FBC14A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5D32F285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2379EBEC" w14:textId="77777777" w:rsidTr="00F12B69">
        <w:trPr>
          <w:jc w:val="center"/>
        </w:trPr>
        <w:tc>
          <w:tcPr>
            <w:tcW w:w="2122" w:type="dxa"/>
            <w:vAlign w:val="center"/>
          </w:tcPr>
          <w:p w14:paraId="303AC1D1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GdpD</w:t>
            </w:r>
          </w:p>
        </w:tc>
        <w:tc>
          <w:tcPr>
            <w:tcW w:w="3543" w:type="dxa"/>
            <w:vAlign w:val="center"/>
          </w:tcPr>
          <w:p w14:paraId="592A4E9C" w14:textId="12572524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Glycerophosphoryl diester phosphodiesterase</w:t>
            </w:r>
          </w:p>
        </w:tc>
        <w:tc>
          <w:tcPr>
            <w:tcW w:w="1077" w:type="dxa"/>
            <w:vAlign w:val="center"/>
          </w:tcPr>
          <w:p w14:paraId="47168ECA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770A63C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7A6373E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EA2317F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F51A529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A39EF6F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5BA3517C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54124DB5" w14:textId="77777777" w:rsidTr="00F12B69">
        <w:trPr>
          <w:jc w:val="center"/>
        </w:trPr>
        <w:tc>
          <w:tcPr>
            <w:tcW w:w="13198" w:type="dxa"/>
            <w:gridSpan w:val="9"/>
            <w:vAlign w:val="center"/>
          </w:tcPr>
          <w:p w14:paraId="175C8977" w14:textId="77777777" w:rsidR="00806E23" w:rsidRPr="00E06CB1" w:rsidRDefault="00806E23" w:rsidP="00806E23">
            <w:pPr>
              <w:spacing w:before="0" w:after="0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Gene conferring resistance via absence</w:t>
            </w:r>
          </w:p>
        </w:tc>
      </w:tr>
      <w:tr w:rsidR="00806E23" w:rsidRPr="00E06CB1" w14:paraId="3E5FF913" w14:textId="77777777" w:rsidTr="00F12B69">
        <w:trPr>
          <w:jc w:val="center"/>
        </w:trPr>
        <w:tc>
          <w:tcPr>
            <w:tcW w:w="2122" w:type="dxa"/>
            <w:vAlign w:val="center"/>
          </w:tcPr>
          <w:p w14:paraId="5D3BEA6D" w14:textId="77777777" w:rsidR="00806E23" w:rsidRPr="00E06CB1" w:rsidRDefault="00806E23" w:rsidP="00806E23">
            <w:pPr>
              <w:spacing w:before="0"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gidB</w:t>
            </w:r>
          </w:p>
        </w:tc>
        <w:tc>
          <w:tcPr>
            <w:tcW w:w="3543" w:type="dxa"/>
            <w:vAlign w:val="center"/>
          </w:tcPr>
          <w:p w14:paraId="5E9D30FC" w14:textId="343885E2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color w:val="000000"/>
                <w:sz w:val="20"/>
                <w:szCs w:val="20"/>
                <w:lang w:val="pt-BR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  <w:lang w:val="pt-BR"/>
              </w:rPr>
              <w:t>16S rRNA (guanine(</w:t>
            </w:r>
            <w:proofErr w:type="gramStart"/>
            <w:r w:rsidRPr="00E06CB1">
              <w:rPr>
                <w:rFonts w:cs="Times New Roman"/>
                <w:color w:val="000000"/>
                <w:sz w:val="20"/>
                <w:szCs w:val="20"/>
                <w:lang w:val="pt-BR"/>
              </w:rPr>
              <w:t>527)-N(</w:t>
            </w:r>
            <w:proofErr w:type="gramEnd"/>
            <w:r w:rsidRPr="00E06CB1">
              <w:rPr>
                <w:rFonts w:cs="Times New Roman"/>
                <w:color w:val="000000"/>
                <w:sz w:val="20"/>
                <w:szCs w:val="20"/>
                <w:lang w:val="pt-BR"/>
              </w:rPr>
              <w:t>7</w:t>
            </w:r>
            <w:proofErr w:type="gramStart"/>
            <w:r w:rsidRPr="00E06CB1">
              <w:rPr>
                <w:rFonts w:cs="Times New Roman"/>
                <w:color w:val="000000"/>
                <w:sz w:val="20"/>
                <w:szCs w:val="20"/>
                <w:lang w:val="pt-BR"/>
              </w:rPr>
              <w:t>))-</w:t>
            </w:r>
            <w:proofErr w:type="gramEnd"/>
            <w:r w:rsidRPr="00E06CB1">
              <w:rPr>
                <w:rFonts w:cs="Times New Roman"/>
                <w:color w:val="000000"/>
                <w:sz w:val="20"/>
                <w:szCs w:val="20"/>
                <w:lang w:val="pt-BR"/>
              </w:rPr>
              <w:t>methyltransferase</w:t>
            </w:r>
          </w:p>
        </w:tc>
        <w:tc>
          <w:tcPr>
            <w:tcW w:w="1077" w:type="dxa"/>
            <w:vAlign w:val="center"/>
          </w:tcPr>
          <w:p w14:paraId="4F6D282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9A99278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6964D19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BC8AEEC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CEB6841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E0B5B4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04B8BE0F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6055CBBC" w14:textId="77777777" w:rsidTr="00F12B69">
        <w:trPr>
          <w:jc w:val="center"/>
        </w:trPr>
        <w:tc>
          <w:tcPr>
            <w:tcW w:w="13198" w:type="dxa"/>
            <w:gridSpan w:val="9"/>
            <w:vAlign w:val="center"/>
          </w:tcPr>
          <w:p w14:paraId="02E32D84" w14:textId="77777777" w:rsidR="00806E23" w:rsidRPr="00E06CB1" w:rsidRDefault="00806E23" w:rsidP="00806E23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Antibiotic activation enzyme</w:t>
            </w:r>
          </w:p>
        </w:tc>
      </w:tr>
      <w:tr w:rsidR="00806E23" w:rsidRPr="00E06CB1" w14:paraId="1A58A40D" w14:textId="77777777" w:rsidTr="00F12B69">
        <w:trPr>
          <w:jc w:val="center"/>
        </w:trPr>
        <w:tc>
          <w:tcPr>
            <w:tcW w:w="2122" w:type="dxa"/>
            <w:vAlign w:val="center"/>
          </w:tcPr>
          <w:p w14:paraId="5675E0A3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KatG</w:t>
            </w:r>
          </w:p>
        </w:tc>
        <w:tc>
          <w:tcPr>
            <w:tcW w:w="3543" w:type="dxa"/>
            <w:vAlign w:val="center"/>
          </w:tcPr>
          <w:p w14:paraId="0337A8EE" w14:textId="7775049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Catalase-peroxidase</w:t>
            </w:r>
          </w:p>
        </w:tc>
        <w:tc>
          <w:tcPr>
            <w:tcW w:w="1077" w:type="dxa"/>
            <w:vAlign w:val="center"/>
          </w:tcPr>
          <w:p w14:paraId="09587287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12E6423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BC45AF1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6E177AE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2B8F8D0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D2DEDEF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460DCC05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194D017A" w14:textId="77777777" w:rsidTr="00F12B69">
        <w:trPr>
          <w:jc w:val="center"/>
        </w:trPr>
        <w:tc>
          <w:tcPr>
            <w:tcW w:w="13198" w:type="dxa"/>
            <w:gridSpan w:val="9"/>
            <w:vAlign w:val="center"/>
          </w:tcPr>
          <w:p w14:paraId="559A3E18" w14:textId="77777777" w:rsidR="00806E23" w:rsidRPr="00E06CB1" w:rsidRDefault="00806E23" w:rsidP="00806E23">
            <w:pPr>
              <w:spacing w:before="0" w:after="0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Antibiotic target protection protein</w:t>
            </w:r>
          </w:p>
        </w:tc>
      </w:tr>
      <w:tr w:rsidR="00806E23" w:rsidRPr="00E06CB1" w14:paraId="4231C41C" w14:textId="77777777" w:rsidTr="00F12B69">
        <w:trPr>
          <w:jc w:val="center"/>
        </w:trPr>
        <w:tc>
          <w:tcPr>
            <w:tcW w:w="2122" w:type="dxa"/>
            <w:vAlign w:val="center"/>
          </w:tcPr>
          <w:p w14:paraId="3A3E683B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BcrC</w:t>
            </w:r>
          </w:p>
        </w:tc>
        <w:tc>
          <w:tcPr>
            <w:tcW w:w="3543" w:type="dxa"/>
            <w:vAlign w:val="center"/>
          </w:tcPr>
          <w:p w14:paraId="07318125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Undecaprenyl-diphosphatase, conveys bacitracin resistance</w:t>
            </w:r>
          </w:p>
        </w:tc>
        <w:tc>
          <w:tcPr>
            <w:tcW w:w="1077" w:type="dxa"/>
            <w:vAlign w:val="center"/>
          </w:tcPr>
          <w:p w14:paraId="11341687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650E15B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37E22F4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7B3BD096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0BE13FC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57119060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57DC86F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806E23" w:rsidRPr="00E06CB1" w14:paraId="6C4BD38F" w14:textId="77777777" w:rsidTr="00F12B69">
        <w:trPr>
          <w:jc w:val="center"/>
        </w:trPr>
        <w:tc>
          <w:tcPr>
            <w:tcW w:w="13198" w:type="dxa"/>
            <w:gridSpan w:val="9"/>
            <w:vAlign w:val="center"/>
          </w:tcPr>
          <w:p w14:paraId="0A3D49FB" w14:textId="77777777" w:rsidR="00806E23" w:rsidRPr="00E06CB1" w:rsidRDefault="00806E23" w:rsidP="00806E23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E06CB1">
              <w:rPr>
                <w:rFonts w:cs="Times New Roman"/>
                <w:b/>
                <w:bCs/>
                <w:sz w:val="20"/>
                <w:szCs w:val="20"/>
              </w:rPr>
              <w:t>Antibiotic target replacement protein</w:t>
            </w:r>
          </w:p>
        </w:tc>
      </w:tr>
      <w:tr w:rsidR="00806E23" w:rsidRPr="00E06CB1" w14:paraId="1B1F6444" w14:textId="77777777" w:rsidTr="00F12B69">
        <w:trPr>
          <w:jc w:val="center"/>
        </w:trPr>
        <w:tc>
          <w:tcPr>
            <w:tcW w:w="2122" w:type="dxa"/>
            <w:vAlign w:val="center"/>
          </w:tcPr>
          <w:p w14:paraId="340009B0" w14:textId="77777777" w:rsidR="00806E23" w:rsidRPr="00E06CB1" w:rsidRDefault="00806E23" w:rsidP="00806E23">
            <w:pPr>
              <w:tabs>
                <w:tab w:val="left" w:pos="1095"/>
              </w:tabs>
              <w:spacing w:before="0" w:after="0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fabV</w:t>
            </w:r>
          </w:p>
        </w:tc>
        <w:tc>
          <w:tcPr>
            <w:tcW w:w="3543" w:type="dxa"/>
            <w:vAlign w:val="center"/>
          </w:tcPr>
          <w:p w14:paraId="00807EC8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B1">
              <w:rPr>
                <w:rFonts w:cs="Times New Roman"/>
                <w:color w:val="000000"/>
                <w:sz w:val="20"/>
                <w:szCs w:val="20"/>
              </w:rPr>
              <w:t>Enoyl-[acyl-carrier-protein] reductase [NADH]</w:t>
            </w:r>
          </w:p>
        </w:tc>
        <w:tc>
          <w:tcPr>
            <w:tcW w:w="1077" w:type="dxa"/>
            <w:vAlign w:val="center"/>
          </w:tcPr>
          <w:p w14:paraId="5C8C69F7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11CA0220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DC038F4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2255AC61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4BC2C082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7" w:type="dxa"/>
            <w:vAlign w:val="center"/>
          </w:tcPr>
          <w:p w14:paraId="096008B5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  <w:tc>
          <w:tcPr>
            <w:tcW w:w="1071" w:type="dxa"/>
            <w:vAlign w:val="center"/>
          </w:tcPr>
          <w:p w14:paraId="443AB430" w14:textId="77777777" w:rsidR="00806E23" w:rsidRPr="00E06CB1" w:rsidRDefault="00806E23" w:rsidP="00806E2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E06CB1">
              <w:rPr>
                <w:rFonts w:cs="Times New Roman"/>
                <w:sz w:val="20"/>
                <w:szCs w:val="20"/>
              </w:rPr>
              <w:t>P</w:t>
            </w:r>
          </w:p>
        </w:tc>
      </w:tr>
    </w:tbl>
    <w:p w14:paraId="0BADC68A" w14:textId="54124190" w:rsidR="007C7A1E" w:rsidRPr="00E06CB1" w:rsidRDefault="00EA1FC3" w:rsidP="005A4257">
      <w:pPr>
        <w:spacing w:before="0" w:after="0" w:line="278" w:lineRule="auto"/>
        <w:ind w:left="426" w:right="396"/>
        <w:jc w:val="both"/>
        <w:rPr>
          <w:rFonts w:cs="Times New Roman"/>
          <w:sz w:val="20"/>
          <w:szCs w:val="20"/>
          <w:lang w:val="en-US"/>
        </w:rPr>
      </w:pPr>
      <w:r w:rsidRPr="00E06CB1">
        <w:rPr>
          <w:rFonts w:cs="Times New Roman"/>
          <w:sz w:val="20"/>
          <w:szCs w:val="20"/>
          <w:lang w:val="en-US"/>
        </w:rPr>
        <w:t xml:space="preserve">Supplementary Table S2 </w:t>
      </w:r>
      <w:r w:rsidR="00A92A74" w:rsidRPr="00E06CB1">
        <w:rPr>
          <w:rFonts w:cs="Times New Roman"/>
          <w:sz w:val="20"/>
          <w:szCs w:val="20"/>
          <w:lang w:val="en-US"/>
        </w:rPr>
        <w:t xml:space="preserve">Putative antimicrobial resistance determinants in five </w:t>
      </w:r>
      <w:r w:rsidR="00A92A74" w:rsidRPr="00E06CB1">
        <w:rPr>
          <w:rFonts w:cs="Times New Roman"/>
          <w:i/>
          <w:iCs/>
          <w:sz w:val="20"/>
          <w:szCs w:val="20"/>
          <w:lang w:val="en-US"/>
        </w:rPr>
        <w:t>Burkholderia cenocepacia</w:t>
      </w:r>
      <w:r w:rsidR="00A92A74" w:rsidRPr="00E06CB1">
        <w:rPr>
          <w:rFonts w:cs="Times New Roman"/>
          <w:sz w:val="20"/>
          <w:szCs w:val="20"/>
          <w:lang w:val="en-US"/>
        </w:rPr>
        <w:t xml:space="preserve"> clinical isolates compared with reference strains </w:t>
      </w:r>
      <w:r w:rsidR="00E9743D" w:rsidRPr="00121A04">
        <w:rPr>
          <w:rFonts w:cs="Times New Roman"/>
          <w:i/>
          <w:iCs/>
          <w:sz w:val="20"/>
          <w:szCs w:val="20"/>
        </w:rPr>
        <w:t>B. cenocepacia</w:t>
      </w:r>
      <w:r w:rsidR="00E9743D">
        <w:rPr>
          <w:rFonts w:cs="Times New Roman"/>
          <w:sz w:val="20"/>
          <w:szCs w:val="20"/>
        </w:rPr>
        <w:t xml:space="preserve"> </w:t>
      </w:r>
      <w:r w:rsidR="00A92A74" w:rsidRPr="00E06CB1">
        <w:rPr>
          <w:rFonts w:cs="Times New Roman"/>
          <w:sz w:val="20"/>
          <w:szCs w:val="20"/>
          <w:lang w:val="en-US"/>
        </w:rPr>
        <w:t xml:space="preserve">J2315 and </w:t>
      </w:r>
      <w:r w:rsidR="00E9743D" w:rsidRPr="00121A04">
        <w:rPr>
          <w:rFonts w:cs="Times New Roman"/>
          <w:i/>
          <w:iCs/>
          <w:sz w:val="20"/>
          <w:szCs w:val="20"/>
        </w:rPr>
        <w:t>B. cenocepacia</w:t>
      </w:r>
      <w:r w:rsidR="00E9743D">
        <w:rPr>
          <w:rFonts w:cs="Times New Roman"/>
          <w:sz w:val="20"/>
          <w:szCs w:val="20"/>
        </w:rPr>
        <w:t xml:space="preserve"> </w:t>
      </w:r>
      <w:r w:rsidR="00A92A74" w:rsidRPr="00E06CB1">
        <w:rPr>
          <w:rFonts w:cs="Times New Roman"/>
          <w:sz w:val="20"/>
          <w:szCs w:val="20"/>
          <w:lang w:val="en-US"/>
        </w:rPr>
        <w:t xml:space="preserve">ST32. </w:t>
      </w:r>
      <w:r w:rsidRPr="00E06CB1">
        <w:rPr>
          <w:rFonts w:cs="Times New Roman"/>
          <w:sz w:val="20"/>
          <w:szCs w:val="20"/>
          <w:lang w:val="en-US"/>
        </w:rPr>
        <w:t xml:space="preserve">The presence or absence of each resistance gene was determined using data retrieved from the PATRIC database (Pathosystems Resource Integration Center). Categories were grouped according to the resistance mechanism: antibiotic inactivation enzymes, target alteration, efflux pumps, and permeability or regulatory proteins; </w:t>
      </w:r>
      <w:r w:rsidR="007C7A1E" w:rsidRPr="00E06CB1">
        <w:rPr>
          <w:rFonts w:cs="Times New Roman"/>
          <w:sz w:val="20"/>
          <w:szCs w:val="20"/>
          <w:lang w:val="en-US"/>
        </w:rPr>
        <w:t xml:space="preserve">P </w:t>
      </w:r>
      <w:r w:rsidR="00E85FE7" w:rsidRPr="00E06CB1">
        <w:rPr>
          <w:rFonts w:cs="Times New Roman"/>
          <w:sz w:val="20"/>
          <w:szCs w:val="20"/>
          <w:lang w:val="en-US"/>
        </w:rPr>
        <w:t>present;</w:t>
      </w:r>
      <w:r w:rsidR="007C7A1E" w:rsidRPr="00E06CB1">
        <w:rPr>
          <w:rFonts w:cs="Times New Roman"/>
          <w:sz w:val="20"/>
          <w:szCs w:val="20"/>
          <w:lang w:val="en-US"/>
        </w:rPr>
        <w:t xml:space="preserve"> A absent.</w:t>
      </w:r>
    </w:p>
    <w:p w14:paraId="22253643" w14:textId="77777777" w:rsidR="00806E23" w:rsidRPr="00E06CB1" w:rsidRDefault="00806E23">
      <w:pPr>
        <w:rPr>
          <w:lang w:val="en-US"/>
        </w:rPr>
      </w:pPr>
    </w:p>
    <w:sectPr w:rsidR="00806E23" w:rsidRPr="00E06CB1" w:rsidSect="007C7A1E">
      <w:pgSz w:w="16838" w:h="11906" w:orient="landscape"/>
      <w:pgMar w:top="85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91F92" w14:textId="77777777" w:rsidR="00BA48E9" w:rsidRDefault="00BA48E9" w:rsidP="007C7A1E">
      <w:pPr>
        <w:spacing w:before="0" w:after="0"/>
      </w:pPr>
      <w:r>
        <w:separator/>
      </w:r>
    </w:p>
  </w:endnote>
  <w:endnote w:type="continuationSeparator" w:id="0">
    <w:p w14:paraId="46C0E666" w14:textId="77777777" w:rsidR="00BA48E9" w:rsidRDefault="00BA48E9" w:rsidP="007C7A1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1A1C5" w14:textId="77777777" w:rsidR="00BA48E9" w:rsidRDefault="00BA48E9" w:rsidP="007C7A1E">
      <w:pPr>
        <w:spacing w:before="0" w:after="0"/>
      </w:pPr>
      <w:r>
        <w:separator/>
      </w:r>
    </w:p>
  </w:footnote>
  <w:footnote w:type="continuationSeparator" w:id="0">
    <w:p w14:paraId="65EBF10D" w14:textId="77777777" w:rsidR="00BA48E9" w:rsidRDefault="00BA48E9" w:rsidP="007C7A1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E23"/>
    <w:rsid w:val="001524F4"/>
    <w:rsid w:val="00153339"/>
    <w:rsid w:val="00176B90"/>
    <w:rsid w:val="00436571"/>
    <w:rsid w:val="00464756"/>
    <w:rsid w:val="0046486E"/>
    <w:rsid w:val="00506008"/>
    <w:rsid w:val="00527AD2"/>
    <w:rsid w:val="005A4257"/>
    <w:rsid w:val="005D268A"/>
    <w:rsid w:val="00635E84"/>
    <w:rsid w:val="007C7A1E"/>
    <w:rsid w:val="00806E23"/>
    <w:rsid w:val="00A511B2"/>
    <w:rsid w:val="00A61CF3"/>
    <w:rsid w:val="00A85F3D"/>
    <w:rsid w:val="00A8662C"/>
    <w:rsid w:val="00A92A74"/>
    <w:rsid w:val="00BA48E9"/>
    <w:rsid w:val="00C40B00"/>
    <w:rsid w:val="00C607CB"/>
    <w:rsid w:val="00C847A3"/>
    <w:rsid w:val="00C86B46"/>
    <w:rsid w:val="00D62899"/>
    <w:rsid w:val="00D661E7"/>
    <w:rsid w:val="00D909B1"/>
    <w:rsid w:val="00DD116F"/>
    <w:rsid w:val="00DF58E6"/>
    <w:rsid w:val="00E06CB1"/>
    <w:rsid w:val="00E16F90"/>
    <w:rsid w:val="00E85FE7"/>
    <w:rsid w:val="00E9171F"/>
    <w:rsid w:val="00E9743D"/>
    <w:rsid w:val="00EA1FC3"/>
    <w:rsid w:val="00EF1618"/>
    <w:rsid w:val="00F12B69"/>
    <w:rsid w:val="00F2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638E1"/>
  <w15:chartTrackingRefBased/>
  <w15:docId w15:val="{32B45A6E-AED7-4894-A283-60DDD625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E23"/>
    <w:pPr>
      <w:spacing w:before="120" w:after="24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06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6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6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06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06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06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06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06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06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06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06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6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06E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06E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06E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06E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06E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06E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06E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06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06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06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06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06E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06E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06E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06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06E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06E2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806E23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C7A1E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7C7A1E"/>
    <w:rPr>
      <w:rFonts w:ascii="Times New Roman" w:hAnsi="Times New Roman"/>
      <w:kern w:val="0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C7A1E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7C7A1E"/>
    <w:rPr>
      <w:rFonts w:ascii="Times New Roman" w:hAnsi="Times New Roman"/>
      <w:kern w:val="0"/>
      <w:szCs w:val="22"/>
      <w14:ligatures w14:val="none"/>
    </w:rPr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F2619A"/>
    <w:pPr>
      <w:numPr>
        <w:ilvl w:val="0"/>
      </w:numPr>
      <w:spacing w:before="240"/>
    </w:pPr>
    <w:rPr>
      <w:rFonts w:eastAsiaTheme="minorHAnsi" w:cs="Times New Roman"/>
      <w:b/>
      <w:color w:val="auto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721</Words>
  <Characters>3784</Characters>
  <Application>Microsoft Office Word</Application>
  <DocSecurity>0</DocSecurity>
  <Lines>420</Lines>
  <Paragraphs>409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Oliveira da Rocha</dc:creator>
  <cp:keywords/>
  <dc:description/>
  <cp:lastModifiedBy>Tatiane Xavier</cp:lastModifiedBy>
  <cp:revision>6</cp:revision>
  <dcterms:created xsi:type="dcterms:W3CDTF">2025-12-15T14:52:00Z</dcterms:created>
  <dcterms:modified xsi:type="dcterms:W3CDTF">2026-04-07T15:02:00Z</dcterms:modified>
</cp:coreProperties>
</file>