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A8D5" w14:textId="77777777" w:rsidR="00441A6B" w:rsidRPr="000C1206" w:rsidRDefault="00441A6B" w:rsidP="00441A6B">
      <w:pPr>
        <w:tabs>
          <w:tab w:val="left" w:pos="6804"/>
        </w:tabs>
        <w:suppressAutoHyphens w:val="0"/>
        <w:autoSpaceDE w:val="0"/>
        <w:autoSpaceDN w:val="0"/>
        <w:adjustRightInd w:val="0"/>
        <w:spacing w:after="0" w:line="360" w:lineRule="auto"/>
        <w:jc w:val="center"/>
        <w:rPr>
          <w:rFonts w:ascii="Times New Roman" w:hAnsi="Times New Roman" w:cs="Times New Roman"/>
          <w:b/>
          <w:bCs/>
          <w:color w:val="000000"/>
          <w:sz w:val="32"/>
          <w:szCs w:val="32"/>
          <w:lang w:val="en-US"/>
        </w:rPr>
      </w:pPr>
      <w:r w:rsidRPr="000C1206">
        <w:rPr>
          <w:rFonts w:ascii="Times New Roman" w:hAnsi="Times New Roman" w:cs="Times New Roman"/>
          <w:b/>
          <w:bCs/>
          <w:color w:val="000000"/>
          <w:sz w:val="32"/>
          <w:szCs w:val="32"/>
          <w:lang w:val="en-US"/>
        </w:rPr>
        <w:t xml:space="preserve">Effect of extrusion processing routes on morphology and properties of thermoplastic starch/PBS blends </w:t>
      </w:r>
    </w:p>
    <w:p w14:paraId="75F8234F" w14:textId="77777777" w:rsidR="007560B1" w:rsidRPr="00D762F7" w:rsidRDefault="007560B1" w:rsidP="007560B1">
      <w:pPr>
        <w:suppressAutoHyphens w:val="0"/>
        <w:autoSpaceDE w:val="0"/>
        <w:autoSpaceDN w:val="0"/>
        <w:adjustRightInd w:val="0"/>
        <w:spacing w:after="0" w:line="360" w:lineRule="auto"/>
        <w:jc w:val="center"/>
        <w:rPr>
          <w:rFonts w:ascii="Times New Roman" w:hAnsi="Times New Roman" w:cs="Times New Roman"/>
          <w:color w:val="000000"/>
          <w:sz w:val="24"/>
          <w:szCs w:val="24"/>
          <w:lang w:val="en-US" w:eastAsia="pt-BR"/>
        </w:rPr>
      </w:pPr>
    </w:p>
    <w:p w14:paraId="4B6F8C67" w14:textId="77777777" w:rsidR="007560B1" w:rsidRPr="00D05C82" w:rsidRDefault="007560B1" w:rsidP="007560B1">
      <w:pPr>
        <w:autoSpaceDE w:val="0"/>
        <w:autoSpaceDN w:val="0"/>
        <w:adjustRightInd w:val="0"/>
        <w:spacing w:after="0" w:line="360" w:lineRule="auto"/>
        <w:jc w:val="center"/>
        <w:rPr>
          <w:rFonts w:ascii="Times New Roman" w:hAnsi="Times New Roman" w:cs="Times New Roman"/>
          <w:color w:val="000000"/>
          <w:sz w:val="24"/>
          <w:szCs w:val="24"/>
          <w:lang w:eastAsia="pt-BR"/>
        </w:rPr>
      </w:pPr>
      <w:r w:rsidRPr="00C77698">
        <w:rPr>
          <w:rFonts w:ascii="Times New Roman" w:hAnsi="Times New Roman" w:cs="Times New Roman"/>
          <w:color w:val="000000"/>
          <w:sz w:val="24"/>
          <w:szCs w:val="24"/>
          <w:lang w:eastAsia="pt-BR"/>
        </w:rPr>
        <w:t xml:space="preserve">Carolina Helena </w:t>
      </w:r>
      <w:proofErr w:type="spellStart"/>
      <w:r w:rsidRPr="00C77698">
        <w:rPr>
          <w:rFonts w:ascii="Times New Roman" w:hAnsi="Times New Roman" w:cs="Times New Roman"/>
          <w:color w:val="000000"/>
          <w:sz w:val="24"/>
          <w:szCs w:val="24"/>
          <w:lang w:eastAsia="pt-BR"/>
        </w:rPr>
        <w:t>Martins</w:t>
      </w:r>
      <w:r w:rsidRPr="0018567D">
        <w:rPr>
          <w:rFonts w:ascii="Times New Roman" w:hAnsi="Times New Roman" w:cs="Times New Roman"/>
          <w:color w:val="000000"/>
          <w:sz w:val="24"/>
          <w:szCs w:val="24"/>
          <w:vertAlign w:val="superscript"/>
          <w:lang w:eastAsia="pt-BR"/>
        </w:rPr>
        <w:t>a</w:t>
      </w:r>
      <w:proofErr w:type="spellEnd"/>
      <w:r>
        <w:rPr>
          <w:rFonts w:ascii="Times New Roman" w:hAnsi="Times New Roman" w:cs="Times New Roman"/>
          <w:color w:val="000000"/>
          <w:sz w:val="24"/>
          <w:szCs w:val="24"/>
          <w:lang w:eastAsia="pt-BR"/>
        </w:rPr>
        <w:t xml:space="preserve">, </w:t>
      </w:r>
      <w:r w:rsidRPr="0018567D">
        <w:rPr>
          <w:rFonts w:ascii="Times New Roman" w:hAnsi="Times New Roman" w:cs="Times New Roman"/>
          <w:color w:val="000000"/>
          <w:sz w:val="24"/>
          <w:szCs w:val="24"/>
          <w:lang w:eastAsia="pt-BR"/>
        </w:rPr>
        <w:t xml:space="preserve">Jhonatan Bispo de </w:t>
      </w:r>
      <w:proofErr w:type="spellStart"/>
      <w:r w:rsidRPr="0018567D">
        <w:rPr>
          <w:rFonts w:ascii="Times New Roman" w:hAnsi="Times New Roman" w:cs="Times New Roman"/>
          <w:color w:val="000000"/>
          <w:sz w:val="24"/>
          <w:szCs w:val="24"/>
          <w:lang w:eastAsia="pt-BR"/>
        </w:rPr>
        <w:t>Oliveira</w:t>
      </w:r>
      <w:r w:rsidRPr="0018567D">
        <w:rPr>
          <w:rFonts w:ascii="Times New Roman" w:hAnsi="Times New Roman" w:cs="Times New Roman"/>
          <w:color w:val="000000"/>
          <w:sz w:val="24"/>
          <w:szCs w:val="24"/>
          <w:vertAlign w:val="superscript"/>
          <w:lang w:eastAsia="pt-BR"/>
        </w:rPr>
        <w:t>a</w:t>
      </w:r>
      <w:proofErr w:type="spellEnd"/>
      <w:r>
        <w:rPr>
          <w:rFonts w:ascii="Times New Roman" w:hAnsi="Times New Roman" w:cs="Times New Roman"/>
          <w:color w:val="000000"/>
          <w:sz w:val="24"/>
          <w:szCs w:val="24"/>
          <w:vertAlign w:val="superscript"/>
          <w:lang w:eastAsia="pt-BR"/>
        </w:rPr>
        <w:t xml:space="preserve"> b</w:t>
      </w:r>
      <w:r w:rsidRPr="0018567D">
        <w:rPr>
          <w:rFonts w:ascii="Times New Roman" w:hAnsi="Times New Roman" w:cs="Times New Roman"/>
          <w:color w:val="000000"/>
          <w:sz w:val="24"/>
          <w:szCs w:val="24"/>
          <w:lang w:eastAsia="pt-BR"/>
        </w:rPr>
        <w:t>,</w:t>
      </w:r>
      <w:r>
        <w:rPr>
          <w:rFonts w:ascii="Times New Roman" w:hAnsi="Times New Roman" w:cs="Times New Roman"/>
          <w:color w:val="000000"/>
          <w:sz w:val="24"/>
          <w:szCs w:val="24"/>
          <w:lang w:eastAsia="pt-BR"/>
        </w:rPr>
        <w:t xml:space="preserve"> </w:t>
      </w:r>
      <w:r w:rsidRPr="00616D42">
        <w:rPr>
          <w:rFonts w:ascii="Times New Roman" w:hAnsi="Times New Roman" w:cs="Times New Roman"/>
          <w:color w:val="000000"/>
          <w:sz w:val="24"/>
          <w:szCs w:val="24"/>
          <w:lang w:eastAsia="pt-BR"/>
        </w:rPr>
        <w:t>Flavia Ivair Santiago de Oliveira</w:t>
      </w:r>
      <w:r w:rsidRPr="000709E4">
        <w:rPr>
          <w:rFonts w:ascii="Times New Roman" w:eastAsiaTheme="minorHAnsi" w:hAnsi="Times New Roman" w:cs="Times New Roman"/>
          <w:sz w:val="24"/>
          <w:szCs w:val="24"/>
          <w:vertAlign w:val="superscript"/>
        </w:rPr>
        <w:t xml:space="preserve"> </w:t>
      </w:r>
      <w:r>
        <w:rPr>
          <w:rFonts w:ascii="Times New Roman" w:eastAsiaTheme="minorHAnsi" w:hAnsi="Times New Roman" w:cs="Times New Roman"/>
          <w:sz w:val="24"/>
          <w:szCs w:val="24"/>
          <w:vertAlign w:val="superscript"/>
        </w:rPr>
        <w:t>c</w:t>
      </w:r>
      <w:r>
        <w:rPr>
          <w:rFonts w:ascii="Times New Roman" w:hAnsi="Times New Roman" w:cs="Times New Roman"/>
          <w:color w:val="000000"/>
          <w:sz w:val="24"/>
          <w:szCs w:val="24"/>
          <w:lang w:eastAsia="pt-BR"/>
        </w:rPr>
        <w:t>,</w:t>
      </w:r>
      <w:r w:rsidRPr="0018567D">
        <w:rPr>
          <w:rFonts w:ascii="Times New Roman" w:hAnsi="Times New Roman" w:cs="Times New Roman"/>
          <w:color w:val="000000"/>
          <w:sz w:val="24"/>
          <w:szCs w:val="24"/>
          <w:lang w:eastAsia="pt-BR"/>
        </w:rPr>
        <w:t xml:space="preserve"> Patterson Patricio de </w:t>
      </w:r>
      <w:proofErr w:type="spellStart"/>
      <w:r w:rsidRPr="0018567D">
        <w:rPr>
          <w:rFonts w:ascii="Times New Roman" w:hAnsi="Times New Roman" w:cs="Times New Roman"/>
          <w:color w:val="000000"/>
          <w:sz w:val="24"/>
          <w:szCs w:val="24"/>
          <w:lang w:eastAsia="pt-BR"/>
        </w:rPr>
        <w:t>Souza</w:t>
      </w:r>
      <w:r w:rsidRPr="0018567D">
        <w:rPr>
          <w:rFonts w:ascii="Times New Roman" w:hAnsi="Times New Roman" w:cs="Times New Roman"/>
          <w:color w:val="000000"/>
          <w:sz w:val="24"/>
          <w:szCs w:val="24"/>
          <w:vertAlign w:val="superscript"/>
          <w:lang w:eastAsia="pt-BR"/>
        </w:rPr>
        <w:t>a</w:t>
      </w:r>
      <w:proofErr w:type="spellEnd"/>
      <w:r w:rsidRPr="0018567D">
        <w:rPr>
          <w:rFonts w:ascii="Times New Roman" w:hAnsi="Times New Roman" w:cs="Times New Roman"/>
          <w:color w:val="000000"/>
          <w:sz w:val="24"/>
          <w:szCs w:val="24"/>
          <w:lang w:eastAsia="pt-BR"/>
        </w:rPr>
        <w:t xml:space="preserve">, Patrícia Santiago de Oliveira </w:t>
      </w:r>
      <w:proofErr w:type="spellStart"/>
      <w:r w:rsidRPr="0018567D">
        <w:rPr>
          <w:rFonts w:ascii="Times New Roman" w:hAnsi="Times New Roman" w:cs="Times New Roman"/>
          <w:color w:val="000000"/>
          <w:sz w:val="24"/>
          <w:szCs w:val="24"/>
          <w:lang w:eastAsia="pt-BR"/>
        </w:rPr>
        <w:t>Patricio</w:t>
      </w:r>
      <w:r w:rsidRPr="0018567D">
        <w:rPr>
          <w:rFonts w:ascii="Times New Roman" w:hAnsi="Times New Roman" w:cs="Times New Roman"/>
          <w:color w:val="000000"/>
          <w:sz w:val="24"/>
          <w:szCs w:val="24"/>
          <w:vertAlign w:val="superscript"/>
          <w:lang w:eastAsia="pt-BR"/>
        </w:rPr>
        <w:t>a</w:t>
      </w:r>
      <w:proofErr w:type="spellEnd"/>
      <w:r w:rsidRPr="0018567D">
        <w:rPr>
          <w:rFonts w:ascii="Times New Roman" w:hAnsi="Times New Roman" w:cs="Times New Roman"/>
          <w:color w:val="000000"/>
          <w:sz w:val="24"/>
          <w:szCs w:val="24"/>
          <w:vertAlign w:val="superscript"/>
          <w:lang w:eastAsia="pt-BR"/>
        </w:rPr>
        <w:t>,*</w:t>
      </w:r>
    </w:p>
    <w:p w14:paraId="116A2B41" w14:textId="77777777" w:rsidR="007560B1" w:rsidRPr="008C00FC" w:rsidRDefault="007560B1" w:rsidP="007560B1">
      <w:pPr>
        <w:autoSpaceDE w:val="0"/>
        <w:autoSpaceDN w:val="0"/>
        <w:adjustRightInd w:val="0"/>
        <w:spacing w:after="0" w:line="360" w:lineRule="auto"/>
        <w:jc w:val="center"/>
        <w:rPr>
          <w:rFonts w:ascii="Times New Roman" w:hAnsi="Times New Roman" w:cs="Times New Roman"/>
          <w:color w:val="000000"/>
          <w:sz w:val="24"/>
          <w:szCs w:val="24"/>
          <w:lang w:eastAsia="pt-BR"/>
        </w:rPr>
      </w:pPr>
    </w:p>
    <w:p w14:paraId="310A1C4E" w14:textId="77777777" w:rsidR="007560B1" w:rsidRPr="007F226B" w:rsidRDefault="007560B1" w:rsidP="007560B1">
      <w:pPr>
        <w:autoSpaceDE w:val="0"/>
        <w:autoSpaceDN w:val="0"/>
        <w:adjustRightInd w:val="0"/>
        <w:spacing w:after="0" w:line="360" w:lineRule="auto"/>
        <w:jc w:val="center"/>
        <w:rPr>
          <w:rFonts w:ascii="Times New Roman" w:eastAsiaTheme="minorHAnsi" w:hAnsi="Times New Roman" w:cs="Times New Roman"/>
          <w:i/>
          <w:iCs/>
          <w:sz w:val="24"/>
          <w:szCs w:val="24"/>
        </w:rPr>
      </w:pPr>
      <w:r w:rsidRPr="007B0DA8">
        <w:rPr>
          <w:rFonts w:ascii="Times New Roman" w:eastAsiaTheme="minorHAnsi" w:hAnsi="Times New Roman" w:cs="Times New Roman"/>
          <w:sz w:val="24"/>
          <w:szCs w:val="24"/>
          <w:vertAlign w:val="superscript"/>
        </w:rPr>
        <w:t>a</w:t>
      </w:r>
      <w:r w:rsidRPr="007B0DA8">
        <w:rPr>
          <w:rFonts w:ascii="Times New Roman" w:eastAsiaTheme="minorHAnsi" w:hAnsi="Times New Roman" w:cs="Times New Roman"/>
          <w:i/>
          <w:iCs/>
          <w:sz w:val="24"/>
          <w:szCs w:val="24"/>
        </w:rPr>
        <w:t xml:space="preserve"> </w:t>
      </w:r>
      <w:proofErr w:type="spellStart"/>
      <w:r w:rsidRPr="007B0DA8">
        <w:rPr>
          <w:rFonts w:ascii="Times New Roman" w:eastAsiaTheme="minorHAnsi" w:hAnsi="Times New Roman" w:cs="Times New Roman"/>
          <w:i/>
          <w:iCs/>
          <w:sz w:val="24"/>
          <w:szCs w:val="24"/>
        </w:rPr>
        <w:t>Department</w:t>
      </w:r>
      <w:proofErr w:type="spellEnd"/>
      <w:r w:rsidRPr="007B0DA8">
        <w:rPr>
          <w:rFonts w:ascii="Times New Roman" w:eastAsiaTheme="minorHAnsi" w:hAnsi="Times New Roman" w:cs="Times New Roman"/>
          <w:i/>
          <w:iCs/>
          <w:sz w:val="24"/>
          <w:szCs w:val="24"/>
        </w:rPr>
        <w:t xml:space="preserve"> </w:t>
      </w:r>
      <w:proofErr w:type="spellStart"/>
      <w:r>
        <w:rPr>
          <w:rFonts w:ascii="Times New Roman" w:eastAsiaTheme="minorHAnsi" w:hAnsi="Times New Roman" w:cs="Times New Roman"/>
          <w:i/>
          <w:iCs/>
          <w:sz w:val="24"/>
          <w:szCs w:val="24"/>
        </w:rPr>
        <w:t>of</w:t>
      </w:r>
      <w:proofErr w:type="spellEnd"/>
      <w:r>
        <w:rPr>
          <w:rFonts w:ascii="Times New Roman" w:eastAsiaTheme="minorHAnsi" w:hAnsi="Times New Roman" w:cs="Times New Roman"/>
          <w:i/>
          <w:iCs/>
          <w:sz w:val="24"/>
          <w:szCs w:val="24"/>
        </w:rPr>
        <w:t xml:space="preserve"> </w:t>
      </w:r>
      <w:proofErr w:type="spellStart"/>
      <w:r w:rsidRPr="007B0DA8">
        <w:rPr>
          <w:rFonts w:ascii="Times New Roman" w:eastAsiaTheme="minorHAnsi" w:hAnsi="Times New Roman" w:cs="Times New Roman"/>
          <w:i/>
          <w:iCs/>
          <w:sz w:val="24"/>
          <w:szCs w:val="24"/>
        </w:rPr>
        <w:t>Chemistry</w:t>
      </w:r>
      <w:proofErr w:type="spellEnd"/>
      <w:r w:rsidRPr="007B0DA8">
        <w:rPr>
          <w:rFonts w:ascii="Times New Roman" w:eastAsiaTheme="minorHAnsi" w:hAnsi="Times New Roman" w:cs="Times New Roman"/>
          <w:i/>
          <w:iCs/>
          <w:sz w:val="24"/>
          <w:szCs w:val="24"/>
        </w:rPr>
        <w:t>, Centro Federa</w:t>
      </w:r>
      <w:r>
        <w:rPr>
          <w:rFonts w:ascii="Times New Roman" w:eastAsiaTheme="minorHAnsi" w:hAnsi="Times New Roman" w:cs="Times New Roman"/>
          <w:i/>
          <w:iCs/>
          <w:sz w:val="24"/>
          <w:szCs w:val="24"/>
        </w:rPr>
        <w:t>l</w:t>
      </w:r>
      <w:r w:rsidRPr="007B0DA8">
        <w:rPr>
          <w:rFonts w:ascii="Times New Roman" w:eastAsiaTheme="minorHAnsi" w:hAnsi="Times New Roman" w:cs="Times New Roman"/>
          <w:i/>
          <w:iCs/>
          <w:sz w:val="24"/>
          <w:szCs w:val="24"/>
        </w:rPr>
        <w:t xml:space="preserve"> de Educaç</w:t>
      </w:r>
      <w:r>
        <w:rPr>
          <w:rFonts w:ascii="Times New Roman" w:eastAsiaTheme="minorHAnsi" w:hAnsi="Times New Roman" w:cs="Times New Roman"/>
          <w:i/>
          <w:iCs/>
          <w:sz w:val="24"/>
          <w:szCs w:val="24"/>
        </w:rPr>
        <w:t>ão</w:t>
      </w:r>
      <w:r w:rsidRPr="007B0DA8">
        <w:rPr>
          <w:rFonts w:ascii="Times New Roman" w:eastAsiaTheme="minorHAnsi" w:hAnsi="Times New Roman" w:cs="Times New Roman"/>
          <w:i/>
          <w:iCs/>
          <w:sz w:val="24"/>
          <w:szCs w:val="24"/>
        </w:rPr>
        <w:t xml:space="preserve"> Tecnol</w:t>
      </w:r>
      <w:r>
        <w:rPr>
          <w:rFonts w:ascii="Times New Roman" w:eastAsiaTheme="minorHAnsi" w:hAnsi="Times New Roman" w:cs="Times New Roman"/>
          <w:i/>
          <w:iCs/>
          <w:sz w:val="24"/>
          <w:szCs w:val="24"/>
        </w:rPr>
        <w:t>ó</w:t>
      </w:r>
      <w:r w:rsidRPr="007B0DA8">
        <w:rPr>
          <w:rFonts w:ascii="Times New Roman" w:eastAsiaTheme="minorHAnsi" w:hAnsi="Times New Roman" w:cs="Times New Roman"/>
          <w:i/>
          <w:iCs/>
          <w:sz w:val="24"/>
          <w:szCs w:val="24"/>
        </w:rPr>
        <w:t>gica de Minas Gerais</w:t>
      </w:r>
      <w:r>
        <w:rPr>
          <w:rFonts w:ascii="Times New Roman" w:eastAsiaTheme="minorHAnsi" w:hAnsi="Times New Roman" w:cs="Times New Roman"/>
          <w:i/>
          <w:iCs/>
          <w:sz w:val="24"/>
          <w:szCs w:val="24"/>
        </w:rPr>
        <w:t>,</w:t>
      </w:r>
      <w:r w:rsidRPr="007B0DA8">
        <w:rPr>
          <w:rFonts w:ascii="Times New Roman" w:eastAsiaTheme="minorHAnsi" w:hAnsi="Times New Roman" w:cs="Times New Roman"/>
          <w:i/>
          <w:iCs/>
          <w:sz w:val="24"/>
          <w:szCs w:val="24"/>
        </w:rPr>
        <w:t xml:space="preserve"> CEFET-MG, Av.  </w:t>
      </w:r>
      <w:r w:rsidRPr="007F226B">
        <w:rPr>
          <w:rFonts w:ascii="Times New Roman" w:eastAsiaTheme="minorHAnsi" w:hAnsi="Times New Roman" w:cs="Times New Roman"/>
          <w:i/>
          <w:iCs/>
          <w:sz w:val="24"/>
          <w:szCs w:val="24"/>
        </w:rPr>
        <w:t xml:space="preserve">Amazonas 5253, 30421-169, BH-MG, </w:t>
      </w:r>
      <w:proofErr w:type="spellStart"/>
      <w:r w:rsidRPr="007F226B">
        <w:rPr>
          <w:rFonts w:ascii="Times New Roman" w:eastAsiaTheme="minorHAnsi" w:hAnsi="Times New Roman" w:cs="Times New Roman"/>
          <w:i/>
          <w:iCs/>
          <w:sz w:val="24"/>
          <w:szCs w:val="24"/>
        </w:rPr>
        <w:t>Brazil</w:t>
      </w:r>
      <w:proofErr w:type="spellEnd"/>
    </w:p>
    <w:p w14:paraId="6BEC9EF2" w14:textId="77777777" w:rsidR="007560B1" w:rsidRPr="007F226B" w:rsidRDefault="007560B1" w:rsidP="007560B1">
      <w:pPr>
        <w:autoSpaceDE w:val="0"/>
        <w:autoSpaceDN w:val="0"/>
        <w:adjustRightInd w:val="0"/>
        <w:spacing w:after="0" w:line="360" w:lineRule="auto"/>
        <w:jc w:val="center"/>
        <w:rPr>
          <w:rFonts w:ascii="Times New Roman" w:eastAsiaTheme="minorHAnsi" w:hAnsi="Times New Roman" w:cs="Times New Roman"/>
          <w:i/>
          <w:iCs/>
          <w:sz w:val="24"/>
          <w:szCs w:val="24"/>
        </w:rPr>
      </w:pPr>
    </w:p>
    <w:p w14:paraId="6F9A961C" w14:textId="77777777" w:rsidR="007560B1" w:rsidRDefault="007560B1" w:rsidP="007560B1">
      <w:pPr>
        <w:autoSpaceDE w:val="0"/>
        <w:autoSpaceDN w:val="0"/>
        <w:adjustRightInd w:val="0"/>
        <w:spacing w:after="0" w:line="360" w:lineRule="auto"/>
        <w:jc w:val="center"/>
        <w:rPr>
          <w:rFonts w:ascii="Times New Roman" w:eastAsiaTheme="minorHAnsi" w:hAnsi="Times New Roman" w:cs="Times New Roman"/>
          <w:i/>
          <w:iCs/>
          <w:sz w:val="24"/>
          <w:szCs w:val="24"/>
        </w:rPr>
      </w:pPr>
      <w:r>
        <w:rPr>
          <w:rFonts w:ascii="Times New Roman" w:eastAsiaTheme="minorHAnsi" w:hAnsi="Times New Roman" w:cs="Times New Roman"/>
          <w:sz w:val="24"/>
          <w:szCs w:val="24"/>
          <w:vertAlign w:val="superscript"/>
        </w:rPr>
        <w:t>b</w:t>
      </w:r>
      <w:r w:rsidRPr="008F7176">
        <w:rPr>
          <w:rFonts w:ascii="Times New Roman" w:eastAsiaTheme="minorHAnsi" w:hAnsi="Times New Roman" w:cs="Times New Roman"/>
          <w:i/>
          <w:iCs/>
          <w:sz w:val="24"/>
          <w:szCs w:val="24"/>
        </w:rPr>
        <w:t xml:space="preserve"> </w:t>
      </w:r>
      <w:proofErr w:type="spellStart"/>
      <w:r w:rsidRPr="008F7176">
        <w:rPr>
          <w:rFonts w:ascii="Times New Roman" w:eastAsiaTheme="minorHAnsi" w:hAnsi="Times New Roman" w:cs="Times New Roman"/>
          <w:i/>
          <w:iCs/>
          <w:sz w:val="24"/>
          <w:szCs w:val="24"/>
        </w:rPr>
        <w:t>Department</w:t>
      </w:r>
      <w:proofErr w:type="spellEnd"/>
      <w:r w:rsidRPr="008F7176">
        <w:rPr>
          <w:rFonts w:ascii="Times New Roman" w:eastAsiaTheme="minorHAnsi" w:hAnsi="Times New Roman" w:cs="Times New Roman"/>
          <w:i/>
          <w:iCs/>
          <w:sz w:val="24"/>
          <w:szCs w:val="24"/>
        </w:rPr>
        <w:t xml:space="preserve"> </w:t>
      </w:r>
      <w:proofErr w:type="spellStart"/>
      <w:r w:rsidRPr="008F7176">
        <w:rPr>
          <w:rFonts w:ascii="Times New Roman" w:eastAsiaTheme="minorHAnsi" w:hAnsi="Times New Roman" w:cs="Times New Roman"/>
          <w:i/>
          <w:iCs/>
          <w:sz w:val="24"/>
          <w:szCs w:val="24"/>
        </w:rPr>
        <w:t>of</w:t>
      </w:r>
      <w:proofErr w:type="spellEnd"/>
      <w:r w:rsidRPr="008F7176">
        <w:rPr>
          <w:rFonts w:ascii="Times New Roman" w:eastAsiaTheme="minorHAnsi" w:hAnsi="Times New Roman" w:cs="Times New Roman"/>
          <w:i/>
          <w:iCs/>
          <w:sz w:val="24"/>
          <w:szCs w:val="24"/>
        </w:rPr>
        <w:t xml:space="preserve"> </w:t>
      </w:r>
      <w:proofErr w:type="spellStart"/>
      <w:r w:rsidRPr="008F7176">
        <w:rPr>
          <w:rFonts w:ascii="Times New Roman" w:eastAsiaTheme="minorHAnsi" w:hAnsi="Times New Roman" w:cs="Times New Roman"/>
          <w:i/>
          <w:iCs/>
          <w:sz w:val="24"/>
          <w:szCs w:val="24"/>
        </w:rPr>
        <w:t>Chemistry</w:t>
      </w:r>
      <w:proofErr w:type="spellEnd"/>
      <w:r w:rsidRPr="008F7176">
        <w:rPr>
          <w:rFonts w:ascii="Times New Roman" w:eastAsiaTheme="minorHAnsi" w:hAnsi="Times New Roman" w:cs="Times New Roman"/>
          <w:i/>
          <w:iCs/>
          <w:sz w:val="24"/>
          <w:szCs w:val="24"/>
        </w:rPr>
        <w:t xml:space="preserve">, </w:t>
      </w:r>
      <w:proofErr w:type="spellStart"/>
      <w:r w:rsidRPr="008F7176">
        <w:rPr>
          <w:rFonts w:ascii="Times New Roman" w:eastAsiaTheme="minorHAnsi" w:hAnsi="Times New Roman" w:cs="Times New Roman"/>
          <w:i/>
          <w:iCs/>
          <w:sz w:val="24"/>
          <w:szCs w:val="24"/>
        </w:rPr>
        <w:t>ICEx</w:t>
      </w:r>
      <w:proofErr w:type="spellEnd"/>
      <w:r w:rsidRPr="008F7176">
        <w:rPr>
          <w:rFonts w:ascii="Times New Roman" w:eastAsiaTheme="minorHAnsi" w:hAnsi="Times New Roman" w:cs="Times New Roman"/>
          <w:i/>
          <w:iCs/>
          <w:sz w:val="24"/>
          <w:szCs w:val="24"/>
        </w:rPr>
        <w:t xml:space="preserve">, Universidade Federal de Minas Gerais, Avenida Antônio Carlos, 6627, 31270-901, Belo Horizonte, MG, </w:t>
      </w:r>
      <w:proofErr w:type="spellStart"/>
      <w:r w:rsidRPr="008F7176">
        <w:rPr>
          <w:rFonts w:ascii="Times New Roman" w:eastAsiaTheme="minorHAnsi" w:hAnsi="Times New Roman" w:cs="Times New Roman"/>
          <w:i/>
          <w:iCs/>
          <w:sz w:val="24"/>
          <w:szCs w:val="24"/>
        </w:rPr>
        <w:t>Brazil</w:t>
      </w:r>
      <w:proofErr w:type="spellEnd"/>
    </w:p>
    <w:p w14:paraId="187D951A" w14:textId="77777777" w:rsidR="007560B1" w:rsidRDefault="007560B1" w:rsidP="007560B1">
      <w:pPr>
        <w:autoSpaceDE w:val="0"/>
        <w:autoSpaceDN w:val="0"/>
        <w:adjustRightInd w:val="0"/>
        <w:spacing w:after="0" w:line="360" w:lineRule="auto"/>
        <w:jc w:val="center"/>
        <w:rPr>
          <w:rFonts w:ascii="Times New Roman" w:eastAsiaTheme="minorHAnsi" w:hAnsi="Times New Roman" w:cs="Times New Roman"/>
          <w:i/>
          <w:iCs/>
          <w:sz w:val="24"/>
          <w:szCs w:val="24"/>
        </w:rPr>
      </w:pPr>
    </w:p>
    <w:p w14:paraId="24CDD3B3" w14:textId="77777777" w:rsidR="007560B1" w:rsidRPr="000709E4" w:rsidRDefault="007560B1" w:rsidP="007560B1">
      <w:pPr>
        <w:autoSpaceDE w:val="0"/>
        <w:autoSpaceDN w:val="0"/>
        <w:adjustRightInd w:val="0"/>
        <w:spacing w:after="0" w:line="360" w:lineRule="auto"/>
        <w:jc w:val="center"/>
        <w:rPr>
          <w:rFonts w:ascii="Times New Roman" w:eastAsiaTheme="minorHAnsi" w:hAnsi="Times New Roman" w:cs="Times New Roman"/>
          <w:i/>
          <w:iCs/>
          <w:sz w:val="24"/>
          <w:szCs w:val="24"/>
        </w:rPr>
      </w:pPr>
      <w:r>
        <w:rPr>
          <w:rFonts w:ascii="Times New Roman" w:eastAsiaTheme="minorHAnsi" w:hAnsi="Times New Roman" w:cs="Times New Roman"/>
          <w:sz w:val="24"/>
          <w:szCs w:val="24"/>
          <w:vertAlign w:val="superscript"/>
        </w:rPr>
        <w:t>c</w:t>
      </w:r>
      <w:r w:rsidRPr="000709E4">
        <w:rPr>
          <w:rFonts w:ascii="Times New Roman" w:eastAsiaTheme="minorHAnsi" w:hAnsi="Times New Roman" w:cs="Times New Roman"/>
          <w:i/>
          <w:iCs/>
          <w:sz w:val="24"/>
          <w:szCs w:val="24"/>
        </w:rPr>
        <w:t xml:space="preserve"> </w:t>
      </w:r>
      <w:proofErr w:type="spellStart"/>
      <w:r w:rsidRPr="000709E4">
        <w:rPr>
          <w:rFonts w:ascii="Times New Roman" w:eastAsiaTheme="minorHAnsi" w:hAnsi="Times New Roman" w:cs="Times New Roman"/>
          <w:i/>
          <w:iCs/>
          <w:sz w:val="24"/>
          <w:szCs w:val="24"/>
        </w:rPr>
        <w:t>Department</w:t>
      </w:r>
      <w:proofErr w:type="spellEnd"/>
      <w:r w:rsidRPr="000709E4">
        <w:rPr>
          <w:rFonts w:ascii="Times New Roman" w:eastAsiaTheme="minorHAnsi" w:hAnsi="Times New Roman" w:cs="Times New Roman"/>
          <w:i/>
          <w:iCs/>
          <w:sz w:val="24"/>
          <w:szCs w:val="24"/>
        </w:rPr>
        <w:t xml:space="preserve"> </w:t>
      </w:r>
      <w:proofErr w:type="spellStart"/>
      <w:r w:rsidRPr="000709E4">
        <w:rPr>
          <w:rFonts w:ascii="Times New Roman" w:eastAsiaTheme="minorHAnsi" w:hAnsi="Times New Roman" w:cs="Times New Roman"/>
          <w:i/>
          <w:iCs/>
          <w:sz w:val="24"/>
          <w:szCs w:val="24"/>
        </w:rPr>
        <w:t>of</w:t>
      </w:r>
      <w:proofErr w:type="spellEnd"/>
      <w:r w:rsidRPr="000709E4">
        <w:rPr>
          <w:rFonts w:ascii="Times New Roman" w:eastAsiaTheme="minorHAnsi" w:hAnsi="Times New Roman" w:cs="Times New Roman"/>
          <w:i/>
          <w:iCs/>
          <w:sz w:val="24"/>
          <w:szCs w:val="24"/>
        </w:rPr>
        <w:t xml:space="preserve"> </w:t>
      </w:r>
      <w:proofErr w:type="spellStart"/>
      <w:r w:rsidRPr="000709E4">
        <w:rPr>
          <w:rFonts w:ascii="Times New Roman" w:eastAsiaTheme="minorHAnsi" w:hAnsi="Times New Roman" w:cs="Times New Roman"/>
          <w:i/>
          <w:iCs/>
          <w:sz w:val="24"/>
          <w:szCs w:val="24"/>
        </w:rPr>
        <w:t>Genetics</w:t>
      </w:r>
      <w:proofErr w:type="spellEnd"/>
      <w:r w:rsidRPr="000709E4">
        <w:rPr>
          <w:rFonts w:ascii="Times New Roman" w:eastAsiaTheme="minorHAnsi" w:hAnsi="Times New Roman" w:cs="Times New Roman"/>
          <w:i/>
          <w:iCs/>
          <w:sz w:val="24"/>
          <w:szCs w:val="24"/>
        </w:rPr>
        <w:t xml:space="preserve">, </w:t>
      </w:r>
      <w:proofErr w:type="spellStart"/>
      <w:r w:rsidRPr="000709E4">
        <w:rPr>
          <w:rFonts w:ascii="Times New Roman" w:eastAsiaTheme="minorHAnsi" w:hAnsi="Times New Roman" w:cs="Times New Roman"/>
          <w:i/>
          <w:iCs/>
          <w:sz w:val="24"/>
          <w:szCs w:val="24"/>
        </w:rPr>
        <w:t>Ecology</w:t>
      </w:r>
      <w:proofErr w:type="spellEnd"/>
      <w:r w:rsidRPr="000709E4">
        <w:rPr>
          <w:rFonts w:ascii="Times New Roman" w:eastAsiaTheme="minorHAnsi" w:hAnsi="Times New Roman" w:cs="Times New Roman"/>
          <w:i/>
          <w:iCs/>
          <w:sz w:val="24"/>
          <w:szCs w:val="24"/>
        </w:rPr>
        <w:t xml:space="preserve"> </w:t>
      </w:r>
      <w:proofErr w:type="spellStart"/>
      <w:r w:rsidRPr="000709E4">
        <w:rPr>
          <w:rFonts w:ascii="Times New Roman" w:eastAsiaTheme="minorHAnsi" w:hAnsi="Times New Roman" w:cs="Times New Roman"/>
          <w:i/>
          <w:iCs/>
          <w:sz w:val="24"/>
          <w:szCs w:val="24"/>
        </w:rPr>
        <w:t>and</w:t>
      </w:r>
      <w:proofErr w:type="spellEnd"/>
      <w:r w:rsidRPr="000709E4">
        <w:rPr>
          <w:rFonts w:ascii="Times New Roman" w:eastAsiaTheme="minorHAnsi" w:hAnsi="Times New Roman" w:cs="Times New Roman"/>
          <w:i/>
          <w:iCs/>
          <w:sz w:val="24"/>
          <w:szCs w:val="24"/>
        </w:rPr>
        <w:t xml:space="preserve"> Evolution, </w:t>
      </w:r>
      <w:proofErr w:type="spellStart"/>
      <w:r w:rsidRPr="000709E4">
        <w:rPr>
          <w:rFonts w:ascii="Times New Roman" w:eastAsiaTheme="minorHAnsi" w:hAnsi="Times New Roman" w:cs="Times New Roman"/>
          <w:i/>
          <w:iCs/>
          <w:sz w:val="24"/>
          <w:szCs w:val="24"/>
        </w:rPr>
        <w:t>Institute</w:t>
      </w:r>
      <w:proofErr w:type="spellEnd"/>
      <w:r w:rsidRPr="000709E4">
        <w:rPr>
          <w:rFonts w:ascii="Times New Roman" w:eastAsiaTheme="minorHAnsi" w:hAnsi="Times New Roman" w:cs="Times New Roman"/>
          <w:i/>
          <w:iCs/>
          <w:sz w:val="24"/>
          <w:szCs w:val="24"/>
        </w:rPr>
        <w:t xml:space="preserve"> </w:t>
      </w:r>
      <w:proofErr w:type="spellStart"/>
      <w:r w:rsidRPr="000709E4">
        <w:rPr>
          <w:rFonts w:ascii="Times New Roman" w:eastAsiaTheme="minorHAnsi" w:hAnsi="Times New Roman" w:cs="Times New Roman"/>
          <w:i/>
          <w:iCs/>
          <w:sz w:val="24"/>
          <w:szCs w:val="24"/>
        </w:rPr>
        <w:t>of</w:t>
      </w:r>
      <w:proofErr w:type="spellEnd"/>
      <w:r w:rsidRPr="000709E4">
        <w:rPr>
          <w:rFonts w:ascii="Times New Roman" w:eastAsiaTheme="minorHAnsi" w:hAnsi="Times New Roman" w:cs="Times New Roman"/>
          <w:i/>
          <w:iCs/>
          <w:sz w:val="24"/>
          <w:szCs w:val="24"/>
        </w:rPr>
        <w:t xml:space="preserve"> Science </w:t>
      </w:r>
      <w:proofErr w:type="spellStart"/>
      <w:r w:rsidRPr="000709E4">
        <w:rPr>
          <w:rFonts w:ascii="Times New Roman" w:eastAsiaTheme="minorHAnsi" w:hAnsi="Times New Roman" w:cs="Times New Roman"/>
          <w:i/>
          <w:iCs/>
          <w:sz w:val="24"/>
          <w:szCs w:val="24"/>
        </w:rPr>
        <w:t>Biological</w:t>
      </w:r>
      <w:proofErr w:type="spellEnd"/>
      <w:r w:rsidRPr="000709E4">
        <w:rPr>
          <w:rFonts w:ascii="Times New Roman" w:eastAsiaTheme="minorHAnsi" w:hAnsi="Times New Roman" w:cs="Times New Roman"/>
          <w:i/>
          <w:iCs/>
          <w:sz w:val="24"/>
          <w:szCs w:val="24"/>
        </w:rPr>
        <w:t xml:space="preserve">, </w:t>
      </w:r>
      <w:r w:rsidRPr="008F7176">
        <w:rPr>
          <w:rFonts w:ascii="Times New Roman" w:eastAsiaTheme="minorHAnsi" w:hAnsi="Times New Roman" w:cs="Times New Roman"/>
          <w:i/>
          <w:iCs/>
          <w:sz w:val="24"/>
          <w:szCs w:val="24"/>
        </w:rPr>
        <w:t>Avenida Antônio Carlos, 6627, 31270-901</w:t>
      </w:r>
      <w:r>
        <w:rPr>
          <w:rFonts w:ascii="Times New Roman" w:eastAsiaTheme="minorHAnsi" w:hAnsi="Times New Roman" w:cs="Times New Roman"/>
          <w:i/>
          <w:iCs/>
          <w:sz w:val="24"/>
          <w:szCs w:val="24"/>
        </w:rPr>
        <w:t xml:space="preserve">, </w:t>
      </w:r>
      <w:r w:rsidRPr="000709E4">
        <w:rPr>
          <w:rFonts w:ascii="Times New Roman" w:eastAsiaTheme="minorHAnsi" w:hAnsi="Times New Roman" w:cs="Times New Roman"/>
          <w:i/>
          <w:iCs/>
          <w:sz w:val="24"/>
          <w:szCs w:val="24"/>
        </w:rPr>
        <w:t xml:space="preserve">Universidade Federal de Minas Gerais, Belo Horizonte, MG, </w:t>
      </w:r>
      <w:proofErr w:type="spellStart"/>
      <w:r w:rsidRPr="000709E4">
        <w:rPr>
          <w:rFonts w:ascii="Times New Roman" w:eastAsiaTheme="minorHAnsi" w:hAnsi="Times New Roman" w:cs="Times New Roman"/>
          <w:i/>
          <w:iCs/>
          <w:sz w:val="24"/>
          <w:szCs w:val="24"/>
        </w:rPr>
        <w:t>Brazil</w:t>
      </w:r>
      <w:proofErr w:type="spellEnd"/>
    </w:p>
    <w:p w14:paraId="17DEF979" w14:textId="77777777" w:rsidR="00035506" w:rsidRPr="008F7176" w:rsidRDefault="00035506" w:rsidP="00035506">
      <w:pPr>
        <w:autoSpaceDE w:val="0"/>
        <w:autoSpaceDN w:val="0"/>
        <w:adjustRightInd w:val="0"/>
        <w:spacing w:after="0" w:line="360" w:lineRule="auto"/>
        <w:jc w:val="center"/>
        <w:rPr>
          <w:rFonts w:ascii="Times New Roman" w:eastAsiaTheme="minorHAnsi" w:hAnsi="Times New Roman" w:cs="Times New Roman"/>
          <w:i/>
          <w:iCs/>
          <w:sz w:val="24"/>
          <w:szCs w:val="24"/>
        </w:rPr>
      </w:pPr>
    </w:p>
    <w:p w14:paraId="601554FF" w14:textId="77777777" w:rsidR="00035506" w:rsidRPr="008F7176" w:rsidRDefault="00035506" w:rsidP="00035506">
      <w:pPr>
        <w:autoSpaceDE w:val="0"/>
        <w:autoSpaceDN w:val="0"/>
        <w:adjustRightInd w:val="0"/>
        <w:spacing w:after="0" w:line="360" w:lineRule="auto"/>
        <w:jc w:val="center"/>
        <w:rPr>
          <w:rFonts w:ascii="Times New Roman" w:eastAsiaTheme="minorHAnsi" w:hAnsi="Times New Roman" w:cs="Times New Roman"/>
          <w:i/>
          <w:iCs/>
          <w:sz w:val="24"/>
          <w:szCs w:val="24"/>
        </w:rPr>
      </w:pPr>
    </w:p>
    <w:p w14:paraId="2D6AA3C3" w14:textId="77777777" w:rsidR="00035506" w:rsidRPr="008F7176" w:rsidRDefault="00035506" w:rsidP="00035506">
      <w:pPr>
        <w:autoSpaceDE w:val="0"/>
        <w:autoSpaceDN w:val="0"/>
        <w:adjustRightInd w:val="0"/>
        <w:spacing w:after="0" w:line="360" w:lineRule="auto"/>
        <w:jc w:val="center"/>
        <w:rPr>
          <w:rFonts w:ascii="Times New Roman" w:eastAsiaTheme="minorHAnsi" w:hAnsi="Times New Roman" w:cs="Times New Roman"/>
          <w:i/>
          <w:iCs/>
          <w:sz w:val="24"/>
          <w:szCs w:val="24"/>
        </w:rPr>
      </w:pPr>
    </w:p>
    <w:p w14:paraId="6F19439B" w14:textId="1A831B73" w:rsidR="00035506" w:rsidRDefault="00035506" w:rsidP="00035506">
      <w:pPr>
        <w:autoSpaceDE w:val="0"/>
        <w:autoSpaceDN w:val="0"/>
        <w:adjustRightInd w:val="0"/>
        <w:spacing w:after="0" w:line="360" w:lineRule="auto"/>
        <w:jc w:val="center"/>
        <w:rPr>
          <w:rFonts w:ascii="Times New Roman" w:eastAsiaTheme="minorHAnsi" w:hAnsi="Times New Roman" w:cs="Times New Roman"/>
          <w:i/>
          <w:iCs/>
          <w:sz w:val="24"/>
          <w:szCs w:val="24"/>
          <w:lang w:val="en-US"/>
        </w:rPr>
      </w:pPr>
      <w:r w:rsidRPr="009622E4">
        <w:rPr>
          <w:rFonts w:ascii="Times New Roman" w:eastAsiaTheme="minorHAnsi" w:hAnsi="Times New Roman" w:cs="Times New Roman"/>
          <w:i/>
          <w:iCs/>
          <w:sz w:val="24"/>
          <w:szCs w:val="24"/>
          <w:lang w:val="en-US"/>
        </w:rPr>
        <w:t>*</w:t>
      </w:r>
      <w:r>
        <w:rPr>
          <w:rFonts w:ascii="Times New Roman" w:eastAsiaTheme="minorHAnsi" w:hAnsi="Times New Roman" w:cs="Times New Roman"/>
          <w:i/>
          <w:iCs/>
          <w:sz w:val="24"/>
          <w:szCs w:val="24"/>
          <w:lang w:val="en-US"/>
        </w:rPr>
        <w:t xml:space="preserve"> </w:t>
      </w:r>
      <w:r w:rsidRPr="00887B76">
        <w:rPr>
          <w:rFonts w:ascii="Times New Roman" w:eastAsiaTheme="minorHAnsi" w:hAnsi="Times New Roman" w:cs="Times New Roman"/>
          <w:i/>
          <w:iCs/>
          <w:sz w:val="24"/>
          <w:szCs w:val="24"/>
          <w:lang w:val="en-US"/>
        </w:rPr>
        <w:t>patriciaspatricio1@gmail.com</w:t>
      </w:r>
      <w:r>
        <w:rPr>
          <w:rFonts w:ascii="Times New Roman" w:eastAsiaTheme="minorHAnsi" w:hAnsi="Times New Roman" w:cs="Times New Roman"/>
          <w:i/>
          <w:iCs/>
          <w:sz w:val="24"/>
          <w:szCs w:val="24"/>
          <w:lang w:val="en-US"/>
        </w:rPr>
        <w:br w:type="page"/>
      </w:r>
    </w:p>
    <w:p w14:paraId="6498B554" w14:textId="744EB887" w:rsidR="005215BE" w:rsidRDefault="005215BE" w:rsidP="005215BE">
      <w:pPr>
        <w:pStyle w:val="-1"/>
        <w:spacing w:before="120" w:after="120" w:line="360" w:lineRule="auto"/>
        <w:rPr>
          <w:szCs w:val="24"/>
          <w:lang w:val="en-US"/>
        </w:rPr>
      </w:pPr>
      <w:r w:rsidRPr="005215BE">
        <w:rPr>
          <w:szCs w:val="24"/>
          <w:lang w:val="en-US"/>
        </w:rPr>
        <w:lastRenderedPageBreak/>
        <w:t>In vitro biological reactivity test</w:t>
      </w:r>
    </w:p>
    <w:p w14:paraId="74A4E9EB" w14:textId="2E1218BC" w:rsidR="003719DC" w:rsidRPr="003719DC" w:rsidRDefault="003719DC" w:rsidP="003719DC">
      <w:pPr>
        <w:pStyle w:val="-1"/>
        <w:spacing w:before="120" w:after="120" w:line="360" w:lineRule="auto"/>
        <w:rPr>
          <w:b w:val="0"/>
          <w:szCs w:val="24"/>
          <w:lang w:val="en-US"/>
        </w:rPr>
      </w:pPr>
      <w:r w:rsidRPr="003719DC">
        <w:rPr>
          <w:bCs/>
          <w:szCs w:val="24"/>
          <w:lang w:val="en-US"/>
        </w:rPr>
        <w:t>Cell Thawing:</w:t>
      </w:r>
      <w:r>
        <w:rPr>
          <w:b w:val="0"/>
          <w:szCs w:val="24"/>
          <w:lang w:val="en-US"/>
        </w:rPr>
        <w:t xml:space="preserve"> </w:t>
      </w:r>
      <w:r w:rsidRPr="003719DC">
        <w:rPr>
          <w:b w:val="0"/>
          <w:szCs w:val="24"/>
          <w:lang w:val="en-US"/>
        </w:rPr>
        <w:t>Cryopreserved cells stored in liquid nitrogen (-150 to -196 °C) were rapidly thawed in a 37 °C water bath. The contents of each vial were slowly added dropwise to 5 mL of pre-warmed culture medium supplemented with 10% fetal bovine serum (FBS, free of mycoplasma, viruses, and endotoxins, Gibco</w:t>
      </w:r>
      <w:r w:rsidR="00522C9C">
        <w:rPr>
          <w:b w:val="0"/>
          <w:szCs w:val="24"/>
          <w:lang w:val="en-US"/>
        </w:rPr>
        <w:t xml:space="preserve">, </w:t>
      </w:r>
      <w:proofErr w:type="spellStart"/>
      <w:r w:rsidR="00522C9C" w:rsidRPr="00ED3E24">
        <w:rPr>
          <w:b w:val="0"/>
          <w:bCs/>
          <w:szCs w:val="24"/>
          <w:lang w:val="en-US"/>
        </w:rPr>
        <w:t>Thermo</w:t>
      </w:r>
      <w:proofErr w:type="spellEnd"/>
      <w:r w:rsidR="00522C9C" w:rsidRPr="00ED3E24">
        <w:rPr>
          <w:b w:val="0"/>
          <w:bCs/>
          <w:szCs w:val="24"/>
          <w:lang w:val="en-US"/>
        </w:rPr>
        <w:t xml:space="preserve"> Fisher Scientific, Eindhoven, Netherlands</w:t>
      </w:r>
      <w:r w:rsidRPr="003719DC">
        <w:rPr>
          <w:b w:val="0"/>
          <w:szCs w:val="24"/>
          <w:lang w:val="en-US"/>
        </w:rPr>
        <w:t>), 2 mM L-glutamine (</w:t>
      </w:r>
      <w:r w:rsidR="00701AEF" w:rsidRPr="00ED3E24">
        <w:rPr>
          <w:b w:val="0"/>
          <w:bCs/>
          <w:szCs w:val="24"/>
          <w:lang w:val="en-US"/>
        </w:rPr>
        <w:t>Sigma-Aldrich, St. Louis, USA</w:t>
      </w:r>
      <w:r w:rsidRPr="003719DC">
        <w:rPr>
          <w:b w:val="0"/>
          <w:szCs w:val="24"/>
          <w:lang w:val="en-US"/>
        </w:rPr>
        <w:t xml:space="preserve">), and 1% antibiotics (100 U/mL penicillin and 10 </w:t>
      </w:r>
      <w:r w:rsidRPr="003719DC">
        <w:rPr>
          <w:b w:val="0"/>
          <w:szCs w:val="24"/>
        </w:rPr>
        <w:t>μ</w:t>
      </w:r>
      <w:r w:rsidRPr="003719DC">
        <w:rPr>
          <w:b w:val="0"/>
          <w:szCs w:val="24"/>
          <w:lang w:val="en-US"/>
        </w:rPr>
        <w:t xml:space="preserve">g/mL streptomycin, </w:t>
      </w:r>
      <w:r w:rsidR="00701AEF" w:rsidRPr="00ED3E24">
        <w:rPr>
          <w:b w:val="0"/>
          <w:bCs/>
          <w:szCs w:val="24"/>
          <w:lang w:val="en-US"/>
        </w:rPr>
        <w:t>Sigma-Aldrich, St. Louis, USA</w:t>
      </w:r>
      <w:r w:rsidRPr="003719DC">
        <w:rPr>
          <w:b w:val="0"/>
          <w:szCs w:val="24"/>
          <w:lang w:val="en-US"/>
        </w:rPr>
        <w:t>) in 15 mL conical tubes. Tubes were centrifuged at 800–1200 rpm (</w:t>
      </w:r>
      <w:proofErr w:type="spellStart"/>
      <w:r w:rsidRPr="003719DC">
        <w:rPr>
          <w:b w:val="0"/>
          <w:szCs w:val="24"/>
          <w:lang w:val="en-US"/>
        </w:rPr>
        <w:t>Sorval</w:t>
      </w:r>
      <w:proofErr w:type="spellEnd"/>
      <w:r w:rsidRPr="003719DC">
        <w:rPr>
          <w:b w:val="0"/>
          <w:szCs w:val="24"/>
          <w:lang w:val="en-US"/>
        </w:rPr>
        <w:t xml:space="preserve"> RT-6000B, H-1000B rotor, 134–300 × g</w:t>
      </w:r>
      <w:r w:rsidR="00B97A7C">
        <w:rPr>
          <w:b w:val="0"/>
          <w:szCs w:val="24"/>
          <w:lang w:val="en-US"/>
        </w:rPr>
        <w:t xml:space="preserve">, </w:t>
      </w:r>
      <w:proofErr w:type="spellStart"/>
      <w:r w:rsidR="00B97A7C" w:rsidRPr="00ED3E24">
        <w:rPr>
          <w:b w:val="0"/>
          <w:bCs/>
          <w:szCs w:val="24"/>
          <w:lang w:val="en-US"/>
        </w:rPr>
        <w:t>Thermo</w:t>
      </w:r>
      <w:proofErr w:type="spellEnd"/>
      <w:r w:rsidR="00B97A7C" w:rsidRPr="00ED3E24">
        <w:rPr>
          <w:b w:val="0"/>
          <w:bCs/>
          <w:szCs w:val="24"/>
          <w:lang w:val="en-US"/>
        </w:rPr>
        <w:t xml:space="preserve"> Fisher Scientific, Eindhoven, Netherlands</w:t>
      </w:r>
      <w:r w:rsidRPr="003719DC">
        <w:rPr>
          <w:b w:val="0"/>
          <w:szCs w:val="24"/>
          <w:lang w:val="en-US"/>
        </w:rPr>
        <w:t>) for 3 minutes, and the supernatant was carefully discarded to remove DMSO completely. The cell pellet was resuspended in 8 mL of culture medium containing 10% FBS, and the cell suspension was transferred to T25 flasks, which were incubated at 37 °C in a humidified atmosphere with 5% CO₂.</w:t>
      </w:r>
    </w:p>
    <w:p w14:paraId="75AED2D4" w14:textId="0A0EBF47" w:rsidR="003719DC" w:rsidRPr="003719DC" w:rsidRDefault="003719DC" w:rsidP="003719DC">
      <w:pPr>
        <w:pStyle w:val="-1"/>
        <w:spacing w:before="120" w:after="120" w:line="360" w:lineRule="auto"/>
        <w:rPr>
          <w:b w:val="0"/>
          <w:szCs w:val="24"/>
          <w:lang w:val="en-US"/>
        </w:rPr>
      </w:pPr>
      <w:r w:rsidRPr="003719DC">
        <w:rPr>
          <w:bCs/>
          <w:szCs w:val="24"/>
          <w:lang w:val="en-US"/>
        </w:rPr>
        <w:t>Cell Subculture:</w:t>
      </w:r>
      <w:r w:rsidR="00B97A7C">
        <w:rPr>
          <w:b w:val="0"/>
          <w:szCs w:val="24"/>
          <w:lang w:val="en-US"/>
        </w:rPr>
        <w:t xml:space="preserve"> </w:t>
      </w:r>
      <w:r w:rsidRPr="003719DC">
        <w:rPr>
          <w:b w:val="0"/>
          <w:szCs w:val="24"/>
          <w:lang w:val="en-US"/>
        </w:rPr>
        <w:t xml:space="preserve">Subculturing was performed to expand the frozen cell stock and obtain sufficient cells for experiments. Once the monolayer reached 80–90% confluence, cells from a T25 flask (25 cm² growth area) were transferred to a T75 flask (75 cm² growth area), and similarly, cells from a T75 flask were split into two T75 flasks. The culture medium was removed, and cells were washed once with 8 mL of pre-warmed 1× PBS to remove FBS and cellular debris. PBS was discarded, and 0.15% trypsin (Gibco, </w:t>
      </w:r>
      <w:proofErr w:type="spellStart"/>
      <w:r w:rsidR="00B97A7C" w:rsidRPr="00ED3E24">
        <w:rPr>
          <w:b w:val="0"/>
          <w:bCs/>
          <w:szCs w:val="24"/>
          <w:lang w:val="en-US"/>
        </w:rPr>
        <w:t>Thermo</w:t>
      </w:r>
      <w:proofErr w:type="spellEnd"/>
      <w:r w:rsidR="00B97A7C" w:rsidRPr="00ED3E24">
        <w:rPr>
          <w:b w:val="0"/>
          <w:bCs/>
          <w:szCs w:val="24"/>
          <w:lang w:val="en-US"/>
        </w:rPr>
        <w:t xml:space="preserve"> Fisher Scientific, Eindhoven, Netherlands</w:t>
      </w:r>
      <w:r w:rsidRPr="003719DC">
        <w:rPr>
          <w:b w:val="0"/>
          <w:szCs w:val="24"/>
          <w:lang w:val="en-US"/>
        </w:rPr>
        <w:t>) with 0.53 mM EDTA (</w:t>
      </w:r>
      <w:r w:rsidR="00561A89" w:rsidRPr="00ED3E24">
        <w:rPr>
          <w:b w:val="0"/>
          <w:bCs/>
          <w:szCs w:val="24"/>
          <w:lang w:val="en-US"/>
        </w:rPr>
        <w:t>Affymetrix, Santa Clara, USA</w:t>
      </w:r>
      <w:r w:rsidRPr="003719DC">
        <w:rPr>
          <w:b w:val="0"/>
          <w:szCs w:val="24"/>
          <w:lang w:val="en-US"/>
        </w:rPr>
        <w:t xml:space="preserve">), pre-warmed to 37 °C (0.5 mL for T25 or 0.75 mL for T75), was added dropwise to the monolayer and incubated at 37 °C for 1 minute. Trypsin, a proteolytic enzyme, cleaves peptide bonds at the C-terminal side of lysine and arginine residues in cell adhesion proteins, facilitating detachment of cells. Its activity is inhibited by protease inhibitors present in FBS, such as </w:t>
      </w:r>
      <w:r w:rsidRPr="003719DC">
        <w:rPr>
          <w:b w:val="0"/>
          <w:szCs w:val="24"/>
        </w:rPr>
        <w:t>α</w:t>
      </w:r>
      <w:r w:rsidRPr="003719DC">
        <w:rPr>
          <w:b w:val="0"/>
          <w:szCs w:val="24"/>
          <w:lang w:val="en-US"/>
        </w:rPr>
        <w:t xml:space="preserve">1-antitrypsin and </w:t>
      </w:r>
      <w:r w:rsidRPr="003719DC">
        <w:rPr>
          <w:b w:val="0"/>
          <w:szCs w:val="24"/>
        </w:rPr>
        <w:t>α</w:t>
      </w:r>
      <w:r w:rsidRPr="003719DC">
        <w:rPr>
          <w:b w:val="0"/>
          <w:szCs w:val="24"/>
          <w:lang w:val="en-US"/>
        </w:rPr>
        <w:t>2-macroglobulin. After partial detachment was observed, cells were gently rinsed with 5–10 mL of medium containing 10% FBS to complete detachment and inactivate trypsin. The cell suspension was transferred to a 15 mL conical tube, centrifuged at 800–1200 rpm for 3 minutes, the supernatant discarded, and the pellet resuspended in medium with 10% FBS for transfer to new flask(s). An aliquot of 2 × 10⁶ cells was separated for DNA extraction and mycoplasma testing.</w:t>
      </w:r>
    </w:p>
    <w:p w14:paraId="4EDB15F6" w14:textId="28EDBEC2" w:rsidR="003719DC" w:rsidRPr="003719DC" w:rsidRDefault="003719DC" w:rsidP="003719DC">
      <w:pPr>
        <w:pStyle w:val="-1"/>
        <w:spacing w:before="120" w:after="120" w:line="360" w:lineRule="auto"/>
        <w:rPr>
          <w:b w:val="0"/>
          <w:szCs w:val="24"/>
          <w:lang w:val="en-US"/>
        </w:rPr>
      </w:pPr>
      <w:r w:rsidRPr="003719DC">
        <w:rPr>
          <w:bCs/>
          <w:szCs w:val="24"/>
          <w:lang w:val="en-US"/>
        </w:rPr>
        <w:t>Cell Counting and Viability</w:t>
      </w:r>
      <w:r w:rsidRPr="003719DC">
        <w:rPr>
          <w:b w:val="0"/>
          <w:szCs w:val="24"/>
          <w:lang w:val="en-US"/>
        </w:rPr>
        <w:t>:</w:t>
      </w:r>
      <w:r w:rsidR="00561A89">
        <w:rPr>
          <w:b w:val="0"/>
          <w:szCs w:val="24"/>
          <w:lang w:val="en-US"/>
        </w:rPr>
        <w:t xml:space="preserve"> </w:t>
      </w:r>
      <w:r w:rsidRPr="003719DC">
        <w:rPr>
          <w:b w:val="0"/>
          <w:szCs w:val="24"/>
          <w:lang w:val="en-US"/>
        </w:rPr>
        <w:t xml:space="preserve">After trypsinization, an aliquot of the cell suspension was collected for counting and viability assessment. Counting was performed using a </w:t>
      </w:r>
      <w:r w:rsidRPr="003719DC">
        <w:rPr>
          <w:b w:val="0"/>
          <w:szCs w:val="24"/>
          <w:lang w:val="en-US"/>
        </w:rPr>
        <w:lastRenderedPageBreak/>
        <w:t>Neubauer chamber, and viability was determined with 0.5% trypan blue (Sigma). Trypan blue is excluded by the intact membranes of viable cells but penetrates non-viable cells, staining them blue.</w:t>
      </w:r>
    </w:p>
    <w:p w14:paraId="45E65D73" w14:textId="1A6BD4B3" w:rsidR="003719DC" w:rsidRPr="003719DC" w:rsidRDefault="003719DC" w:rsidP="003719DC">
      <w:pPr>
        <w:pStyle w:val="-1"/>
        <w:spacing w:before="120" w:after="120" w:line="360" w:lineRule="auto"/>
        <w:rPr>
          <w:b w:val="0"/>
          <w:szCs w:val="24"/>
          <w:lang w:val="en-US"/>
        </w:rPr>
      </w:pPr>
      <w:r w:rsidRPr="003719DC">
        <w:rPr>
          <w:bCs/>
          <w:szCs w:val="24"/>
          <w:lang w:val="en-US"/>
        </w:rPr>
        <w:t>Cryopreservation:</w:t>
      </w:r>
      <w:r w:rsidR="00561A89">
        <w:rPr>
          <w:bCs/>
          <w:szCs w:val="24"/>
          <w:lang w:val="en-US"/>
        </w:rPr>
        <w:t xml:space="preserve"> </w:t>
      </w:r>
      <w:r w:rsidRPr="003719DC">
        <w:rPr>
          <w:b w:val="0"/>
          <w:szCs w:val="24"/>
          <w:lang w:val="en-US"/>
        </w:rPr>
        <w:t xml:space="preserve">For long-term storage, </w:t>
      </w:r>
      <w:proofErr w:type="spellStart"/>
      <w:r w:rsidRPr="003719DC">
        <w:rPr>
          <w:b w:val="0"/>
          <w:szCs w:val="24"/>
          <w:lang w:val="en-US"/>
        </w:rPr>
        <w:t>subcultured</w:t>
      </w:r>
      <w:proofErr w:type="spellEnd"/>
      <w:r w:rsidRPr="003719DC">
        <w:rPr>
          <w:b w:val="0"/>
          <w:szCs w:val="24"/>
          <w:lang w:val="en-US"/>
        </w:rPr>
        <w:t xml:space="preserve"> and counted cells were resuspended in DMEM supplemented with 50% FBS and 10% DMSO, stored at -80 °C for 24–72 hours, and subsequently transferred to a liquid nitrogen container (Locator 8 – </w:t>
      </w:r>
      <w:proofErr w:type="spellStart"/>
      <w:r w:rsidRPr="003719DC">
        <w:rPr>
          <w:b w:val="0"/>
          <w:szCs w:val="24"/>
          <w:lang w:val="en-US"/>
        </w:rPr>
        <w:t>Thermolyne</w:t>
      </w:r>
      <w:proofErr w:type="spellEnd"/>
      <w:r w:rsidRPr="003719DC">
        <w:rPr>
          <w:b w:val="0"/>
          <w:szCs w:val="24"/>
          <w:lang w:val="en-US"/>
        </w:rPr>
        <w:t>) for long-term preservation. After one week, a vial was thawed to confirm cryopreservation efficiency.</w:t>
      </w:r>
    </w:p>
    <w:p w14:paraId="319BF1E0" w14:textId="5C22ED52" w:rsidR="003719DC" w:rsidRPr="003719DC" w:rsidRDefault="003719DC" w:rsidP="003719DC">
      <w:pPr>
        <w:pStyle w:val="-1"/>
        <w:spacing w:before="120" w:after="120" w:line="360" w:lineRule="auto"/>
        <w:rPr>
          <w:b w:val="0"/>
          <w:szCs w:val="24"/>
          <w:lang w:val="en-US"/>
        </w:rPr>
      </w:pPr>
      <w:r w:rsidRPr="003719DC">
        <w:rPr>
          <w:bCs/>
          <w:szCs w:val="24"/>
          <w:lang w:val="en-US"/>
        </w:rPr>
        <w:t>Mycoplasma Testing:</w:t>
      </w:r>
      <w:r w:rsidR="00561A89">
        <w:rPr>
          <w:b w:val="0"/>
          <w:szCs w:val="24"/>
          <w:lang w:val="en-US"/>
        </w:rPr>
        <w:t xml:space="preserve"> </w:t>
      </w:r>
      <w:r w:rsidRPr="003719DC">
        <w:rPr>
          <w:b w:val="0"/>
          <w:szCs w:val="24"/>
          <w:lang w:val="en-US"/>
        </w:rPr>
        <w:t xml:space="preserve">Mycoplasma contamination is a major source of cell culture interference, affecting cell morphology, proliferation, and genetic stability, thereby compromising scientific results. Due to their small size (0.3–0.8 </w:t>
      </w:r>
      <w:r w:rsidRPr="003719DC">
        <w:rPr>
          <w:b w:val="0"/>
          <w:szCs w:val="24"/>
        </w:rPr>
        <w:t>μ</w:t>
      </w:r>
      <w:r w:rsidRPr="003719DC">
        <w:rPr>
          <w:b w:val="0"/>
          <w:szCs w:val="24"/>
          <w:lang w:val="en-US"/>
        </w:rPr>
        <w:t>m) and lack of cell wall, mycoplasmas are difficult to visualize and detect. To monitor cell contamination, PCR amplification of the 16S rRNA gene from Mycoplasma sp. and the constitutively expressed GAPDH gene of Homo sapiens (as a control for DNA presence) was performed using genomic DNA extracted from the cells of interest.</w:t>
      </w:r>
    </w:p>
    <w:p w14:paraId="1D88B2BE" w14:textId="77777777" w:rsidR="003719DC" w:rsidRPr="003719DC" w:rsidRDefault="003719DC" w:rsidP="005215BE">
      <w:pPr>
        <w:pStyle w:val="-1"/>
        <w:spacing w:before="120" w:after="120" w:line="360" w:lineRule="auto"/>
        <w:rPr>
          <w:b w:val="0"/>
          <w:bCs/>
          <w:szCs w:val="24"/>
          <w:lang w:val="en-US"/>
        </w:rPr>
      </w:pPr>
    </w:p>
    <w:p w14:paraId="07F53256" w14:textId="77777777" w:rsidR="005215BE" w:rsidRDefault="005215BE" w:rsidP="004C1551">
      <w:pPr>
        <w:pStyle w:val="Recuodecorpodetexto3"/>
        <w:spacing w:line="360" w:lineRule="auto"/>
        <w:ind w:firstLine="0"/>
        <w:jc w:val="center"/>
        <w:rPr>
          <w:b/>
          <w:bCs/>
          <w:sz w:val="20"/>
          <w:lang w:val="en-US"/>
        </w:rPr>
      </w:pPr>
    </w:p>
    <w:p w14:paraId="2D9A3B6E" w14:textId="77777777" w:rsidR="003719DC" w:rsidRDefault="003719DC" w:rsidP="004C1551">
      <w:pPr>
        <w:pStyle w:val="Recuodecorpodetexto3"/>
        <w:spacing w:line="360" w:lineRule="auto"/>
        <w:ind w:firstLine="0"/>
        <w:jc w:val="center"/>
        <w:rPr>
          <w:b/>
          <w:bCs/>
          <w:sz w:val="20"/>
          <w:lang w:val="en-US"/>
        </w:rPr>
      </w:pPr>
    </w:p>
    <w:p w14:paraId="7B2AD6EA" w14:textId="77777777" w:rsidR="003719DC" w:rsidRDefault="003719DC" w:rsidP="004C1551">
      <w:pPr>
        <w:pStyle w:val="Recuodecorpodetexto3"/>
        <w:spacing w:line="360" w:lineRule="auto"/>
        <w:ind w:firstLine="0"/>
        <w:jc w:val="center"/>
        <w:rPr>
          <w:b/>
          <w:bCs/>
          <w:sz w:val="20"/>
          <w:lang w:val="en-US"/>
        </w:rPr>
      </w:pPr>
    </w:p>
    <w:p w14:paraId="3E30F4FB" w14:textId="0773FE73" w:rsidR="004C1551" w:rsidRPr="00F60F5C" w:rsidRDefault="004C1551" w:rsidP="004C1551">
      <w:pPr>
        <w:pStyle w:val="Recuodecorpodetexto3"/>
        <w:spacing w:line="360" w:lineRule="auto"/>
        <w:ind w:firstLine="0"/>
        <w:jc w:val="center"/>
        <w:rPr>
          <w:sz w:val="20"/>
          <w:lang w:val="en-US"/>
        </w:rPr>
      </w:pPr>
      <w:r>
        <w:rPr>
          <w:b/>
          <w:bCs/>
          <w:noProof/>
          <w:sz w:val="20"/>
          <w:lang w:val="en-US"/>
          <w14:ligatures w14:val="standardContextual"/>
        </w:rPr>
        <w:lastRenderedPageBreak/>
        <w:drawing>
          <wp:inline distT="0" distB="0" distL="0" distR="0" wp14:anchorId="501BE486" wp14:editId="35A94735">
            <wp:extent cx="5400040" cy="5447665"/>
            <wp:effectExtent l="0" t="0" r="0" b="635"/>
            <wp:docPr id="933781008" name="Imagem 1" descr="Ovo branco em fundo verde&#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781008" name="Imagem 1" descr="Ovo branco em fundo verde&#10;&#10;O conteúdo gerado por IA pode estar incorreto."/>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5447665"/>
                    </a:xfrm>
                    <a:prstGeom prst="rect">
                      <a:avLst/>
                    </a:prstGeom>
                  </pic:spPr>
                </pic:pic>
              </a:graphicData>
            </a:graphic>
          </wp:inline>
        </w:drawing>
      </w:r>
      <w:r>
        <w:rPr>
          <w:b/>
          <w:bCs/>
          <w:sz w:val="20"/>
          <w:lang w:val="en-US"/>
        </w:rPr>
        <w:br/>
      </w:r>
      <w:r>
        <w:rPr>
          <w:b/>
          <w:bCs/>
          <w:sz w:val="20"/>
          <w:lang w:val="en-US"/>
        </w:rPr>
        <w:br/>
      </w:r>
      <w:r w:rsidRPr="003E7747">
        <w:rPr>
          <w:b/>
          <w:bCs/>
          <w:sz w:val="20"/>
          <w:lang w:val="en-US"/>
        </w:rPr>
        <w:t>Figure S</w:t>
      </w:r>
      <w:r>
        <w:rPr>
          <w:b/>
          <w:bCs/>
          <w:sz w:val="20"/>
          <w:lang w:val="en-US"/>
        </w:rPr>
        <w:t>1</w:t>
      </w:r>
      <w:r w:rsidRPr="003E7747">
        <w:rPr>
          <w:b/>
          <w:bCs/>
          <w:sz w:val="20"/>
          <w:lang w:val="en-US"/>
        </w:rPr>
        <w:t>.</w:t>
      </w:r>
      <w:r w:rsidRPr="003E7747">
        <w:rPr>
          <w:sz w:val="20"/>
          <w:lang w:val="en-US"/>
        </w:rPr>
        <w:t xml:space="preserve"> </w:t>
      </w:r>
      <w:r w:rsidRPr="00F60F5C">
        <w:rPr>
          <w:sz w:val="20"/>
          <w:lang w:val="en-US"/>
        </w:rPr>
        <w:t>Photographs of TPS and TPS/PBS filaments after the swelling test.</w:t>
      </w:r>
    </w:p>
    <w:p w14:paraId="3EC761CA" w14:textId="7733163A" w:rsidR="004C1551" w:rsidRDefault="004C1551" w:rsidP="00035506">
      <w:pPr>
        <w:pStyle w:val="Recuodecorpodetexto3"/>
        <w:spacing w:line="360" w:lineRule="auto"/>
        <w:ind w:firstLine="0"/>
        <w:jc w:val="center"/>
        <w:rPr>
          <w:b/>
          <w:bCs/>
          <w:sz w:val="20"/>
          <w:lang w:val="en-US"/>
        </w:rPr>
      </w:pPr>
    </w:p>
    <w:p w14:paraId="7ADC8EBF" w14:textId="77777777" w:rsidR="004C1551" w:rsidRDefault="004C1551" w:rsidP="00035506">
      <w:pPr>
        <w:pStyle w:val="Recuodecorpodetexto3"/>
        <w:spacing w:line="360" w:lineRule="auto"/>
        <w:ind w:firstLine="0"/>
        <w:jc w:val="center"/>
        <w:rPr>
          <w:b/>
          <w:bCs/>
          <w:sz w:val="20"/>
          <w:lang w:val="en-US"/>
        </w:rPr>
      </w:pPr>
    </w:p>
    <w:p w14:paraId="050B0961" w14:textId="77777777" w:rsidR="004C1551" w:rsidRPr="007B1752" w:rsidRDefault="004C1551" w:rsidP="004C1551">
      <w:pPr>
        <w:suppressAutoHyphens w:val="0"/>
        <w:autoSpaceDE w:val="0"/>
        <w:autoSpaceDN w:val="0"/>
        <w:adjustRightInd w:val="0"/>
        <w:spacing w:after="0" w:line="360" w:lineRule="auto"/>
        <w:jc w:val="center"/>
        <w:rPr>
          <w:rFonts w:ascii="Times New Roman" w:hAnsi="Times New Roman" w:cs="Times New Roman"/>
          <w:i/>
          <w:iCs/>
          <w:color w:val="000000"/>
          <w:sz w:val="24"/>
          <w:szCs w:val="24"/>
          <w:lang w:val="en-US" w:eastAsia="pt-BR"/>
        </w:rPr>
      </w:pPr>
      <w:r>
        <w:rPr>
          <w:rFonts w:ascii="Times New Roman" w:hAnsi="Times New Roman" w:cs="Times New Roman"/>
          <w:i/>
          <w:iCs/>
          <w:noProof/>
          <w:color w:val="000000"/>
          <w:sz w:val="24"/>
          <w:szCs w:val="24"/>
          <w:lang w:val="en-US" w:eastAsia="pt-BR"/>
          <w14:ligatures w14:val="standardContextual"/>
        </w:rPr>
        <w:lastRenderedPageBreak/>
        <w:drawing>
          <wp:inline distT="0" distB="0" distL="0" distR="0" wp14:anchorId="4E83DAD6" wp14:editId="336F2959">
            <wp:extent cx="5400040" cy="5445760"/>
            <wp:effectExtent l="0" t="0" r="0" b="2540"/>
            <wp:docPr id="1424168258" name="Imagem 2" descr="Ovo branco em fundo verde&#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68258" name="Imagem 2" descr="Ovo branco em fundo verde&#10;&#10;O conteúdo gerado por IA pode estar incorreto."/>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00040" cy="5445760"/>
                    </a:xfrm>
                    <a:prstGeom prst="rect">
                      <a:avLst/>
                    </a:prstGeom>
                  </pic:spPr>
                </pic:pic>
              </a:graphicData>
            </a:graphic>
          </wp:inline>
        </w:drawing>
      </w:r>
    </w:p>
    <w:p w14:paraId="13736F5C" w14:textId="5D43B8B2" w:rsidR="004C1551" w:rsidRPr="003E7747" w:rsidRDefault="004C1551" w:rsidP="004C1551">
      <w:pPr>
        <w:pStyle w:val="Recuodecorpodetexto3"/>
        <w:spacing w:line="360" w:lineRule="auto"/>
        <w:ind w:firstLine="0"/>
        <w:jc w:val="center"/>
        <w:rPr>
          <w:sz w:val="20"/>
          <w:lang w:val="en-US"/>
        </w:rPr>
      </w:pPr>
      <w:r w:rsidRPr="003E7747">
        <w:rPr>
          <w:b/>
          <w:bCs/>
          <w:sz w:val="20"/>
          <w:lang w:val="en-US"/>
        </w:rPr>
        <w:t>Figure S</w:t>
      </w:r>
      <w:r>
        <w:rPr>
          <w:b/>
          <w:bCs/>
          <w:sz w:val="20"/>
          <w:lang w:val="en-US"/>
        </w:rPr>
        <w:t>2</w:t>
      </w:r>
      <w:r w:rsidRPr="003E7747">
        <w:rPr>
          <w:b/>
          <w:bCs/>
          <w:sz w:val="20"/>
          <w:lang w:val="en-US"/>
        </w:rPr>
        <w:t>.</w:t>
      </w:r>
      <w:r w:rsidRPr="003E7747">
        <w:rPr>
          <w:sz w:val="20"/>
          <w:lang w:val="en-US"/>
        </w:rPr>
        <w:t xml:space="preserve"> </w:t>
      </w:r>
      <w:r w:rsidRPr="00F60F5C">
        <w:rPr>
          <w:sz w:val="20"/>
          <w:lang w:val="en-US"/>
        </w:rPr>
        <w:t>Photographs of TPSR and TPSR/PBS filaments after the swelling test.</w:t>
      </w:r>
    </w:p>
    <w:p w14:paraId="636DC427" w14:textId="77777777" w:rsidR="004C1551" w:rsidRDefault="004C1551" w:rsidP="00035506">
      <w:pPr>
        <w:pStyle w:val="Recuodecorpodetexto3"/>
        <w:spacing w:line="360" w:lineRule="auto"/>
        <w:ind w:firstLine="0"/>
        <w:jc w:val="center"/>
        <w:rPr>
          <w:b/>
          <w:bCs/>
          <w:sz w:val="20"/>
          <w:lang w:val="en-US"/>
        </w:rPr>
      </w:pPr>
    </w:p>
    <w:p w14:paraId="5C5CFAE3" w14:textId="11E2A457" w:rsidR="006149DB" w:rsidRDefault="006149DB" w:rsidP="00035506">
      <w:pPr>
        <w:pStyle w:val="Recuodecorpodetexto3"/>
        <w:spacing w:line="360" w:lineRule="auto"/>
        <w:ind w:firstLine="0"/>
        <w:jc w:val="center"/>
        <w:rPr>
          <w:b/>
          <w:bCs/>
          <w:sz w:val="20"/>
          <w:lang w:val="en-US"/>
        </w:rPr>
      </w:pPr>
      <w:r>
        <w:rPr>
          <w:b/>
          <w:bCs/>
          <w:noProof/>
          <w:sz w:val="20"/>
          <w:lang w:val="en-US"/>
          <w14:ligatures w14:val="standardContextual"/>
        </w:rPr>
        <w:lastRenderedPageBreak/>
        <w:drawing>
          <wp:inline distT="0" distB="0" distL="0" distR="0" wp14:anchorId="30AF2086" wp14:editId="63A95EA4">
            <wp:extent cx="4704841" cy="3600000"/>
            <wp:effectExtent l="0" t="0" r="635" b="635"/>
            <wp:docPr id="1999633011" name="Imagem 1" descr="Gráfi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33011" name="Imagem 1" descr="Gráfico&#10;&#10;O conteúdo gerado por IA pode estar incorreto."/>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04841" cy="3600000"/>
                    </a:xfrm>
                    <a:prstGeom prst="rect">
                      <a:avLst/>
                    </a:prstGeom>
                  </pic:spPr>
                </pic:pic>
              </a:graphicData>
            </a:graphic>
          </wp:inline>
        </w:drawing>
      </w:r>
    </w:p>
    <w:p w14:paraId="06C0F2E5" w14:textId="100C7A5C" w:rsidR="00597698" w:rsidRDefault="00597698" w:rsidP="00597698">
      <w:pPr>
        <w:pStyle w:val="-1"/>
        <w:spacing w:before="120" w:after="120" w:line="360" w:lineRule="auto"/>
        <w:jc w:val="center"/>
        <w:rPr>
          <w:b w:val="0"/>
          <w:sz w:val="20"/>
          <w:szCs w:val="20"/>
          <w:lang w:val="en-US"/>
        </w:rPr>
      </w:pPr>
      <w:r w:rsidRPr="00597698">
        <w:rPr>
          <w:sz w:val="20"/>
          <w:szCs w:val="20"/>
          <w:lang w:val="en-US"/>
        </w:rPr>
        <w:t>Figure S</w:t>
      </w:r>
      <w:r w:rsidR="00DE7F4D">
        <w:rPr>
          <w:sz w:val="20"/>
          <w:szCs w:val="20"/>
          <w:lang w:val="en-US"/>
        </w:rPr>
        <w:t>3</w:t>
      </w:r>
      <w:r w:rsidRPr="00597698">
        <w:rPr>
          <w:sz w:val="20"/>
          <w:szCs w:val="20"/>
          <w:lang w:val="en-US"/>
        </w:rPr>
        <w:t>.</w:t>
      </w:r>
      <w:r w:rsidRPr="00597698">
        <w:rPr>
          <w:b w:val="0"/>
          <w:bCs/>
          <w:sz w:val="20"/>
          <w:szCs w:val="20"/>
          <w:lang w:val="en-US"/>
        </w:rPr>
        <w:t xml:space="preserve"> </w:t>
      </w:r>
      <w:r w:rsidRPr="00597698">
        <w:rPr>
          <w:b w:val="0"/>
          <w:sz w:val="20"/>
          <w:szCs w:val="20"/>
          <w:lang w:val="en-US"/>
        </w:rPr>
        <w:t>Stress–</w:t>
      </w:r>
      <w:r w:rsidR="000C215E">
        <w:rPr>
          <w:b w:val="0"/>
          <w:sz w:val="20"/>
          <w:szCs w:val="20"/>
          <w:lang w:val="en-US"/>
        </w:rPr>
        <w:t>deformation</w:t>
      </w:r>
      <w:r w:rsidRPr="00597698">
        <w:rPr>
          <w:b w:val="0"/>
          <w:sz w:val="20"/>
          <w:szCs w:val="20"/>
          <w:lang w:val="en-US"/>
        </w:rPr>
        <w:t xml:space="preserve"> curves of TPS/PBS blends. a) Method M1. b) Method M2. c) Method M3.</w:t>
      </w:r>
    </w:p>
    <w:p w14:paraId="7BFE10AE" w14:textId="77777777" w:rsidR="00FB1CE2" w:rsidRPr="00235AFE" w:rsidRDefault="00FB1CE2" w:rsidP="00597698">
      <w:pPr>
        <w:pStyle w:val="-1"/>
        <w:spacing w:before="120" w:after="120" w:line="360" w:lineRule="auto"/>
        <w:jc w:val="center"/>
        <w:rPr>
          <w:b w:val="0"/>
          <w:sz w:val="20"/>
          <w:szCs w:val="20"/>
          <w:lang w:val="en-US"/>
        </w:rPr>
      </w:pPr>
    </w:p>
    <w:p w14:paraId="7E23A9CD" w14:textId="1C2BF9AC" w:rsidR="00A3462C" w:rsidRDefault="006A5940" w:rsidP="00035506">
      <w:pPr>
        <w:pStyle w:val="Recuodecorpodetexto3"/>
        <w:spacing w:line="360" w:lineRule="auto"/>
        <w:ind w:firstLine="0"/>
        <w:jc w:val="center"/>
        <w:rPr>
          <w:b/>
          <w:bCs/>
          <w:sz w:val="20"/>
          <w:lang w:val="en-US"/>
        </w:rPr>
      </w:pPr>
      <w:r>
        <w:rPr>
          <w:b/>
          <w:bCs/>
          <w:noProof/>
          <w:sz w:val="20"/>
          <w:lang w:val="en-US"/>
          <w14:ligatures w14:val="standardContextual"/>
        </w:rPr>
        <w:drawing>
          <wp:inline distT="0" distB="0" distL="0" distR="0" wp14:anchorId="5E160E94" wp14:editId="5EF477EB">
            <wp:extent cx="4704841" cy="3600000"/>
            <wp:effectExtent l="0" t="0" r="635" b="635"/>
            <wp:docPr id="405751257" name="Imagem 2" descr="Gráfic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751257" name="Imagem 2" descr="Gráfico&#10;&#10;O conteúdo gerado por IA pode estar incorreto."/>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04841" cy="3600000"/>
                    </a:xfrm>
                    <a:prstGeom prst="rect">
                      <a:avLst/>
                    </a:prstGeom>
                  </pic:spPr>
                </pic:pic>
              </a:graphicData>
            </a:graphic>
          </wp:inline>
        </w:drawing>
      </w:r>
    </w:p>
    <w:p w14:paraId="20D7B1D6" w14:textId="1BB9C5F5" w:rsidR="00274C2A" w:rsidRPr="00235AFE" w:rsidRDefault="00274C2A" w:rsidP="00274C2A">
      <w:pPr>
        <w:pStyle w:val="-1"/>
        <w:spacing w:before="120" w:after="120" w:line="360" w:lineRule="auto"/>
        <w:jc w:val="center"/>
        <w:rPr>
          <w:b w:val="0"/>
          <w:sz w:val="20"/>
          <w:szCs w:val="20"/>
          <w:lang w:val="en-US"/>
        </w:rPr>
      </w:pPr>
      <w:r w:rsidRPr="00274C2A">
        <w:rPr>
          <w:sz w:val="20"/>
          <w:szCs w:val="20"/>
          <w:lang w:val="en-US"/>
        </w:rPr>
        <w:t>Figure S</w:t>
      </w:r>
      <w:r w:rsidR="00DE7F4D">
        <w:rPr>
          <w:sz w:val="20"/>
          <w:szCs w:val="20"/>
          <w:lang w:val="en-US"/>
        </w:rPr>
        <w:t>4</w:t>
      </w:r>
      <w:r w:rsidRPr="00274C2A">
        <w:rPr>
          <w:sz w:val="20"/>
          <w:szCs w:val="20"/>
          <w:lang w:val="en-US"/>
        </w:rPr>
        <w:t>.</w:t>
      </w:r>
      <w:r w:rsidRPr="00274C2A">
        <w:rPr>
          <w:b w:val="0"/>
          <w:bCs/>
          <w:sz w:val="20"/>
          <w:szCs w:val="20"/>
          <w:lang w:val="en-US"/>
        </w:rPr>
        <w:t xml:space="preserve"> </w:t>
      </w:r>
      <w:r w:rsidRPr="00274C2A">
        <w:rPr>
          <w:b w:val="0"/>
          <w:sz w:val="20"/>
          <w:szCs w:val="20"/>
          <w:lang w:val="en-US"/>
        </w:rPr>
        <w:t>Stress–</w:t>
      </w:r>
      <w:r w:rsidR="000C215E">
        <w:rPr>
          <w:b w:val="0"/>
          <w:sz w:val="20"/>
          <w:szCs w:val="20"/>
          <w:lang w:val="en-US"/>
        </w:rPr>
        <w:t>deformation</w:t>
      </w:r>
      <w:r w:rsidRPr="00274C2A">
        <w:rPr>
          <w:b w:val="0"/>
          <w:sz w:val="20"/>
          <w:szCs w:val="20"/>
          <w:lang w:val="en-US"/>
        </w:rPr>
        <w:t xml:space="preserve"> curves of TPSR/PBS blends. a) Method M1. b) Method M2. c) Method M3.</w:t>
      </w:r>
    </w:p>
    <w:p w14:paraId="05A4F74F" w14:textId="77777777" w:rsidR="0060413E" w:rsidRPr="007B1752" w:rsidRDefault="0060413E">
      <w:pPr>
        <w:rPr>
          <w:lang w:val="en-US"/>
        </w:rPr>
      </w:pPr>
    </w:p>
    <w:sectPr w:rsidR="0060413E" w:rsidRPr="007B1752">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ED38B" w14:textId="77777777" w:rsidR="00541291" w:rsidRDefault="00541291" w:rsidP="00035506">
      <w:pPr>
        <w:spacing w:after="0" w:line="240" w:lineRule="auto"/>
      </w:pPr>
      <w:r>
        <w:separator/>
      </w:r>
    </w:p>
  </w:endnote>
  <w:endnote w:type="continuationSeparator" w:id="0">
    <w:p w14:paraId="72FE9C02" w14:textId="77777777" w:rsidR="00541291" w:rsidRDefault="00541291" w:rsidP="0003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9791742"/>
      <w:docPartObj>
        <w:docPartGallery w:val="Page Numbers (Bottom of Page)"/>
        <w:docPartUnique/>
      </w:docPartObj>
    </w:sdtPr>
    <w:sdtContent>
      <w:p w14:paraId="2DD4ACB6" w14:textId="403BF8D7" w:rsidR="00035506" w:rsidRDefault="00035506">
        <w:pPr>
          <w:pStyle w:val="Rodap"/>
          <w:jc w:val="center"/>
        </w:pPr>
        <w:r>
          <w:fldChar w:fldCharType="begin"/>
        </w:r>
        <w:r>
          <w:instrText>PAGE   \* MERGEFORMAT</w:instrText>
        </w:r>
        <w:r>
          <w:fldChar w:fldCharType="separate"/>
        </w:r>
        <w:r>
          <w:t>2</w:t>
        </w:r>
        <w:r>
          <w:fldChar w:fldCharType="end"/>
        </w:r>
      </w:p>
    </w:sdtContent>
  </w:sdt>
  <w:p w14:paraId="3F7E3B3B" w14:textId="77777777" w:rsidR="00035506" w:rsidRDefault="0003550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8C2FB" w14:textId="77777777" w:rsidR="00541291" w:rsidRDefault="00541291" w:rsidP="00035506">
      <w:pPr>
        <w:spacing w:after="0" w:line="240" w:lineRule="auto"/>
      </w:pPr>
      <w:r>
        <w:separator/>
      </w:r>
    </w:p>
  </w:footnote>
  <w:footnote w:type="continuationSeparator" w:id="0">
    <w:p w14:paraId="1B103116" w14:textId="77777777" w:rsidR="00541291" w:rsidRDefault="00541291" w:rsidP="0003550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506"/>
    <w:rsid w:val="00002A57"/>
    <w:rsid w:val="00035506"/>
    <w:rsid w:val="000C0D43"/>
    <w:rsid w:val="000C215E"/>
    <w:rsid w:val="001B6737"/>
    <w:rsid w:val="00274C2A"/>
    <w:rsid w:val="002E4A22"/>
    <w:rsid w:val="003719DC"/>
    <w:rsid w:val="00381CB9"/>
    <w:rsid w:val="003E7747"/>
    <w:rsid w:val="00441A6B"/>
    <w:rsid w:val="00465CE0"/>
    <w:rsid w:val="004C1551"/>
    <w:rsid w:val="004C3ADB"/>
    <w:rsid w:val="004F2E2A"/>
    <w:rsid w:val="005215BE"/>
    <w:rsid w:val="00522C9C"/>
    <w:rsid w:val="00540367"/>
    <w:rsid w:val="00541291"/>
    <w:rsid w:val="00561A89"/>
    <w:rsid w:val="00597698"/>
    <w:rsid w:val="0060413E"/>
    <w:rsid w:val="006149DB"/>
    <w:rsid w:val="0062033F"/>
    <w:rsid w:val="006A5940"/>
    <w:rsid w:val="006A786C"/>
    <w:rsid w:val="006D21E4"/>
    <w:rsid w:val="00701AEF"/>
    <w:rsid w:val="007560B1"/>
    <w:rsid w:val="007B1752"/>
    <w:rsid w:val="00820AF1"/>
    <w:rsid w:val="0082609B"/>
    <w:rsid w:val="00873D08"/>
    <w:rsid w:val="008C21E8"/>
    <w:rsid w:val="00944812"/>
    <w:rsid w:val="00957B28"/>
    <w:rsid w:val="00A06A83"/>
    <w:rsid w:val="00A3462C"/>
    <w:rsid w:val="00A660C5"/>
    <w:rsid w:val="00AB62F0"/>
    <w:rsid w:val="00B205E8"/>
    <w:rsid w:val="00B9243C"/>
    <w:rsid w:val="00B97A7C"/>
    <w:rsid w:val="00BC6331"/>
    <w:rsid w:val="00BD08D9"/>
    <w:rsid w:val="00BE180F"/>
    <w:rsid w:val="00BF44A4"/>
    <w:rsid w:val="00D1540C"/>
    <w:rsid w:val="00D94F7A"/>
    <w:rsid w:val="00DE7F4D"/>
    <w:rsid w:val="00E56743"/>
    <w:rsid w:val="00E8295B"/>
    <w:rsid w:val="00F60F5C"/>
    <w:rsid w:val="00FA64CA"/>
    <w:rsid w:val="00FB1C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280BF"/>
  <w15:chartTrackingRefBased/>
  <w15:docId w15:val="{6B48CCD3-666F-4BDB-9BF9-977E479F1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5506"/>
    <w:pPr>
      <w:suppressAutoHyphens/>
      <w:spacing w:after="200" w:line="276" w:lineRule="auto"/>
    </w:pPr>
    <w:rPr>
      <w:rFonts w:ascii="Calibri" w:eastAsia="Times New Roman" w:hAnsi="Calibri" w:cs="Calibri"/>
      <w:kern w:val="0"/>
      <w:lang w:eastAsia="zh-CN"/>
      <w14:ligatures w14:val="none"/>
    </w:rPr>
  </w:style>
  <w:style w:type="paragraph" w:styleId="Ttulo1">
    <w:name w:val="heading 1"/>
    <w:basedOn w:val="Normal"/>
    <w:next w:val="Normal"/>
    <w:link w:val="Ttulo1Char"/>
    <w:uiPriority w:val="9"/>
    <w:qFormat/>
    <w:rsid w:val="00035506"/>
    <w:pPr>
      <w:keepNext/>
      <w:keepLines/>
      <w:suppressAutoHyphens w:val="0"/>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tulo2">
    <w:name w:val="heading 2"/>
    <w:basedOn w:val="Normal"/>
    <w:next w:val="Normal"/>
    <w:link w:val="Ttulo2Char"/>
    <w:uiPriority w:val="9"/>
    <w:semiHidden/>
    <w:unhideWhenUsed/>
    <w:qFormat/>
    <w:rsid w:val="00035506"/>
    <w:pPr>
      <w:keepNext/>
      <w:keepLines/>
      <w:suppressAutoHyphens w:val="0"/>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tulo3">
    <w:name w:val="heading 3"/>
    <w:basedOn w:val="Normal"/>
    <w:next w:val="Normal"/>
    <w:link w:val="Ttulo3Char"/>
    <w:uiPriority w:val="9"/>
    <w:semiHidden/>
    <w:unhideWhenUsed/>
    <w:qFormat/>
    <w:rsid w:val="00035506"/>
    <w:pPr>
      <w:keepNext/>
      <w:keepLines/>
      <w:suppressAutoHyphens w:val="0"/>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tulo4">
    <w:name w:val="heading 4"/>
    <w:basedOn w:val="Normal"/>
    <w:next w:val="Normal"/>
    <w:link w:val="Ttulo4Char"/>
    <w:uiPriority w:val="9"/>
    <w:semiHidden/>
    <w:unhideWhenUsed/>
    <w:qFormat/>
    <w:rsid w:val="00035506"/>
    <w:pPr>
      <w:keepNext/>
      <w:keepLines/>
      <w:suppressAutoHyphens w:val="0"/>
      <w:spacing w:before="80" w:after="40" w:line="259"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tulo5">
    <w:name w:val="heading 5"/>
    <w:basedOn w:val="Normal"/>
    <w:next w:val="Normal"/>
    <w:link w:val="Ttulo5Char"/>
    <w:uiPriority w:val="9"/>
    <w:semiHidden/>
    <w:unhideWhenUsed/>
    <w:qFormat/>
    <w:rsid w:val="00035506"/>
    <w:pPr>
      <w:keepNext/>
      <w:keepLines/>
      <w:suppressAutoHyphens w:val="0"/>
      <w:spacing w:before="80" w:after="40" w:line="259"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tulo6">
    <w:name w:val="heading 6"/>
    <w:basedOn w:val="Normal"/>
    <w:next w:val="Normal"/>
    <w:link w:val="Ttulo6Char"/>
    <w:uiPriority w:val="9"/>
    <w:semiHidden/>
    <w:unhideWhenUsed/>
    <w:qFormat/>
    <w:rsid w:val="00035506"/>
    <w:pPr>
      <w:keepNext/>
      <w:keepLines/>
      <w:suppressAutoHyphens w:val="0"/>
      <w:spacing w:before="40" w:after="0" w:line="259"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tulo7">
    <w:name w:val="heading 7"/>
    <w:basedOn w:val="Normal"/>
    <w:next w:val="Normal"/>
    <w:link w:val="Ttulo7Char"/>
    <w:uiPriority w:val="9"/>
    <w:semiHidden/>
    <w:unhideWhenUsed/>
    <w:qFormat/>
    <w:rsid w:val="00035506"/>
    <w:pPr>
      <w:keepNext/>
      <w:keepLines/>
      <w:suppressAutoHyphens w:val="0"/>
      <w:spacing w:before="40" w:after="0" w:line="259"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tulo8">
    <w:name w:val="heading 8"/>
    <w:basedOn w:val="Normal"/>
    <w:next w:val="Normal"/>
    <w:link w:val="Ttulo8Char"/>
    <w:uiPriority w:val="9"/>
    <w:semiHidden/>
    <w:unhideWhenUsed/>
    <w:qFormat/>
    <w:rsid w:val="00035506"/>
    <w:pPr>
      <w:keepNext/>
      <w:keepLines/>
      <w:suppressAutoHyphens w:val="0"/>
      <w:spacing w:after="0" w:line="259"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tulo9">
    <w:name w:val="heading 9"/>
    <w:basedOn w:val="Normal"/>
    <w:next w:val="Normal"/>
    <w:link w:val="Ttulo9Char"/>
    <w:uiPriority w:val="9"/>
    <w:semiHidden/>
    <w:unhideWhenUsed/>
    <w:qFormat/>
    <w:rsid w:val="00035506"/>
    <w:pPr>
      <w:keepNext/>
      <w:keepLines/>
      <w:suppressAutoHyphens w:val="0"/>
      <w:spacing w:after="0"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035506"/>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035506"/>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035506"/>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035506"/>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035506"/>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035506"/>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035506"/>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035506"/>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035506"/>
    <w:rPr>
      <w:rFonts w:eastAsiaTheme="majorEastAsia" w:cstheme="majorBidi"/>
      <w:color w:val="272727" w:themeColor="text1" w:themeTint="D8"/>
    </w:rPr>
  </w:style>
  <w:style w:type="paragraph" w:styleId="Ttulo">
    <w:name w:val="Title"/>
    <w:basedOn w:val="Normal"/>
    <w:next w:val="Normal"/>
    <w:link w:val="TtuloChar"/>
    <w:uiPriority w:val="10"/>
    <w:qFormat/>
    <w:rsid w:val="00035506"/>
    <w:pPr>
      <w:suppressAutoHyphens w:val="0"/>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tuloChar">
    <w:name w:val="Título Char"/>
    <w:basedOn w:val="Fontepargpadro"/>
    <w:link w:val="Ttulo"/>
    <w:uiPriority w:val="10"/>
    <w:rsid w:val="0003550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035506"/>
    <w:pPr>
      <w:numPr>
        <w:ilvl w:val="1"/>
      </w:numPr>
      <w:suppressAutoHyphens w:val="0"/>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tuloChar">
    <w:name w:val="Subtítulo Char"/>
    <w:basedOn w:val="Fontepargpadro"/>
    <w:link w:val="Subttulo"/>
    <w:uiPriority w:val="11"/>
    <w:rsid w:val="00035506"/>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035506"/>
    <w:pPr>
      <w:suppressAutoHyphens w:val="0"/>
      <w:spacing w:before="160" w:after="160" w:line="259"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oChar">
    <w:name w:val="Citação Char"/>
    <w:basedOn w:val="Fontepargpadro"/>
    <w:link w:val="Citao"/>
    <w:uiPriority w:val="29"/>
    <w:rsid w:val="00035506"/>
    <w:rPr>
      <w:i/>
      <w:iCs/>
      <w:color w:val="404040" w:themeColor="text1" w:themeTint="BF"/>
    </w:rPr>
  </w:style>
  <w:style w:type="paragraph" w:styleId="PargrafodaLista">
    <w:name w:val="List Paragraph"/>
    <w:basedOn w:val="Normal"/>
    <w:uiPriority w:val="34"/>
    <w:qFormat/>
    <w:rsid w:val="00035506"/>
    <w:pPr>
      <w:suppressAutoHyphens w:val="0"/>
      <w:spacing w:after="160" w:line="259" w:lineRule="auto"/>
      <w:ind w:left="720"/>
      <w:contextualSpacing/>
    </w:pPr>
    <w:rPr>
      <w:rFonts w:asciiTheme="minorHAnsi" w:eastAsiaTheme="minorHAnsi" w:hAnsiTheme="minorHAnsi" w:cstheme="minorBidi"/>
      <w:kern w:val="2"/>
      <w:lang w:eastAsia="en-US"/>
      <w14:ligatures w14:val="standardContextual"/>
    </w:rPr>
  </w:style>
  <w:style w:type="character" w:styleId="nfaseIntensa">
    <w:name w:val="Intense Emphasis"/>
    <w:basedOn w:val="Fontepargpadro"/>
    <w:uiPriority w:val="21"/>
    <w:qFormat/>
    <w:rsid w:val="00035506"/>
    <w:rPr>
      <w:i/>
      <w:iCs/>
      <w:color w:val="0F4761" w:themeColor="accent1" w:themeShade="BF"/>
    </w:rPr>
  </w:style>
  <w:style w:type="paragraph" w:styleId="CitaoIntensa">
    <w:name w:val="Intense Quote"/>
    <w:basedOn w:val="Normal"/>
    <w:next w:val="Normal"/>
    <w:link w:val="CitaoIntensaChar"/>
    <w:uiPriority w:val="30"/>
    <w:qFormat/>
    <w:rsid w:val="00035506"/>
    <w:pPr>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oIntensaChar">
    <w:name w:val="Citação Intensa Char"/>
    <w:basedOn w:val="Fontepargpadro"/>
    <w:link w:val="CitaoIntensa"/>
    <w:uiPriority w:val="30"/>
    <w:rsid w:val="00035506"/>
    <w:rPr>
      <w:i/>
      <w:iCs/>
      <w:color w:val="0F4761" w:themeColor="accent1" w:themeShade="BF"/>
    </w:rPr>
  </w:style>
  <w:style w:type="character" w:styleId="RefernciaIntensa">
    <w:name w:val="Intense Reference"/>
    <w:basedOn w:val="Fontepargpadro"/>
    <w:uiPriority w:val="32"/>
    <w:qFormat/>
    <w:rsid w:val="00035506"/>
    <w:rPr>
      <w:b/>
      <w:bCs/>
      <w:smallCaps/>
      <w:color w:val="0F4761" w:themeColor="accent1" w:themeShade="BF"/>
      <w:spacing w:val="5"/>
    </w:rPr>
  </w:style>
  <w:style w:type="paragraph" w:styleId="Cabealho">
    <w:name w:val="header"/>
    <w:basedOn w:val="Normal"/>
    <w:link w:val="CabealhoChar"/>
    <w:uiPriority w:val="99"/>
    <w:unhideWhenUsed/>
    <w:rsid w:val="0003550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35506"/>
    <w:rPr>
      <w:rFonts w:ascii="Calibri" w:eastAsia="Times New Roman" w:hAnsi="Calibri" w:cs="Calibri"/>
      <w:kern w:val="0"/>
      <w:lang w:eastAsia="zh-CN"/>
      <w14:ligatures w14:val="none"/>
    </w:rPr>
  </w:style>
  <w:style w:type="paragraph" w:styleId="Rodap">
    <w:name w:val="footer"/>
    <w:basedOn w:val="Normal"/>
    <w:link w:val="RodapChar"/>
    <w:uiPriority w:val="99"/>
    <w:unhideWhenUsed/>
    <w:rsid w:val="00035506"/>
    <w:pPr>
      <w:tabs>
        <w:tab w:val="center" w:pos="4252"/>
        <w:tab w:val="right" w:pos="8504"/>
      </w:tabs>
      <w:spacing w:after="0" w:line="240" w:lineRule="auto"/>
    </w:pPr>
  </w:style>
  <w:style w:type="character" w:customStyle="1" w:styleId="RodapChar">
    <w:name w:val="Rodapé Char"/>
    <w:basedOn w:val="Fontepargpadro"/>
    <w:link w:val="Rodap"/>
    <w:uiPriority w:val="99"/>
    <w:rsid w:val="00035506"/>
    <w:rPr>
      <w:rFonts w:ascii="Calibri" w:eastAsia="Times New Roman" w:hAnsi="Calibri" w:cs="Calibri"/>
      <w:kern w:val="0"/>
      <w:lang w:eastAsia="zh-CN"/>
      <w14:ligatures w14:val="none"/>
    </w:rPr>
  </w:style>
  <w:style w:type="paragraph" w:styleId="Recuodecorpodetexto3">
    <w:name w:val="Body Text Indent 3"/>
    <w:basedOn w:val="Normal"/>
    <w:link w:val="Recuodecorpodetexto3Char"/>
    <w:rsid w:val="00035506"/>
    <w:pPr>
      <w:suppressAutoHyphens w:val="0"/>
      <w:spacing w:after="0" w:line="240" w:lineRule="auto"/>
      <w:ind w:firstLine="709"/>
      <w:jc w:val="both"/>
    </w:pPr>
    <w:rPr>
      <w:rFonts w:ascii="Times New Roman" w:hAnsi="Times New Roman" w:cs="Times New Roman"/>
      <w:sz w:val="24"/>
      <w:szCs w:val="20"/>
      <w:lang w:eastAsia="pt-BR"/>
    </w:rPr>
  </w:style>
  <w:style w:type="character" w:customStyle="1" w:styleId="Recuodecorpodetexto3Char">
    <w:name w:val="Recuo de corpo de texto 3 Char"/>
    <w:basedOn w:val="Fontepargpadro"/>
    <w:link w:val="Recuodecorpodetexto3"/>
    <w:rsid w:val="00035506"/>
    <w:rPr>
      <w:rFonts w:ascii="Times New Roman" w:eastAsia="Times New Roman" w:hAnsi="Times New Roman" w:cs="Times New Roman"/>
      <w:kern w:val="0"/>
      <w:sz w:val="24"/>
      <w:szCs w:val="20"/>
      <w:lang w:eastAsia="pt-BR"/>
      <w14:ligatures w14:val="none"/>
    </w:rPr>
  </w:style>
  <w:style w:type="character" w:customStyle="1" w:styleId="-1CharChar">
    <w:name w:val="标-1 Char Char"/>
    <w:basedOn w:val="Fontepargpadro"/>
    <w:link w:val="-1"/>
    <w:locked/>
    <w:rsid w:val="00597698"/>
    <w:rPr>
      <w:rFonts w:ascii="Times New Roman" w:eastAsia="Times New Roman" w:hAnsi="Times New Roman" w:cs="Times New Roman"/>
      <w:b/>
      <w:sz w:val="24"/>
      <w:szCs w:val="18"/>
    </w:rPr>
  </w:style>
  <w:style w:type="paragraph" w:customStyle="1" w:styleId="-1">
    <w:name w:val="标-1"/>
    <w:basedOn w:val="Normal"/>
    <w:link w:val="-1CharChar"/>
    <w:rsid w:val="00597698"/>
    <w:pPr>
      <w:suppressAutoHyphens w:val="0"/>
      <w:spacing w:beforeLines="50" w:afterLines="50" w:after="0" w:line="240" w:lineRule="auto"/>
      <w:jc w:val="both"/>
    </w:pPr>
    <w:rPr>
      <w:rFonts w:ascii="Times New Roman" w:hAnsi="Times New Roman" w:cs="Times New Roman"/>
      <w:b/>
      <w:kern w:val="2"/>
      <w:sz w:val="24"/>
      <w:szCs w:val="18"/>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tif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6</Pages>
  <Words>762</Words>
  <Characters>4121</Characters>
  <Application>Microsoft Office Word</Application>
  <DocSecurity>0</DocSecurity>
  <Lines>34</Lines>
  <Paragraphs>9</Paragraphs>
  <ScaleCrop>false</ScaleCrop>
  <Company/>
  <LinksUpToDate>false</LinksUpToDate>
  <CharactersWithSpaces>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Jhonatan Bispo</dc:creator>
  <cp:keywords/>
  <dc:description/>
  <cp:lastModifiedBy>Jhonatan Bispo</cp:lastModifiedBy>
  <cp:revision>26</cp:revision>
  <dcterms:created xsi:type="dcterms:W3CDTF">2025-09-05T20:42:00Z</dcterms:created>
  <dcterms:modified xsi:type="dcterms:W3CDTF">2026-05-12T18:22:00Z</dcterms:modified>
</cp:coreProperties>
</file>