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Supplementary information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ee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ee0000"/>
          <w:rtl w:val="0"/>
        </w:rPr>
        <w:t xml:space="preserve">Rapid adsorptive and optimization of batch process for removal of methylene blue using hybrid GA@SnO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ee0000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ee0000"/>
          <w:rtl w:val="0"/>
        </w:rPr>
        <w:t xml:space="preserve">-AC</w:t>
      </w:r>
      <w:r w:rsidDel="00000000" w:rsidR="00000000" w:rsidRPr="00000000">
        <w:rPr>
          <w:rFonts w:ascii="Times New Roman" w:cs="Times New Roman" w:eastAsia="Times New Roman" w:hAnsi="Times New Roman"/>
          <w:color w:val="ee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ee0000"/>
          <w:rtl w:val="0"/>
        </w:rPr>
        <w:t xml:space="preserve">composite materials</w:t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John Busayo Adeoye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 xml:space="preserve">1,2*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Sie Yon Lau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 xml:space="preserve">1,11*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Yie Hua Tan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Yee Yong Tan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Tung Chiong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Nabisab Mujawar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Mubarak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5,6,7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Mohammad Khalid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Jeffrey Tze Wei Ng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Department of Chemical and Energy Engineering, Faculty of Engineering and Science, Curtin University Malaysia, CDT 250, 98009 Miri, Sarawak, Malaysia</w:t>
      </w:r>
    </w:p>
    <w:p w:rsidR="00000000" w:rsidDel="00000000" w:rsidP="00000000" w:rsidRDefault="00000000" w:rsidRPr="00000000" w14:paraId="00000005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Department of ChemicalEngineering,Covenant University, Ota, Ogun State, Nigeria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Chemical and Energy Engineering, Faculty of Engineering, UniversitiTeknologi Brunei, Gadong, BE1410, Brunei Darussalam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Department of Civil and Construction Engineering, Faculty of Engineering and Science, Curtin University Malaysia, CDT 250, Miri, Sarawak, 98009, Malaysia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superscript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Department of Chemical Engineering, College of Engineering, Imam Mohammad Ibn Saud Islamic University(IMSIU), Riyadh, 11432, Saudi Arabia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Department of Biosciences, Saveetha School of Engineering, Saveetha Institute of Medical and Technical Sciences, Chennai,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super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Centre for Research Impact and Outcome, Chitkara University, Rajpura, Punjab, 140401,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vertAlign w:val="superscript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James Watt School of Engineering, University ofGlasgow, G12 8QQ Glasgow, 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Manipal Institute of Technology, Manipal Academy of Higher Education, Manipal, Karnataka, 576104, India</w:t>
      </w:r>
    </w:p>
    <w:p w:rsidR="00000000" w:rsidDel="00000000" w:rsidP="00000000" w:rsidRDefault="00000000" w:rsidRPr="00000000" w14:paraId="0000000D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Enforture Sdn Bhd, 3, Jalan Hi-Tech 3/1, Semenyih Hi-Tech 3 Industrial Park, Semenyih, Selangor, 43500, Malaysia</w:t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Center of Excellence in New and Sustainable Energy Research and Ventures (CONSERV), Curtin University Malaysia, CFT 250, Miri, Sarawak, 98009, Malaysia</w:t>
      </w:r>
    </w:p>
    <w:p w:rsidR="00000000" w:rsidDel="00000000" w:rsidP="00000000" w:rsidRDefault="00000000" w:rsidRPr="00000000" w14:paraId="0000000F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Corresponding Author: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1"/>
            <w:iCs w:val="1"/>
            <w:smallCaps w:val="0"/>
            <w:strike w:val="0"/>
            <w:color w:val="00000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johnadeoye@postgrad.curtin.edu.my</w:t>
        </w:r>
      </w:hyperlink>
      <w:r w:rsidDel="00000000" w:rsidR="00000000" w:rsidRPr="00000000">
        <w:rPr>
          <w:rFonts w:ascii="Charis SIL" w:cs="Charis SIL" w:eastAsia="Charis SIL" w:hAnsi="Charis SI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1"/>
            <w:iCs w:val="1"/>
            <w:smallCaps w:val="0"/>
            <w:strike w:val="0"/>
            <w:color w:val="00000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johnlsy@curtin.edu.my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1"/>
            <w:iCs w:val="1"/>
            <w:smallCaps w:val="0"/>
            <w:strike w:val="0"/>
            <w:color w:val="00000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yiehua.tan@utb.edu.bn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1f1f1f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0"/>
          <w:szCs w:val="20"/>
          <w:rtl w:val="0"/>
        </w:rPr>
        <w:t xml:space="preserve">Text S1. Isotherm, kinetics, and thermodynamic equations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Isotherms adsorption study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Langmuir model was used to describe the adsorption equilibrium between the adsorbent and adsorbate systems, in which adsorbate adsorption is limited to a molecular layer before a relative pressure of unity is attained. The linearized form is evaluated using</w:t>
      </w:r>
      <w:bookmarkStart w:colFirst="0" w:colLast="0" w:name="yh6nu7mm2r74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the Langmuir equation in Table S1, where q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bscript"/>
          <w:rtl w:val="0"/>
        </w:rPr>
        <w:t xml:space="preserve">max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 is the maximum adsorption capacity of metal ions (mg/g).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Freundlich model is based on the interaction of adsorbed molecules in an adsorption multilayer. The linearized form of the Freundlich model equation is given as in Table S1, where K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bscript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 and n are the Freundlich constant; n gives speculations about the favourability of the adsorption process, and K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bscript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 is the metal ions adsorption capacity.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adsorption effect on adsorbate interactions was described by the Temkin model.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linearized form of the equation is given as </w:t>
      </w:r>
      <w:bookmarkStart w:colFirst="0" w:colLast="0" w:name="oho7xul61f9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 Table S1, where K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bscript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 (L/mg) is the Temkin model constant, and B is the heat adsorption (kJ/mol). Where indicates the adsorbent adsorption potential, R is the universal gas constant (8.314 J/mol K), and T (K) is the temperature.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Dubinin-Radushkevich helps to determine the type of adsorption process present, whether chemisorption or physisorption. The Linearized form is given in Table S1, where q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bscript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 is the saturation adsorption capacity, mg/g; K is the activity constant-coefficient- constant related to adsorption capacity; Ԑ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 is the Polanyi potential (kJ/mol), and E is the mean free energy of adsorption (J/mol).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Polanyi potential is estimated using the </w:t>
      </w:r>
      <w:bookmarkStart w:colFirst="0" w:colLast="0" w:name="knrhbmifgcd" w:id="2"/>
      <w:bookmarkEnd w:id="2"/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0"/>
            <w:szCs w:val="20"/>
            <w:u w:val="single"/>
            <w:rtl w:val="0"/>
          </w:rPr>
          <w:t xml:space="preserve">Eq. (8)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(8)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mean adsorption energy E in KJ/mol is estimated using </w:t>
      </w:r>
      <w:bookmarkStart w:colFirst="0" w:colLast="0" w:name="aykw32b51u6p" w:id="3"/>
      <w:bookmarkEnd w:id="3"/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0"/>
            <w:szCs w:val="20"/>
            <w:u w:val="single"/>
            <w:rtl w:val="0"/>
          </w:rPr>
          <w:t xml:space="preserve">Eq. (9)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(9)</w:t>
      </w:r>
    </w:p>
    <w:p w:rsidR="00000000" w:rsidDel="00000000" w:rsidP="00000000" w:rsidRDefault="00000000" w:rsidRPr="00000000" w14:paraId="0000001C">
      <w:pPr>
        <w:shd w:fill="ffffff" w:val="clear"/>
        <w:spacing w:after="0"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1f1f1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Table S1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Detailed information of Isotherm, kinetic, and thermodynamic equations.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-1065" w:tblpY="0"/>
        <w:tblW w:w="10895.0" w:type="dxa"/>
        <w:jc w:val="left"/>
        <w:tblBorders>
          <w:top w:color="000000" w:space="0" w:sz="0" w:val="nil"/>
          <w:bottom w:color="000000" w:space="0" w:sz="0" w:val="nil"/>
        </w:tblBorders>
        <w:tblLayout w:type="fixed"/>
        <w:tblLook w:val="04A0"/>
      </w:tblPr>
      <w:tblGrid>
        <w:gridCol w:w="2007"/>
        <w:gridCol w:w="1938"/>
        <w:gridCol w:w="2792"/>
        <w:gridCol w:w="4158"/>
        <w:tblGridChange w:id="0">
          <w:tblGrid>
            <w:gridCol w:w="2007"/>
            <w:gridCol w:w="1938"/>
            <w:gridCol w:w="2792"/>
            <w:gridCol w:w="4158"/>
          </w:tblGrid>
        </w:tblGridChange>
      </w:tblGrid>
      <w:tr>
        <w:trPr>
          <w:cantSplit w:val="0"/>
          <w:trHeight w:val="488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Type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Models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Linear Equations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Parameters</w:t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Isotherm models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Langmuir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C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</m:den>
              </m:f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m</m:t>
                      </m:r>
                    </m:sub>
                  </m:sSub>
                </m:den>
              </m:f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C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+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L</m:t>
                      </m:r>
                    </m:sub>
                  </m:sSub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m</m:t>
                      </m:r>
                    </m:sub>
                  </m:sSub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q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subscript"/>
                <w:rtl w:val="0"/>
              </w:rPr>
              <w:t xml:space="preserve">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maximum adsorption capacity (mg/g);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subscript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TC and MB concentrations at equilibrium (mg/L);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subscript"/>
                <w:rtl w:val="0"/>
              </w:rPr>
              <w:t xml:space="preserve">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Langmuir constant (L/mg).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Freundlich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m:oMath>
              <m:box>
                <m:boxPr>
                  <m:opEmu m:val="1"/>
                </m:boxPr>
                <m:e>
                  <m: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  <m:r>
                <w:rPr/>
                <m:t xml:space="preserve"> </m:t>
              </m:r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f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+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n</m:t>
                  </m:r>
                </m:den>
              </m:f>
              <m:r>
                <w:rPr/>
                <m:t xml:space="preserve"> </m:t>
              </m:r>
              <m:box>
                <m:boxPr>
                  <m:opEmu m:val="1"/>
                  <m:ctrlPr>
                    <w:rPr/>
                  </m:ctrlPr>
                </m:boxPr>
                <m:e>
                  <m:r>
                    <w:rPr/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C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  <m:r>
                <w:rPr/>
                <m:t xml:space="preserve"> 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subscript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and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are the Freundlich constants.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Temkin                        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B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T</m:t>
                  </m:r>
                </m:sub>
              </m:sSub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d>
                <m:dPr>
                  <m:begChr m:val="("/>
                  <m:endChr m:val=")"/>
                  <m:ctrlPr>
                    <w:rPr/>
                  </m:ctrlPr>
                </m:dPr>
                <m:e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T</m:t>
                      </m:r>
                    </m:sub>
                  </m:sSub>
                </m:e>
              </m:d>
              <m:r>
                <w:rPr/>
                <m:t xml:space="preserve"> </m:t>
              </m:r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 +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B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T</m:t>
                  </m:r>
                </m:sub>
              </m:sSub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d>
                <m:dPr>
                  <m:begChr m:val="("/>
                  <m:endChr m:val=")"/>
                  <m:ctrlPr>
                    <w:rPr/>
                  </m:ctrlPr>
                </m:dPr>
                <m:e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c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</m:e>
              </m:d>
              <m:r>
                <w:rPr/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Temkin equilibrium binding constant, corresponding to binding energy (L/mg), 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Temkin constant in relative to 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heat of adsorption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(J/mol).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Dubinin-Radushkevich (D-R)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box>
                <m:boxPr>
                  <m:opEmu m:val="1"/>
                </m:boxPr>
                <m:e>
                  <m: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 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s</m:t>
                  </m:r>
                </m:sub>
              </m:sSub>
              <m:r>
                <w:rPr/>
                <m:t xml:space="preserve">  </m:t>
              </m:r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- β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ε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s</m:t>
                  </m:r>
                </m:sub>
              </m:sSub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is the maximum sorption capacity,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is the quantity of pollutant adsorbed per unit weight of the adsorbent (mg/g)</w:t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Kinetics models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Pseudo-first order (PFO)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/>
            </w:pPr>
            <m:oMath>
              <m:box>
                <m:boxPr>
                  <m:opEmu m:val="1"/>
                </m:boxPr>
                <m:e>
                  <m: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-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t</m:t>
                      </m:r>
                    </m:sub>
                  </m:sSub>
                </m:e>
              </m:d>
              <m:r>
                <w:rPr/>
                <m:t xml:space="preserve"> </m:t>
              </m:r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-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t</m:t>
              </m:r>
              <m:r>
                <w:rPr/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q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adsorption capacity at equilibrium (mg/g);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q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subscript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adsorption capacity at time (mg/g), t;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PFO adsorption rate constant (min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).</w:t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Pseudo-second order (PSO)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t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t</m:t>
                      </m:r>
                    </m:sub>
                  </m:sSub>
                </m:den>
              </m:f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  <m:sup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2</m:t>
                      </m:r>
                    </m:sup>
                  </m:sSubSup>
                </m:den>
              </m:f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+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</m:den>
              </m:f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t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adsorption rate constant </w:t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((g/(mg·min)).</w:t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Elovich model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/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t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</m:den>
              </m:f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 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/>
                    <m:t>α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/>
                    <m:t>β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+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</m:den>
              </m:f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t</m:t>
              </m:r>
              <m:r>
                <w:rPr/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α: is the Elovich initial adsorption rate constant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0"/>
                <w:szCs w:val="20"/>
                <w:rtl w:val="0"/>
              </w:rPr>
              <w:t xml:space="preserve">(mg/(g·min)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; β is the Elovich desorption coefficient (mg/g).</w:t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Intra-particle diffusion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line="48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q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t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ip</m:t>
                  </m:r>
                </m:sub>
              </m:sSub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t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1/2</m:t>
                  </m:r>
                </m:sup>
              </m:s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+C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(mg/(g·min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0.5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)): is the intraparticle rate constant; 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(mg/g): is the film thickness of intra-particle diffusion adsorption.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Thermodynamic equations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           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         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∆G=-RT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d</m:t>
                  </m:r>
                </m:sub>
              </m:sSub>
              <m:r>
                <w:rPr/>
                <m:t xml:space="preserve"> 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  <w:tab/>
            </w:r>
          </w:p>
          <w:p w:rsidR="00000000" w:rsidDel="00000000" w:rsidP="00000000" w:rsidRDefault="00000000" w:rsidRPr="00000000" w14:paraId="0000004E">
            <w:pPr>
              <w:jc w:val="center"/>
              <w:rPr/>
            </w:pP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∆G=∆H-T∆S=-RT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c</m:t>
                  </m:r>
                </m:sub>
              </m:sSub>
              <m:r>
                <w:rPr/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m:oMath>
              <m:box>
                <m:boxPr>
                  <m:opEmu m:val="1"/>
                </m:boxPr>
                <m:e>
                  <m: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ln</m:t>
              </m:r>
              <m:r>
                <w:rPr/>
                <m:t xml:space="preserve"> 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d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∆S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R</m:t>
                  </m:r>
                </m:den>
              </m:f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-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∆H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RT</m:t>
                  </m:r>
                </m:den>
              </m:f>
              <m:r>
                <w:rPr/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d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q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C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e</m:t>
                      </m:r>
                    </m:sub>
                  </m:sSub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5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</w:t>
            </w:r>
            <m:oMath>
              <m:sSubSup>
                <m:sSub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e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o</m:t>
                  </m:r>
                </m:sup>
              </m:sSub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is the thermodynamic equilibrium constant (dimensionless);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M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w</m:t>
                  </m:r>
                </m:sub>
              </m:sSub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is the MB or TC molecular weight (g/mol)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;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γ is the coefficient activity, and [C]° is the pollutants standard concentration; T is the absolute temperature (K) and R is the ideal gas constant (8.314 J/mol. K).                                                                                                                                                         </w:t>
            </w:r>
          </w:p>
        </w:tc>
      </w:tr>
    </w:tbl>
    <w:p w:rsidR="00000000" w:rsidDel="00000000" w:rsidP="00000000" w:rsidRDefault="00000000" w:rsidRPr="00000000" w14:paraId="00000052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References</w:t>
      </w:r>
    </w:p>
    <w:p w:rsidR="00000000" w:rsidDel="00000000" w:rsidP="00000000" w:rsidRDefault="00000000" w:rsidRPr="00000000" w14:paraId="00000053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Adeoye JB, Balogun DO, Etemire OJ, Ezeh PN, Tan YH, Mubarak NM (2023) Rapid adsorptive removal of eosin </w:t>
      </w:r>
    </w:p>
    <w:p w:rsidR="00000000" w:rsidDel="00000000" w:rsidP="00000000" w:rsidRDefault="00000000" w:rsidRPr="00000000" w14:paraId="00000054">
      <w:pPr>
        <w:spacing w:after="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yellow and methyl orange using zeolite Y. Scientific Reports. 4;13(1):21373.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0"/>
            <w:szCs w:val="20"/>
            <w:u w:val="single"/>
            <w:rtl w:val="0"/>
          </w:rPr>
          <w:t xml:space="preserve">https://doi.org/10.1038/s41598-023-48675-4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haris SI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mbria Math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f7f7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about:blank" TargetMode="External"/><Relationship Id="rId10" Type="http://schemas.openxmlformats.org/officeDocument/2006/relationships/hyperlink" Target="https://www.sciencedirect.com/science/article/pii/S2405844020310185#fd9" TargetMode="External"/><Relationship Id="rId12" Type="http://schemas.openxmlformats.org/officeDocument/2006/relationships/hyperlink" Target="https://doi.org/10.1038/s41598-023-48675-4" TargetMode="External"/><Relationship Id="rId9" Type="http://schemas.openxmlformats.org/officeDocument/2006/relationships/hyperlink" Target="https://www.sciencedirect.com/science/article/pii/S2405844020310185#fd8" TargetMode="External"/><Relationship Id="rId5" Type="http://schemas.openxmlformats.org/officeDocument/2006/relationships/styles" Target="styles.xml"/><Relationship Id="rId6" Type="http://schemas.openxmlformats.org/officeDocument/2006/relationships/hyperlink" Target="mailto:johnadeoye@postgrad.curtin.edu.my" TargetMode="External"/><Relationship Id="rId7" Type="http://schemas.openxmlformats.org/officeDocument/2006/relationships/hyperlink" Target="mailto:johnlsy@curtin.edu.my" TargetMode="External"/><Relationship Id="rId8" Type="http://schemas.openxmlformats.org/officeDocument/2006/relationships/hyperlink" Target="mailto:yiehua.tan@utb.edu.b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arisSIL-regular.ttf"/><Relationship Id="rId2" Type="http://schemas.openxmlformats.org/officeDocument/2006/relationships/font" Target="fonts/CharisSIL-bold.ttf"/><Relationship Id="rId3" Type="http://schemas.openxmlformats.org/officeDocument/2006/relationships/font" Target="fonts/CharisSIL-italic.ttf"/><Relationship Id="rId4" Type="http://schemas.openxmlformats.org/officeDocument/2006/relationships/font" Target="fonts/CharisSIL-boldItalic.ttf"/><Relationship Id="rId5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5807dbab-9539-4bd2-939d-a71801f2fa56</vt:lpwstr>
  </property>
</Properties>
</file>