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8E5" w:rsidRDefault="00F018E5" w:rsidP="00BF547F">
      <w:pPr>
        <w:pStyle w:val="Heading1"/>
      </w:pPr>
      <w:r>
        <w:t>Supplementary Methods</w:t>
      </w:r>
    </w:p>
    <w:p w:rsidR="00657FB6" w:rsidRPr="00B135BC" w:rsidRDefault="00657FB6" w:rsidP="00657FB6">
      <w:pPr>
        <w:pStyle w:val="Heading2"/>
      </w:pPr>
      <w:r w:rsidRPr="00B135BC">
        <w:t xml:space="preserve">Growth media </w:t>
      </w:r>
    </w:p>
    <w:p w:rsidR="00657FB6" w:rsidRPr="00657FB6" w:rsidRDefault="006A325F" w:rsidP="006A325F">
      <w:r>
        <w:t xml:space="preserve">All bacterial strains are listed in </w:t>
      </w:r>
      <w:r w:rsidR="003E42B4">
        <w:t>Table S4</w:t>
      </w:r>
      <w:r>
        <w:t>. Strains were constructed via P1</w:t>
      </w:r>
      <w:r w:rsidRPr="006A325F">
        <w:rPr>
          <w:i/>
        </w:rPr>
        <w:t>vir</w:t>
      </w:r>
      <w:r>
        <w:t xml:space="preserve"> transductions </w:t>
      </w:r>
      <w:r>
        <w:fldChar w:fldCharType="begin"/>
      </w:r>
      <w:r w:rsidR="003E42B4">
        <w:instrText xml:space="preserve"> ADDIN ZOTERO_ITEM CSL_CITATION {"citationID":"3o59u65r3","properties":{"formattedCitation":"(Thomason et al. 2007)","plainCitation":"(Thomason et al. 2007)"},"citationItems":[{"id":212,"uris":["http://zotero.org/users/1841541/items/REX6GB9H"],"uri":["http://zotero.org/users/1841541/items/REX6GB9H"],"itemData":{"id":212,"type":"article-journal","title":"E. coli genome manipulation by P1 transduction","container-title":"Current Protocols in Molecular Biology / Edited by Frederick M. Ausubel ... [et Al.]","page":"Unit 1.17","volume":"Chapter 1","source":"NCBI PubMed","abstract":"This unit describes the procedure used to move portions of the E. coli genome from one genetic variant to another. Fragments of approximately 100 kb can be transferred by the P1 bacteriophage. The phage is first grown on a strain containing the elements to be moved, and the resulting phage lysate is used to infect a second recipient strain. The lysate will contain bacterial DNA as well as phage DNA, and genetic recombination, catalyzed by enzymes of the recipient strain, will incorporate the bacterial fragments into the recipient chromosome.","DOI":"10.1002/0471142727.mb0117s79","ISSN":"1934-3647","note":"PMID: 18265391","journalAbbreviation":"Curr Protoc Mol Biol","language":"eng","author":[{"family":"Thomason","given":"Lynn C."},{"family":"Costantino","given":"Nina"},{"family":"Court","given":"Donald L."}],"issued":{"date-parts":[["2007",7]]},"PMID":"18265391"}}],"schema":"https://github.com/citation-style-language/schema/raw/master/csl-citation.json"} </w:instrText>
      </w:r>
      <w:r>
        <w:fldChar w:fldCharType="separate"/>
      </w:r>
      <w:r w:rsidR="003E42B4" w:rsidRPr="003E42B4">
        <w:t>(Thomason et al. 2007)</w:t>
      </w:r>
      <w:r>
        <w:fldChar w:fldCharType="end"/>
      </w:r>
      <w:r>
        <w:t xml:space="preserve"> or single-step gene disruptions </w:t>
      </w:r>
      <w:r>
        <w:fldChar w:fldCharType="begin"/>
      </w:r>
      <w:r w:rsidR="003E42B4">
        <w:instrText xml:space="preserve"> ADDIN ZOTERO_ITEM CSL_CITATION {"citationID":"eif01dl9b","properties":{"formattedCitation":"(Datsenko and Wanner 2000)","plainCitation":"(Datsenko and Wanner 2000)"},"citationItems":[{"id":69,"uris":["http://zotero.org/users/1841541/items/JTFXHGZK"],"uri":["http://zotero.org/users/1841541/items/JTFXHGZK"],"itemData":{"id":69,"type":"article-journal","title":"One-step inactivation of chromosomal genes in Escherichia coli K-12 using PCR products","container-title":"Proceedings of the National Academy of Sciences of the United States of America","page":"6640-6645","volume":"97","issue":"12","source":"NCBI PubMed","abstract":"We have developed a simple and highly efficient method to disrupt chromosomal genes in Escherichia coli in which PCR primers provide the homology to the targeted gene(s). In this procedure, recombination requires the phage lambda Red recombinase, which is synthesized under the control of an inducible promoter on an easily curable, low copy number plasmid. To demonstrate the utility of this approach, we generated PCR products by using primers with 36- to 50-nt extensions that are homologous to regions adjacent to the gene to be inactivated and template plasmids carrying antibiotic resistance genes that are flanked by FRT (FLP recognition target) sites. By using the respective PCR products, we made 13 different disruptions of chromosomal genes. Mutants of the arcB, cyaA, lacZYA, ompR-envZ, phnR, pstB, pstCA, pstS, pstSCAB-phoU, recA, and torSTRCAD genes or operons were isolated as antibiotic-resistant colonies after the introduction into bacteria carrying a Red expression plasmid of synthetic (PCR-generated) DNA. The resistance genes were then eliminated by using a helper plasmid encoding the FLP recombinase which is also easily curable. This procedure should be widely useful, especially in genome analysis of E. coli and other bacteria because the procedure can be done in wild-type cells.","DOI":"10.1073/pnas.120163297","ISSN":"0027-8424","note":"PMID: 10829079 \nPMCID: PMC18686","journalAbbreviation":"Proc. Natl. Acad. Sci. U.S.A.","language":"eng","author":[{"family":"Datsenko","given":"K A"},{"family":"Wanner","given":"B L"}],"issued":{"date-parts":[["2000",6,6]]},"PMID":"10829079","PMCID":"PMC18686"}}],"schema":"https://github.com/citation-style-language/schema/raw/master/csl-citation.json"} </w:instrText>
      </w:r>
      <w:r>
        <w:fldChar w:fldCharType="separate"/>
      </w:r>
      <w:r w:rsidR="003E42B4" w:rsidRPr="003E42B4">
        <w:t>(Datsenko and Wanner 2000)</w:t>
      </w:r>
      <w:r>
        <w:fldChar w:fldCharType="end"/>
      </w:r>
      <w:r>
        <w:t>.</w:t>
      </w:r>
      <w:r w:rsidR="0057364C">
        <w:t xml:space="preserve"> </w:t>
      </w:r>
      <w:r w:rsidR="00657FB6" w:rsidRPr="00B135BC">
        <w:t xml:space="preserve">Luria broth (LB) </w:t>
      </w:r>
      <w:r w:rsidR="00F34749">
        <w:t xml:space="preserve">and </w:t>
      </w:r>
      <w:r w:rsidR="0057364C">
        <w:t>m</w:t>
      </w:r>
      <w:r w:rsidR="00657FB6" w:rsidRPr="00B135BC">
        <w:t xml:space="preserve">inimal medium “56” was prepared </w:t>
      </w:r>
      <w:r w:rsidR="0057364C">
        <w:t xml:space="preserve">as described </w:t>
      </w:r>
      <w:r w:rsidR="0057364C">
        <w:fldChar w:fldCharType="begin"/>
      </w:r>
      <w:r w:rsidR="003E42B4">
        <w:instrText xml:space="preserve"> ADDIN ZOTERO_ITEM CSL_CITATION {"citationID":"jvb3rhptb","properties":{"formattedCitation":"(Dimude et al. 2015)","plainCitation":"(Dimude et al. 2015)"},"citationItems":[{"id":366,"uris":["http://zotero.org/users/1841541/items/ZMMV637M"],"uri":["http://zotero.org/users/1841541/items/ZMMV637M"],"itemData":{"id":366,"type":"article-journal","title":"The Consequences of Replicating in the Wrong Orientation: Bacterial Chromosome Duplication without an Active Replication Origin","container-title":"mBio","volume":"6","issue":"6","source":"PubMed","abstract":"Chromosome replication is regulated in all organisms at the assembly stage of the replication machinery at specific origins. In Escherichia coli, the DnaA initiator protein regulates the assembly of replication forks at oriC. This regulation can be undermined by defects in nucleic acid metabolism. In cells lacking RNase HI, replication initiates independently of DnaA and oriC, presumably at persisting R-loops. A similar mechanism was assumed for origin-independent synthesis in cells lacking RecG. However, recently we suggested that this synthesis initiates at intermediates resulting from replication fork fusions. Here we present data suggesting that in cells lacking RecG or RNase HI, origin-independent synthesis arises by different mechanisms, indicative of these two proteins having different roles in vivo. Our data support the idea that RNase HI processes R-loops, while RecG is required to process replication fork fusion intermediates. However, regardless of how origin-independent synthesis is initiated, a fraction of forks will proceed in an orientation opposite to normal. We show that the resulting head-on encounters with transcription threaten cell viability, especially if taking place in highly transcribed areas. Thus, despite their different functions, RecG and RNase HI are both important factors for maintaining replication control and orientation. Their absence causes severe replication problems, highlighting the advantages of the normal chromosome arrangement, which exploits a single origin to control the number of forks and their orientation relative to transcription, and a defined termination area to contain fork fusions. Any changes to this arrangement endanger cell cycle control, chromosome dynamics, and, ultimately, cell viability.\nIMPORTANCE: Cell division requires unwinding of millions of DNA base pairs to generate the template for RNA transcripts as well as chromosome replication. As both processes use the same template, frequent clashes are unavoidable. To minimize the impact of these clashes, transcription and replication in bacteria follow the same directionality, thereby avoiding head-on collisions. This codirectionality is maintained by a strict regulation of where replication is started. We have used Escherichia coli as a model to investigate cells in which the defined location of replication initiation is compromised. In cells lacking either RNase HI or RecG, replication initiates away from the defined replication origin, and we discuss the different mechanisms by which this synthesis arises. In addition, the resulting forks proceed in a direction opposite to normal, thereby inducing head-on collisions between transcription and replication, and we show that the resulting consequences are severe enough to threaten the viability of cells.","DOI":"10.1128/mBio.01294-15","ISSN":"2150-7511","note":"PMID: 26530381\nPMCID: PMC4631800","shortTitle":"The Consequences of Replicating in the Wrong Orientation","journalAbbreviation":"MBio","language":"eng","author":[{"family":"Dimude","given":"Juachi U."},{"family":"Stockum","given":"Anna"},{"family":"Midgley-Smith","given":"Sarah L."},{"family":"Upton","given":"Amy L."},{"family":"Foster","given":"Helen A."},{"family":"Khan","given":"Arshad"},{"family":"Saunders","given":"Nigel J."},{"family":"Retkute","given":"Renata"},{"family":"Rudolph","given":"Christian J."}],"issued":{"date-parts":[["2015"]]},"PMID":"26530381","PMCID":"PMC4631800"}}],"schema":"https://github.com/citation-style-language/schema/raw/master/csl-citation.json"} </w:instrText>
      </w:r>
      <w:r w:rsidR="0057364C">
        <w:fldChar w:fldCharType="separate"/>
      </w:r>
      <w:r w:rsidR="003E42B4" w:rsidRPr="003E42B4">
        <w:t>(Dimude et al. 2015)</w:t>
      </w:r>
      <w:r w:rsidR="0057364C">
        <w:fldChar w:fldCharType="end"/>
      </w:r>
      <w:r w:rsidR="0057364C">
        <w:t xml:space="preserve">. </w:t>
      </w:r>
    </w:p>
    <w:p w:rsidR="0052098A" w:rsidRDefault="0052098A" w:rsidP="00BF547F">
      <w:pPr>
        <w:pStyle w:val="Heading2"/>
      </w:pPr>
      <w:r>
        <w:t>Plasmids used in this study</w:t>
      </w:r>
    </w:p>
    <w:p w:rsidR="0052098A" w:rsidRDefault="0057364C" w:rsidP="004C0907">
      <w:r>
        <w:t xml:space="preserve">Plasmid pAM401 was </w:t>
      </w:r>
      <w:r w:rsidR="0052098A">
        <w:t>described elsewhere</w:t>
      </w:r>
      <w:r>
        <w:t xml:space="preserve"> </w:t>
      </w:r>
      <w:r>
        <w:fldChar w:fldCharType="begin"/>
      </w:r>
      <w:r w:rsidR="003E42B4">
        <w:instrText xml:space="preserve"> ADDIN ZOTERO_ITEM CSL_CITATION {"citationID":"8nkng1ing","properties":{"formattedCitation":"(Rudolph et al. 2010)","plainCitation":"(Rudolph et al. 2010)"},"citationItems":[{"id":13,"uris":["http://zotero.org/users/1841541/items/RJ6Q5G9W"],"uri":["http://zotero.org/users/1841541/items/RJ6Q5G9W"],"itemData":{"id":13,"type":"article-journal","title":"RecG protein and single-strand DNA exonucleases avoid cell lethality associated with PriA helicase activity in Escherichia coli","container-title":"Genetics","page":"473-492","volume":"186","issue":"2","source":"NCBI PubMed","abstract":"Replication of the Escherichia coli chromosome usually initiates at a single origin (oriC) under control of DnaA. Two forks are established and move away in opposite directions. Replication is completed when these meet in a broadly defined terminus area half way around the circular chromosome. RecG appears to consolidate this arrangement by unwinding D-loops and R-loops that PriA might otherwise exploit to initiate replication at other sites. It has been suggested that without RecG such replication generates 3' flaps as the additional forks collide and displace nascent leading strands, providing yet more potential targets for PriA. Here we show that, to stay alive, cells must have either RecG or a 3' single-stranded DNA (ssDNA) exonuclease, which can be exonuclease I, exonuclease VII, or SbcCD. Cells lacking all three nucleases are inviable without RecG. They also need RecA recombinase and a Holliday junction resolvase to survive rapid growth, but SOS induction, although elevated, is not required. Additional requirements for Rep and UvrD are identified and linked with defects in DNA mismatch repair and with the ability to cope with conflicts between replication and transcription, respectively. Eliminating PriA helicase activity removes the requirement for RecG. The data are consistent with RecG and ssDNA exonucleases acting to limit PriA-mediated re-replication of the chromosome and the consequent generation of linear DNA branches that provoke recombination and delay chromosome segregation.","DOI":"10.1534/genetics.110.120691","ISSN":"1943-2631","note":"PMID: 20647503 \nPMCID: PMC2954477","journalAbbreviation":"Genetics","language":"eng","author":[{"family":"Rudolph","given":"Christian J"},{"family":"Mahdi","given":"Akeel A"},{"family":"Upton","given":"Amy L"},{"family":"Lloyd","given":"Robert G"}],"issued":{"date-parts":[["2010",10]]},"PMID":"20647503","PMCID":"PMC2954477"}}],"schema":"https://github.com/citation-style-language/schema/raw/master/csl-citation.json"} </w:instrText>
      </w:r>
      <w:r>
        <w:fldChar w:fldCharType="separate"/>
      </w:r>
      <w:r w:rsidR="003E42B4" w:rsidRPr="003E42B4">
        <w:t>(Rudolph et al. 2010)</w:t>
      </w:r>
      <w:r>
        <w:fldChar w:fldCharType="end"/>
      </w:r>
      <w:r w:rsidR="0052098A">
        <w:t xml:space="preserve">. </w:t>
      </w:r>
      <w:r>
        <w:t xml:space="preserve">The pRS316-kankanMX4 plasmid was generated as described </w:t>
      </w:r>
      <w:r>
        <w:fldChar w:fldCharType="begin"/>
      </w:r>
      <w:r w:rsidR="003E42B4">
        <w:instrText xml:space="preserve"> ADDIN ZOTERO_ITEM CSL_CITATION {"citationID":"27amglupg7","properties":{"formattedCitation":"(Ede et al. 2011)","plainCitation":"(Ede et al. 2011)"},"citationItems":[{"id":9,"uris":["http://zotero.org/users/1841541/items/S66P9B83"],"uri":["http://zotero.org/users/1841541/items/S66P9B83"],"itemData":{"id":9,"type":"article-journal","title":"Budding yeast Mph1 promotes sister chromatid interactions by a mechanism involving strand invasion","container-title":"DNA repair","page":"45-55","volume":"10","issue":"1","source":"NCBI PubMed","abstract":"Stalling of replication forks at lesions is a serious threat to genomic integrity and cell viability. Cells have developed a variety of pathways that allow continuation of synthesis, including translesion synthesis, postreplication repair and homologous recombination. We have devised a sensitive genetic system for detection of sister chromatid interactions in Saccharomyces cerevisiae. A 266bp sequence duplication in the KanMX4 module was generated and reversions were scored via G418 resistant colonies. Both 4-NQO induced and spontaneous reversions are strictly dependent on RAD52. Damage-induced reversions are also largely dependent on RAD51. Thus, most damage-induced events require a strand invasion step. Induced reversions were not affected in rev3 mutants and partially reduced in rad30 mutants indicating an involvement of Pol η. In cells lacking Mph1, a member of the FANCM family of DNA helicases, that has been implicated in a pathway for fork reactivation involving homologous recombination, damage-induced events are significantly reduced. Together with the spontaneous mutator phenotype of mph1 mutants this data strongly suggest that Mph1 has an additional function in recombination besides its previously described ability to disrupt D-loops. We propose that Mph1 promotes D-loop formation.","DOI":"10.1016/j.dnarep.2010.09.009","ISSN":"1568-7856","note":"PMID: 20951099","journalAbbreviation":"DNA Repair (Amst.)","language":"eng","author":[{"family":"Ede","given":"Christopher"},{"family":"Rudolph","given":"Christian J"},{"family":"Lehmann","given":"Sabrina"},{"family":"Schürer","given":"K Anke"},{"family":"Kramer","given":"Wilfried"}],"issued":{"date-parts":[["2011",1,2]]},"PMID":"20951099"}}],"schema":"https://github.com/citation-style-language/schema/raw/master/csl-citation.json"} </w:instrText>
      </w:r>
      <w:r>
        <w:fldChar w:fldCharType="separate"/>
      </w:r>
      <w:r w:rsidR="003E42B4" w:rsidRPr="003E42B4">
        <w:t>(Ede et al. 2011)</w:t>
      </w:r>
      <w:r>
        <w:fldChar w:fldCharType="end"/>
      </w:r>
      <w:r>
        <w:t xml:space="preserve">. In brief, </w:t>
      </w:r>
      <w:r w:rsidRPr="0057364C">
        <w:t xml:space="preserve">an internal 266 </w:t>
      </w:r>
      <w:proofErr w:type="spellStart"/>
      <w:r w:rsidRPr="0057364C">
        <w:t>bp</w:t>
      </w:r>
      <w:proofErr w:type="spellEnd"/>
      <w:r w:rsidRPr="0057364C">
        <w:t xml:space="preserve"> </w:t>
      </w:r>
      <w:proofErr w:type="spellStart"/>
      <w:r w:rsidRPr="0057364C">
        <w:rPr>
          <w:i/>
        </w:rPr>
        <w:t>Nsi</w:t>
      </w:r>
      <w:r w:rsidRPr="0057364C">
        <w:t>I</w:t>
      </w:r>
      <w:proofErr w:type="spellEnd"/>
      <w:r w:rsidRPr="0057364C">
        <w:t xml:space="preserve"> fragment of the KanMX4 resistance cassette from plasmid </w:t>
      </w:r>
      <w:r>
        <w:t xml:space="preserve">pFA6a-KanMX4 </w:t>
      </w:r>
      <w:r>
        <w:fldChar w:fldCharType="begin"/>
      </w:r>
      <w:r w:rsidR="003E42B4">
        <w:instrText xml:space="preserve"> ADDIN ZOTERO_ITEM CSL_CITATION {"citationID":"2hlsploe5a","properties":{"formattedCitation":"(Wach et al. 1994)","plainCitation":"(Wach et al. 1994)"},"citationItems":[{"id":436,"uris":["http://zotero.org/users/1841541/items/593QH5TI"],"uri":["http://zotero.org/users/1841541/items/593QH5TI"],"itemData":{"id":436,"type":"article-journal","title":"New heterologous modules for classical or PCR-based gene disruptions in Saccharomyces cerevisiae","container-title":"Yeast (Chichester, England)","page":"1793-1808","volume":"10","issue":"13","source":"PubMed","abstract":"We have constructed and tested a dominant resistance module, for selection of S. cerevisiae transformants, which entirely consists of heterologous DNA. This kanMX module contains the known kanr open reading-frame of the E. coli transposon Tn903 fused to transcriptional and translational control sequences of the TEF gene of the filamentous fungus Ashbya gossypii. This hybrid module permits efficient selection of transformants resistant against geneticin (G418). We also constructed a lacZMT reporter module in which the open reading-frame of the E. coli lacZ gene (lacking the first 9 codons) is fused at its 3' end to the S. cerevisiae ADH1 terminator. KanMX and the lacZMT module, or both modules together, were cloned in the center of a new multiple cloning sequence comprising 18 unique restriction sites flanked by Not I sites. Using the double module for constructions of in-frame substitutions of genes, only one transformation experiment is necessary to test the activity of the promotor and to search for phenotypes due to inactivation of this gene. To allow for repeated use of the G418 selection some kanMX modules are flanked by 470 bp direct repeats, promoting in vivo excision with frequencies of 10(-3)-10(-4). The 1.4 kb kanMX module was also shown to be very useful for PCR based gene disruptions. In an experiment in which a gene disruption was done with DNA molecules carrying PCR-added terminal sequences of only 35 bases homology to each target site, all twelve tested geneticin-resistant colonies carried the correctly integrated kanMX module.","ISSN":"0749-503X","note":"PMID: 7747518","journalAbbreviation":"Yeast","language":"eng","author":[{"family":"Wach","given":"A."},{"family":"Brachat","given":"A."},{"family":"Pöhlmann","given":"R."},{"family":"Philippsen","given":"P."}],"issued":{"date-parts":[["1994",12]]},"PMID":"7747518"}}],"schema":"https://github.com/citation-style-language/schema/raw/master/csl-citation.json"} </w:instrText>
      </w:r>
      <w:r>
        <w:fldChar w:fldCharType="separate"/>
      </w:r>
      <w:r w:rsidR="003E42B4" w:rsidRPr="003E42B4">
        <w:t>(Wach et al. 1994)</w:t>
      </w:r>
      <w:r>
        <w:fldChar w:fldCharType="end"/>
      </w:r>
      <w:r>
        <w:t xml:space="preserve"> was cloned</w:t>
      </w:r>
      <w:r w:rsidRPr="0057364C">
        <w:t xml:space="preserve"> into pFA6a-KanMX4 partially cleaved with </w:t>
      </w:r>
      <w:proofErr w:type="spellStart"/>
      <w:r w:rsidRPr="0057364C">
        <w:rPr>
          <w:i/>
        </w:rPr>
        <w:t>Nsi</w:t>
      </w:r>
      <w:r w:rsidRPr="0057364C">
        <w:t>I</w:t>
      </w:r>
      <w:proofErr w:type="spellEnd"/>
      <w:r w:rsidRPr="0057364C">
        <w:t xml:space="preserve">, thereby creating an internal direct 266 </w:t>
      </w:r>
      <w:proofErr w:type="spellStart"/>
      <w:r w:rsidRPr="0057364C">
        <w:t>bp</w:t>
      </w:r>
      <w:proofErr w:type="spellEnd"/>
      <w:r w:rsidRPr="0057364C">
        <w:t xml:space="preserve"> duplication which leads to inactivation of the resistance gene. The module was </w:t>
      </w:r>
      <w:proofErr w:type="spellStart"/>
      <w:r w:rsidRPr="0057364C">
        <w:t>subcloned</w:t>
      </w:r>
      <w:proofErr w:type="spellEnd"/>
      <w:r w:rsidRPr="0057364C">
        <w:t xml:space="preserve"> via </w:t>
      </w:r>
      <w:proofErr w:type="spellStart"/>
      <w:r w:rsidRPr="0057364C">
        <w:rPr>
          <w:i/>
        </w:rPr>
        <w:t>Eco</w:t>
      </w:r>
      <w:r w:rsidRPr="0057364C">
        <w:t>RI</w:t>
      </w:r>
      <w:proofErr w:type="spellEnd"/>
      <w:r w:rsidRPr="0057364C">
        <w:t xml:space="preserve"> and </w:t>
      </w:r>
      <w:proofErr w:type="spellStart"/>
      <w:r w:rsidRPr="0057364C">
        <w:rPr>
          <w:i/>
        </w:rPr>
        <w:t>Sal</w:t>
      </w:r>
      <w:r w:rsidRPr="0057364C">
        <w:t>I</w:t>
      </w:r>
      <w:proofErr w:type="spellEnd"/>
      <w:r w:rsidRPr="0057364C">
        <w:t xml:space="preserve"> into </w:t>
      </w:r>
      <w:r w:rsidR="00AB4ADA">
        <w:t xml:space="preserve">shuttle vector </w:t>
      </w:r>
      <w:r w:rsidRPr="0057364C">
        <w:t>pRS316</w:t>
      </w:r>
      <w:r>
        <w:t xml:space="preserve"> </w:t>
      </w:r>
      <w:r>
        <w:fldChar w:fldCharType="begin"/>
      </w:r>
      <w:r w:rsidR="003E42B4">
        <w:instrText xml:space="preserve"> ADDIN ZOTERO_ITEM CSL_CITATION {"citationID":"i90rhigk7","properties":{"formattedCitation":"(Sikorski and Hieter 1989)","plainCitation":"(Sikorski and Hieter 1989)"},"citationItems":[{"id":442,"uris":["http://zotero.org/users/1841541/items/G9573E4T"],"uri":["http://zotero.org/users/1841541/items/G9573E4T"],"itemData":{"id":442,"type":"article-journal","title":"A system of shuttle vectors and yeast host strains designed for efficient manipulation of DNA in Saccharomyces cerevisiae","container-title":"Genetics","page":"19-27","volume":"122","issue":"1","source":"PubMed","abstract":"A series of yeast shuttle vectors and host strains has been created to allow more efficient manipulation of DNA in Saccharomyces cerevisiae. Transplacement vectors were constructed and used to derive yeast strains containing nonreverting his3, trp1, leu2 and ura3 mutations. A set of YCp and YIp vectors (pRS series) was then made based on the backbone of the multipurpose plasmid pBLUESCRIPT. These pRS vectors are all uniform in structure and differ only in the yeast selectable marker gene used (HIS3, TRP1, LEU2 and URA3). They possess all of the attributes of pBLUESCRIPT and several yeast-specific features as well. Using a pRS vector, one can perform most standard DNA manipulations in the same plasmid that is introduced into yeast.","ISSN":"0016-6731","note":"PMID: 2659436\nPMCID: PMC1203683","journalAbbreviation":"Genetics","language":"eng","author":[{"family":"Sikorski","given":"R. S."},{"family":"Hieter","given":"P."}],"issued":{"date-parts":[["1989",5]]},"PMID":"2659436","PMCID":"PMC1203683"}}],"schema":"https://github.com/citation-style-language/schema/raw/master/csl-citation.json"} </w:instrText>
      </w:r>
      <w:r>
        <w:fldChar w:fldCharType="separate"/>
      </w:r>
      <w:r w:rsidR="003E42B4" w:rsidRPr="003E42B4">
        <w:t>(Sikorski and Hieter 1989)</w:t>
      </w:r>
      <w:r>
        <w:fldChar w:fldCharType="end"/>
      </w:r>
      <w:r w:rsidRPr="0057364C">
        <w:t xml:space="preserve">, sequenced and subsequently used in </w:t>
      </w:r>
      <w:r>
        <w:t xml:space="preserve">the </w:t>
      </w:r>
      <w:r w:rsidRPr="0057364C">
        <w:t xml:space="preserve">backgrounds indicated. </w:t>
      </w:r>
    </w:p>
    <w:p w:rsidR="00A02659" w:rsidRDefault="00A02659" w:rsidP="00A02659">
      <w:pPr>
        <w:pStyle w:val="Heading2"/>
      </w:pPr>
      <w:r>
        <w:t>Genetic crosses and measures of recombination</w:t>
      </w:r>
    </w:p>
    <w:p w:rsidR="00A02659" w:rsidRPr="00A02659" w:rsidRDefault="00A02659" w:rsidP="00A02659">
      <w:r>
        <w:t xml:space="preserve">F-prime and </w:t>
      </w:r>
      <w:proofErr w:type="spellStart"/>
      <w:r>
        <w:t>Hfr</w:t>
      </w:r>
      <w:proofErr w:type="spellEnd"/>
      <w:r>
        <w:t xml:space="preserve"> donors were mated with F</w:t>
      </w:r>
      <w:r w:rsidR="00CF2AA6" w:rsidRPr="00CF2AA6">
        <w:rPr>
          <w:vertAlign w:val="superscript"/>
        </w:rPr>
        <w:t>–</w:t>
      </w:r>
      <w:r>
        <w:t xml:space="preserve"> recipient strains in high-salt LB broth at 37°C as desc</w:t>
      </w:r>
      <w:r w:rsidR="00CF2AA6">
        <w:t xml:space="preserve">ribed </w:t>
      </w:r>
      <w:r w:rsidR="00CF2AA6">
        <w:fldChar w:fldCharType="begin"/>
      </w:r>
      <w:r w:rsidR="003E42B4">
        <w:instrText xml:space="preserve"> ADDIN ZOTERO_ITEM CSL_CITATION {"citationID":"1001qnoiot","properties":{"formattedCitation":"(Lloyd et al. 1987; Lloyd et al. 1988; Mahdi et al. 2012)","plainCitation":"(Lloyd et al. 1987; Lloyd et al. 1988; Mahdi et al. 2012)"},"citationItems":[{"id":517,"uris":["http://zotero.org/users/1841541/items/S73V7PBC"],"uri":["http://zotero.org/users/1841541/items/S73V7PBC"],"itemData":{"id":517,"type":"article-journal","title":"Formation of recombinant lacZ+ DNA in conjugational crosses with a recB mutant of Escherichia coli K12 depends on recF, recJ, and recO","container-title":"Molecular &amp; general genetics: MGG","page":"135-141","volume":"209","issue":"1","source":"PubMed","abstract":"Conjugational recombination in Escherichia coli was investigated by monitoring synthesis of the lacZ+ product, beta-galactosidase, in crosses between lacZ mutants. We report here that mutation of recB and any combination of recF, recJ, or recO reduces enzyme production by a factor of between 10- and 25-fold whereas mutation of only one of these genes or any combination of recF, recJ, or recO has no more than a 2-fold effect. Mutation of recN has no effect either alone or in combination with the other mutations. We suggest that the products of recF, recJ, and recO may provide an efficient alternative to the RecBCD enzyme for the initiation of recombination in conjugational crosses but that RecBCD activity is needed in this case to produce a viable recombinant product.","ISSN":"0026-8925","note":"PMID: 2823066","journalAbbreviation":"Mol. Gen. Genet.","language":"eng","author":[{"family":"Lloyd","given":"R. G."},{"family":"Evans","given":"N. P."},{"family":"Buckman","given":"C."}],"issued":{"date-parts":[["1987",8]]},"PMID":"2823066"}},{"id":519,"uris":["http://zotero.org/users/1841541/items/833X6JNU"],"uri":["http://zotero.org/users/1841541/items/833X6JNU"],"itemData":{"id":519,"type":"article-journal","title":"Effect of recF, recJ, recN, recO and ruv mutations on ultraviolet survival and genetic recombination in a recD strain of Escherichia coli K12","container-title":"Molecular &amp; general genetics: MGG","page":"317-324","volume":"212","issue":"2","source":"PubMed","abstract":"DNA repair and recombination were investigated in a recD mutant of Escherichia coli which lacked the nuclease activity of the RecBCD enzyme. The resistance of this mutant to ultraviolet (UV) light was shown to be a function of recJ. A recD recJ double mutant was found to be more sensitive to UV radiation than a recB mutant, whereas recD and recJ single mutants were resistant. Recombination in conjugational crosses with Hfr donors was also reduced in recD recJ strains, but the effect was modest in comparison with the sensitivity to UV. Within certain limits, mutations in recF, recN, recO, lexA and ruv did not affect sensitivity to UV and recombination in a recD mutant any more than in a recD+ strain. The possibility that recD and recJ provide overlapping activities, either of which can promote DNA repair and recombination in the absence of the other, is discussed.","ISSN":"0026-8925","note":"PMID: 2841571","journalAbbreviation":"Mol. Gen. Genet.","language":"eng","author":[{"family":"Lloyd","given":"R. G."},{"family":"Porton","given":"M. C."},{"family":"Buckman","given":"C."}],"issued":{"date-parts":[["1988",5]]},"PMID":"2841571"}},{"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rsidR="00CF2AA6">
        <w:fldChar w:fldCharType="separate"/>
      </w:r>
      <w:r w:rsidR="003E42B4" w:rsidRPr="003E42B4">
        <w:t>(Lloyd et al. 1987; Lloyd et al. 1988; Mahdi et al. 2012)</w:t>
      </w:r>
      <w:r w:rsidR="00CF2AA6">
        <w:fldChar w:fldCharType="end"/>
      </w:r>
      <w:r>
        <w:t xml:space="preserve">. Measurements of cell viability relate to the number of </w:t>
      </w:r>
      <w:proofErr w:type="spellStart"/>
      <w:r>
        <w:t>cfu</w:t>
      </w:r>
      <w:proofErr w:type="spellEnd"/>
      <w:r>
        <w:t xml:space="preserve"> in the recipient culture at an </w:t>
      </w:r>
      <w:r w:rsidRPr="00CF2AA6">
        <w:rPr>
          <w:i/>
        </w:rPr>
        <w:t>A</w:t>
      </w:r>
      <w:r w:rsidRPr="00CF2AA6">
        <w:rPr>
          <w:i/>
          <w:vertAlign w:val="subscript"/>
        </w:rPr>
        <w:t>650</w:t>
      </w:r>
      <w:r>
        <w:t xml:space="preserve"> of 0.4, as determined with plating on non-selective 56/2 agar. All recipients were derivatives of the multi-auxotrophic, streptomycin-resistant strain, AB1157 (Table S1). </w:t>
      </w:r>
      <w:proofErr w:type="spellStart"/>
      <w:r>
        <w:t>Transconjugants</w:t>
      </w:r>
      <w:proofErr w:type="spellEnd"/>
      <w:r>
        <w:t xml:space="preserve"> were selected using 56/2 or LB agar, as approp</w:t>
      </w:r>
      <w:r w:rsidR="00CF2AA6">
        <w:t>riate, supplemented with 100 mg/</w:t>
      </w:r>
      <w:r>
        <w:t xml:space="preserve">ml streptomycin to </w:t>
      </w:r>
      <w:proofErr w:type="spellStart"/>
      <w:r>
        <w:t>counterselect</w:t>
      </w:r>
      <w:proofErr w:type="spellEnd"/>
      <w:r>
        <w:t xml:space="preserve"> donor cells. Transduction</w:t>
      </w:r>
      <w:r w:rsidR="00CF2AA6">
        <w:t>s were conducted using phage P1</w:t>
      </w:r>
      <w:r w:rsidRPr="00CF2AA6">
        <w:rPr>
          <w:i/>
        </w:rPr>
        <w:t>vir</w:t>
      </w:r>
      <w:r w:rsidR="00CF2AA6">
        <w:t xml:space="preserve"> transductions</w:t>
      </w:r>
      <w:r>
        <w:t xml:space="preserve"> </w:t>
      </w:r>
      <w:r w:rsidR="00CF2AA6">
        <w:fldChar w:fldCharType="begin"/>
      </w:r>
      <w:r w:rsidR="003E42B4">
        <w:instrText xml:space="preserve"> ADDIN ZOTERO_ITEM CSL_CITATION {"citationID":"20ficb8646","properties":{"formattedCitation":"(Thomason et al. 2007)","plainCitation":"(Thomason et al. 2007)"},"citationItems":[{"id":212,"uris":["http://zotero.org/users/1841541/items/REX6GB9H"],"uri":["http://zotero.org/users/1841541/items/REX6GB9H"],"itemData":{"id":212,"type":"article-journal","title":"E. coli genome manipulation by P1 transduction","container-title":"Current Protocols in Molecular Biology / Edited by Frederick M. Ausubel ... [et Al.]","page":"Unit 1.17","volume":"Chapter 1","source":"NCBI PubMed","abstract":"This unit describes the procedure used to move portions of the E. coli genome from one genetic variant to another. Fragments of approximately 100 kb can be transferred by the P1 bacteriophage. The phage is first grown on a strain containing the elements to be moved, and the resulting phage lysate is used to infect a second recipient strain. The lysate will contain bacterial DNA as well as phage DNA, and genetic recombination, catalyzed by enzymes of the recipient strain, will incorporate the bacterial fragments into the recipient chromosome.","DOI":"10.1002/0471142727.mb0117s79","ISSN":"1934-3647","note":"PMID: 18265391","journalAbbreviation":"Curr Protoc Mol Biol","language":"eng","author":[{"family":"Thomason","given":"Lynn C."},{"family":"Costantino","given":"Nina"},{"family":"Court","given":"Donald L."}],"issued":{"date-parts":[["2007",7]]},"PMID":"18265391"}}],"schema":"https://github.com/citation-style-language/schema/raw/master/csl-citation.json"} </w:instrText>
      </w:r>
      <w:r w:rsidR="00CF2AA6">
        <w:fldChar w:fldCharType="separate"/>
      </w:r>
      <w:r w:rsidR="003E42B4" w:rsidRPr="003E42B4">
        <w:t>(Thomason et al. 2007)</w:t>
      </w:r>
      <w:r w:rsidR="00CF2AA6">
        <w:fldChar w:fldCharType="end"/>
      </w:r>
      <w:r w:rsidR="00CF2AA6">
        <w:t>.</w:t>
      </w:r>
    </w:p>
    <w:p w:rsidR="00E82CD2" w:rsidRDefault="00E82CD2" w:rsidP="00E82CD2">
      <w:pPr>
        <w:pStyle w:val="Heading2"/>
      </w:pPr>
      <w:r>
        <w:t>Spontaneous mutation rates</w:t>
      </w:r>
    </w:p>
    <w:p w:rsidR="00E82CD2" w:rsidRDefault="00E82CD2" w:rsidP="00E82CD2">
      <w:r w:rsidRPr="00E82CD2">
        <w:t>Spontaneous mutation rates were determined by the method of the median</w:t>
      </w:r>
      <w:r>
        <w:t xml:space="preserve"> </w:t>
      </w:r>
      <w:r>
        <w:fldChar w:fldCharType="begin"/>
      </w:r>
      <w:r w:rsidR="003E42B4">
        <w:instrText xml:space="preserve"> ADDIN ZOTERO_ITEM CSL_CITATION {"citationID":"HdD9kwtt","properties":{"formattedCitation":"(Lea and Coulson 1949; Foster 2006)","plainCitation":"(Lea and Coulson 1949; Foster 2006)"},"citationItems":[{"id":429,"uris":["http://zotero.org/users/1841541/items/9R48KK3V"],"uri":["http://zotero.org/users/1841541/items/9R48KK3V"],"itemData":{"id":429,"type":"article-journal","title":"The distribution of the numbers of mutants in bacterial populations","container-title":"Journal of Genetics","page":"264-285","volume":"49","issue":"3","source":"PubMed","ISSN":"0022-1333","note":"PMID: 24536673","journalAbbreviation":"J. Genet.","language":"eng","author":[{"family":"Lea","given":"D. E."},{"family":"Coulson","given":"C. A."}],"issued":{"date-parts":[["1949",12]]},"PMID":"24536673"}},{"id":444,"uris":["http://zotero.org/users/1841541/items/3QDZIR3P"],"uri":["http://zotero.org/users/1841541/items/3QDZIR3P"],"itemData":{"id":444,"type":"article-journal","title":"Methods for determining spontaneous mutation rates","container-title":"Methods in Enzymology","page":"195-213","volume":"409","source":"PubMed","abstract":"Spontaneous mutations arise as a result of cellular processes that act upon or damage DNA. Accurate determination of spontaneous mutation rates can contribute to our understanding of these processes and the enzymatic pathways that deal with them. The methods that are used to calculate mutation rates are based on the model for the expansion of mutant clones originally described by Luria and Delbrück (1943) and extended by Lea and Coulson (1949). The accurate determination of mutation rates depends on understanding the strengths and limitations of these methods and how to optimize a fluctuation assay for a given method. This chapter describes the proper design of a fluctuation assay, several of the methods used to calculate mutation rates, and ways to evaluate the results statistically.","DOI":"10.1016/S0076-6879(05)09012-9","ISSN":"0076-6879","note":"PMID: 16793403\nPMCID: PMC2041832","journalAbbreviation":"Meth. Enzymol.","language":"eng","author":[{"family":"Foster","given":"Patricia L."}],"issued":{"date-parts":[["2006"]]},"PMID":"16793403","PMCID":"PMC2041832"}}],"schema":"https://github.com/citation-style-language/schema/raw/master/csl-citation.json"} </w:instrText>
      </w:r>
      <w:r>
        <w:fldChar w:fldCharType="separate"/>
      </w:r>
      <w:r w:rsidR="003E42B4" w:rsidRPr="003E42B4">
        <w:t>(Lea and Coulson 1949; Foster 2006)</w:t>
      </w:r>
      <w:r>
        <w:fldChar w:fldCharType="end"/>
      </w:r>
      <w:r w:rsidRPr="00E82CD2">
        <w:t xml:space="preserve">. Appropriate dilutions from an overnight culture of the strain of interest were spread on LB agar plates to allow single cells to grow into colonies. 9 colonies were completely </w:t>
      </w:r>
      <w:r>
        <w:t>cut</w:t>
      </w:r>
      <w:r w:rsidRPr="00E82CD2">
        <w:t xml:space="preserve"> out of the agar with a sterile scalpel blade and transferred into a culture tube with 5 ml LB broth. The resulting 9 tubes were incubated </w:t>
      </w:r>
      <w:r>
        <w:t>for 24 h with agitation until bacterial growth</w:t>
      </w:r>
      <w:r w:rsidRPr="00E82CD2">
        <w:t xml:space="preserve"> reach</w:t>
      </w:r>
      <w:r>
        <w:t>ed</w:t>
      </w:r>
      <w:r w:rsidRPr="00E82CD2">
        <w:t xml:space="preserve"> stationary </w:t>
      </w:r>
      <w:r w:rsidRPr="00E82CD2">
        <w:lastRenderedPageBreak/>
        <w:t xml:space="preserve">phase. </w:t>
      </w:r>
      <w:r>
        <w:t>200 µl a</w:t>
      </w:r>
      <w:r w:rsidRPr="00E82CD2">
        <w:t xml:space="preserve">liquots from all cultures were plated onto LB containing 10 mg/ml </w:t>
      </w:r>
      <w:r w:rsidR="00FC769B" w:rsidRPr="00E82CD2">
        <w:t>rifampicin</w:t>
      </w:r>
      <w:r w:rsidRPr="00E82CD2">
        <w:t xml:space="preserve"> to determine the number of spontaneously resistant mutants in each culture. </w:t>
      </w:r>
      <w:r>
        <w:t>The v</w:t>
      </w:r>
      <w:r w:rsidR="00FC769B">
        <w:t>iable titre</w:t>
      </w:r>
      <w:r w:rsidRPr="00E82CD2">
        <w:t xml:space="preserve"> was determined by plating appropriate dilutions of 3 randomly c</w:t>
      </w:r>
      <w:r w:rsidR="00FC769B">
        <w:t>hosen cultures onto LB agar plat</w:t>
      </w:r>
      <w:r w:rsidRPr="00E82CD2">
        <w:t>es. The mean of the viable titres was used in the calculation of the mutation rate. For all experiments the mutation rate of wild type and mutant</w:t>
      </w:r>
      <w:r w:rsidR="00FC769B">
        <w:t>s were</w:t>
      </w:r>
      <w:r w:rsidRPr="00E82CD2">
        <w:t xml:space="preserve"> determined in parallel using the same batch of </w:t>
      </w:r>
      <w:r w:rsidR="00FC769B">
        <w:t xml:space="preserve">LB </w:t>
      </w:r>
      <w:r w:rsidRPr="00E82CD2">
        <w:t>medium for growth. The relative mutation rate was then calculated by normalising all rates to the wild type determined in parallel in that particular experiment</w:t>
      </w:r>
      <w:r w:rsidR="00FC769B">
        <w:t>, hence setting the relative rate of wild type cells to 1</w:t>
      </w:r>
      <w:r w:rsidRPr="00E82CD2">
        <w:t>.</w:t>
      </w:r>
    </w:p>
    <w:p w:rsidR="00FC769B" w:rsidRDefault="00FC769B" w:rsidP="00FC769B">
      <w:pPr>
        <w:pStyle w:val="Heading2"/>
      </w:pPr>
      <w:r>
        <w:t>Spontaneous tandem repeat deletion rates</w:t>
      </w:r>
    </w:p>
    <w:p w:rsidR="00FC769B" w:rsidRPr="00FC769B" w:rsidRDefault="00FC769B" w:rsidP="00FC769B">
      <w:r>
        <w:t>Plasmid pRS316-kankanMX4 was used for the determination of s</w:t>
      </w:r>
      <w:r w:rsidRPr="00E82CD2">
        <w:t xml:space="preserve">pontaneous </w:t>
      </w:r>
      <w:r>
        <w:t xml:space="preserve">tandem repeat deletion </w:t>
      </w:r>
      <w:r w:rsidRPr="00E82CD2">
        <w:t>rates</w:t>
      </w:r>
      <w:r>
        <w:t xml:space="preserve"> (see above).</w:t>
      </w:r>
      <w:r w:rsidRPr="00E82CD2">
        <w:t xml:space="preserve"> </w:t>
      </w:r>
      <w:r>
        <w:t xml:space="preserve">Measurements </w:t>
      </w:r>
      <w:r w:rsidRPr="00E82CD2">
        <w:t xml:space="preserve">were </w:t>
      </w:r>
      <w:r>
        <w:t>carried out in analogy to the determination of spontaneous mutation rates</w:t>
      </w:r>
      <w:r w:rsidR="00C22ACB">
        <w:t xml:space="preserve"> </w:t>
      </w:r>
      <w:r w:rsidRPr="00E82CD2">
        <w:t>the method of the median</w:t>
      </w:r>
      <w:r>
        <w:t xml:space="preserve"> </w:t>
      </w:r>
      <w:r>
        <w:fldChar w:fldCharType="begin"/>
      </w:r>
      <w:r w:rsidR="003E42B4">
        <w:instrText xml:space="preserve"> ADDIN ZOTERO_ITEM CSL_CITATION {"citationID":"LR4nWq5D","properties":{"formattedCitation":"(Lea and Coulson 1949; Foster 2006; Ede et al. 2011)","plainCitation":"(Lea and Coulson 1949; Foster 2006; Ede et al. 2011)"},"citationItems":[{"id":429,"uris":["http://zotero.org/users/1841541/items/9R48KK3V"],"uri":["http://zotero.org/users/1841541/items/9R48KK3V"],"itemData":{"id":429,"type":"article-journal","title":"The distribution of the numbers of mutants in bacterial populations","container-title":"Journal of Genetics","page":"264-285","volume":"49","issue":"3","source":"PubMed","ISSN":"0022-1333","note":"PMID: 24536673","journalAbbreviation":"J. Genet.","language":"eng","author":[{"family":"Lea","given":"D. E."},{"family":"Coulson","given":"C. A."}],"issued":{"date-parts":[["1949",12]]},"PMID":"24536673"}},{"id":444,"uris":["http://zotero.org/users/1841541/items/3QDZIR3P"],"uri":["http://zotero.org/users/1841541/items/3QDZIR3P"],"itemData":{"id":444,"type":"article-journal","title":"Methods for determining spontaneous mutation rates","container-title":"Methods in Enzymology","page":"195-213","volume":"409","source":"PubMed","abstract":"Spontaneous mutations arise as a result of cellular processes that act upon or damage DNA. Accurate determination of spontaneous mutation rates can contribute to our understanding of these processes and the enzymatic pathways that deal with them. The methods that are used to calculate mutation rates are based on the model for the expansion of mutant clones originally described by Luria and Delbrück (1943) and extended by Lea and Coulson (1949). The accurate determination of mutation rates depends on understanding the strengths and limitations of these methods and how to optimize a fluctuation assay for a given method. This chapter describes the proper design of a fluctuation assay, several of the methods used to calculate mutation rates, and ways to evaluate the results statistically.","DOI":"10.1016/S0076-6879(05)09012-9","ISSN":"0076-6879","note":"PMID: 16793403\nPMCID: PMC2041832","journalAbbreviation":"Meth. Enzymol.","language":"eng","author":[{"family":"Foster","given":"Patricia L."}],"issued":{"date-parts":[["2006"]]},"PMID":"16793403","PMCID":"PMC2041832"}},{"id":9,"uris":["http://zotero.org/users/1841541/items/S66P9B83"],"uri":["http://zotero.org/users/1841541/items/S66P9B83"],"itemData":{"id":9,"type":"article-journal","title":"Budding yeast Mph1 promotes sister chromatid interactions by a mechanism involving strand invasion","container-title":"DNA repair","page":"45-55","volume":"10","issue":"1","source":"NCBI PubMed","abstract":"Stalling of replication forks at lesions is a serious threat to genomic integrity and cell viability. Cells have developed a variety of pathways that allow continuation of synthesis, including translesion synthesis, postreplication repair and homologous recombination. We have devised a sensitive genetic system for detection of sister chromatid interactions in Saccharomyces cerevisiae. A 266bp sequence duplication in the KanMX4 module was generated and reversions were scored via G418 resistant colonies. Both 4-NQO induced and spontaneous reversions are strictly dependent on RAD52. Damage-induced reversions are also largely dependent on RAD51. Thus, most damage-induced events require a strand invasion step. Induced reversions were not affected in rev3 mutants and partially reduced in rad30 mutants indicating an involvement of Pol η. In cells lacking Mph1, a member of the FANCM family of DNA helicases, that has been implicated in a pathway for fork reactivation involving homologous recombination, damage-induced events are significantly reduced. Together with the spontaneous mutator phenotype of mph1 mutants this data strongly suggest that Mph1 has an additional function in recombination besides its previously described ability to disrupt D-loops. We propose that Mph1 promotes D-loop formation.","DOI":"10.1016/j.dnarep.2010.09.009","ISSN":"1568-7856","note":"PMID: 20951099","journalAbbreviation":"DNA Repair (Amst.)","language":"eng","author":[{"family":"Ede","given":"Christopher"},{"family":"Rudolph","given":"Christian J"},{"family":"Lehmann","given":"Sabrina"},{"family":"Schürer","given":"K Anke"},{"family":"Kramer","given":"Wilfried"}],"issued":{"date-parts":[["2011",1,2]]},"PMID":"20951099"}}],"schema":"https://github.com/citation-style-language/schema/raw/master/csl-citation.json"} </w:instrText>
      </w:r>
      <w:r>
        <w:fldChar w:fldCharType="separate"/>
      </w:r>
      <w:r w:rsidR="003E42B4" w:rsidRPr="003E42B4">
        <w:t>(Lea and Coulson 1949; Foster 2006; Ede et al. 2011)</w:t>
      </w:r>
      <w:r>
        <w:fldChar w:fldCharType="end"/>
      </w:r>
      <w:r w:rsidRPr="00E82CD2">
        <w:t xml:space="preserve">. Appropriate dilutions from an overnight culture of the strain of interest were spread on LB agar plates to allow single cells to grow into colonies. 9 colonies were completely </w:t>
      </w:r>
      <w:r>
        <w:t>cut</w:t>
      </w:r>
      <w:r w:rsidRPr="00E82CD2">
        <w:t xml:space="preserve"> out of the agar with a sterile scalpel blade and transferred into a culture tube with 5 ml LB broth. The resulting 9 tubes were incubated </w:t>
      </w:r>
      <w:r>
        <w:t>for 24 h with agitation until bacterial growth</w:t>
      </w:r>
      <w:r w:rsidRPr="00E82CD2">
        <w:t xml:space="preserve"> reach</w:t>
      </w:r>
      <w:r>
        <w:t>ed</w:t>
      </w:r>
      <w:r w:rsidRPr="00E82CD2">
        <w:t xml:space="preserve"> stationary phase. </w:t>
      </w:r>
      <w:r w:rsidR="00C22ACB">
        <w:t>Appropriate dilutions</w:t>
      </w:r>
      <w:r>
        <w:t xml:space="preserve"> </w:t>
      </w:r>
      <w:r w:rsidRPr="00E82CD2">
        <w:t xml:space="preserve">from all cultures were plated onto LB containing </w:t>
      </w:r>
      <w:r w:rsidR="00C22ACB">
        <w:t xml:space="preserve">kanamycin </w:t>
      </w:r>
      <w:proofErr w:type="gramStart"/>
      <w:r w:rsidR="00C22ACB">
        <w:t>(40 µg/ml)</w:t>
      </w:r>
      <w:proofErr w:type="gramEnd"/>
      <w:r w:rsidR="00C22ACB">
        <w:t xml:space="preserve"> </w:t>
      </w:r>
      <w:r w:rsidRPr="00E82CD2">
        <w:t xml:space="preserve">to determine the number of </w:t>
      </w:r>
      <w:proofErr w:type="spellStart"/>
      <w:r w:rsidR="00C22ACB">
        <w:t>revertants</w:t>
      </w:r>
      <w:proofErr w:type="spellEnd"/>
      <w:r w:rsidR="00C22ACB">
        <w:t xml:space="preserve"> </w:t>
      </w:r>
      <w:r w:rsidRPr="00E82CD2">
        <w:t xml:space="preserve">in each culture. </w:t>
      </w:r>
      <w:r>
        <w:t>The viable titre</w:t>
      </w:r>
      <w:r w:rsidRPr="00E82CD2">
        <w:t xml:space="preserve"> was determined by plating appropriate dilutions of 3 randomly c</w:t>
      </w:r>
      <w:r>
        <w:t>hosen cultures onto LB agar plat</w:t>
      </w:r>
      <w:r w:rsidRPr="00E82CD2">
        <w:t>es</w:t>
      </w:r>
      <w:r w:rsidR="00C22ACB">
        <w:t xml:space="preserve"> without antibiotic</w:t>
      </w:r>
      <w:r w:rsidRPr="00E82CD2">
        <w:t xml:space="preserve">. The mean of the viable titres was used in the calculation of the mutation rate. For </w:t>
      </w:r>
      <w:r w:rsidR="00C22ACB">
        <w:t xml:space="preserve">each set of </w:t>
      </w:r>
      <w:r w:rsidRPr="00E82CD2">
        <w:t xml:space="preserve">experiments </w:t>
      </w:r>
      <w:r w:rsidR="00C22ACB">
        <w:t xml:space="preserve">carried out at a certain time </w:t>
      </w:r>
      <w:r w:rsidRPr="00E82CD2">
        <w:t>the mutation rate of wild type and mutant</w:t>
      </w:r>
      <w:r>
        <w:t>s were</w:t>
      </w:r>
      <w:r w:rsidRPr="00E82CD2">
        <w:t xml:space="preserve"> determined in parallel using the same batch of </w:t>
      </w:r>
      <w:r>
        <w:t xml:space="preserve">LB </w:t>
      </w:r>
      <w:r w:rsidRPr="00E82CD2">
        <w:t>medium for growth</w:t>
      </w:r>
      <w:r w:rsidR="00C22ACB">
        <w:t>, as reversion rates can vary due to changes in media composition</w:t>
      </w:r>
      <w:r w:rsidRPr="00E82CD2">
        <w:t xml:space="preserve">. The relative </w:t>
      </w:r>
      <w:r w:rsidR="00C22ACB">
        <w:t xml:space="preserve">reversion </w:t>
      </w:r>
      <w:r w:rsidRPr="00E82CD2">
        <w:t>rate was then calculated by normalising all rates to the wild type determined in parallel in that particular experiment</w:t>
      </w:r>
      <w:r>
        <w:t>, hence setting the relative rate of wild type cells to 1</w:t>
      </w:r>
      <w:r w:rsidRPr="00E82CD2">
        <w:t>.</w:t>
      </w:r>
      <w:r w:rsidR="00C22ACB">
        <w:t xml:space="preserve"> All absolute rates are presented in Supplementary Table 2.</w:t>
      </w:r>
    </w:p>
    <w:p w:rsidR="00657FB6" w:rsidRPr="00B135BC" w:rsidRDefault="00657FB6" w:rsidP="00657FB6">
      <w:pPr>
        <w:pStyle w:val="Heading2"/>
      </w:pPr>
      <w:r w:rsidRPr="00B135BC">
        <w:t>Fluorescence Microscopy</w:t>
      </w:r>
    </w:p>
    <w:p w:rsidR="008D3CF7" w:rsidRPr="008D3CF7" w:rsidRDefault="00657FB6" w:rsidP="008D3CF7">
      <w:r w:rsidRPr="00B135BC">
        <w:t xml:space="preserve">Fluorescence microscopy was as described </w:t>
      </w:r>
      <w:r w:rsidRPr="00B135BC">
        <w:fldChar w:fldCharType="begin"/>
      </w:r>
      <w:r w:rsidR="003E42B4">
        <w:instrText xml:space="preserve"> ADDIN ZOTERO_ITEM CSL_CITATION {"citationID":"dghj3figs","properties":{"formattedCitation":"(Rudolph et al. 2007)","plainCitation":"(Rudolph et al. 2007)"},"citationItems":[{"id":27,"uris":["http://zotero.org/users/1841541/items/QCZBNNNA"],"uri":["http://zotero.org/users/1841541/items/QCZBNNNA"],"itemData":{"id":27,"type":"article-journal","title":"Replication fork stalling and cell cycle arrest in UV-irradiated Escherichia coli","container-title":"Genes &amp; development","page":"668-681","volume":"21","issue":"6","source":"NCBI PubMed","abstract":"Faithful duplication of the genome relies on the ability to cope with an imperfect template. We investigated replication of UV-damaged DNA in Escherichia coli and found that ongoing replication stops for at least 15-20 min before resuming. Undamaged origins of replication (oriC) continue to fire at the normal rate and in a DnaA-dependent manner. UV irradiation also induces substantial DnaA-independent replication. These two factors add substantially to the DNA synthesis detected after irradiation and together mask the delay in the progression of pre-existing forks in assays measuring net synthesis. All DNA synthesis after UV depends on DnaC, implying that replication restart of blocked forks requires DnaB loading and possibly the entire assembly of new replisomes. Restart appears to occur synchronously when most lesions have been removed. This raises the possibility that restart and lesion removal are coupled. Both restart and cell division suffer long delays if lesion removal is prevented, but restart can occur. Our data fit well with models invoking the stalling of replication forks and their extensive processing before replication can restart. Delayed restart avoids the dangers of excessive recombination that might result if forks skipped over lesion after lesion, leaving many gaps in their wake.","DOI":"10.1101/gad.417607","ISSN":"0890-9369","note":"PMID: 17369400 \nPMCID: PMC1820941","journalAbbreviation":"Genes Dev.","language":"eng","author":[{"family":"Rudolph","given":"Christian J"},{"family":"Upton","given":"Amy L"},{"family":"Lloyd","given":"Robert G"}],"issued":{"date-parts":[["2007",3,15]]},"PMID":"17369400","PMCID":"PMC1820941"}}],"schema":"https://github.com/citation-style-language/schema/raw/master/csl-citation.json"} </w:instrText>
      </w:r>
      <w:r w:rsidRPr="00B135BC">
        <w:fldChar w:fldCharType="separate"/>
      </w:r>
      <w:r w:rsidR="003E42B4" w:rsidRPr="003E42B4">
        <w:t>(Rudolph et al. 2007)</w:t>
      </w:r>
      <w:r w:rsidRPr="00B135BC">
        <w:fldChar w:fldCharType="end"/>
      </w:r>
      <w:r w:rsidRPr="00B135BC">
        <w:t xml:space="preserve">. Briefly, cells were grown to an </w:t>
      </w:r>
      <w:r w:rsidRPr="00B135BC">
        <w:rPr>
          <w:i/>
        </w:rPr>
        <w:t>A</w:t>
      </w:r>
      <w:r w:rsidR="004C0907">
        <w:rPr>
          <w:i/>
          <w:vertAlign w:val="subscript"/>
        </w:rPr>
        <w:t>60</w:t>
      </w:r>
      <w:r w:rsidRPr="00B135BC">
        <w:rPr>
          <w:i/>
          <w:vertAlign w:val="subscript"/>
        </w:rPr>
        <w:t>0</w:t>
      </w:r>
      <w:r w:rsidRPr="00B135BC">
        <w:rPr>
          <w:i/>
        </w:rPr>
        <w:t xml:space="preserve"> </w:t>
      </w:r>
      <w:r w:rsidRPr="00B135BC">
        <w:t xml:space="preserve">of 0.2 in LB broth. A 1 ml sample was removed </w:t>
      </w:r>
      <w:r w:rsidR="00E82CD2">
        <w:t xml:space="preserve">as </w:t>
      </w:r>
      <w:proofErr w:type="spellStart"/>
      <w:r w:rsidR="00E82CD2">
        <w:t>unirradiated</w:t>
      </w:r>
      <w:proofErr w:type="spellEnd"/>
      <w:r w:rsidR="00E82CD2">
        <w:t xml:space="preserve"> control. </w:t>
      </w:r>
      <w:r w:rsidRPr="00B135BC">
        <w:t xml:space="preserve">The rest of the cells were </w:t>
      </w:r>
      <w:r w:rsidRPr="00B135BC">
        <w:lastRenderedPageBreak/>
        <w:t xml:space="preserve">pelleted, UV-irradiated on the surface of LB agar and resuspended in the original, but filter-sterilised, supernatant to continue incubation. 1 ml samples were removed </w:t>
      </w:r>
      <w:r w:rsidR="00E82CD2">
        <w:t xml:space="preserve">at the intervals indicated and </w:t>
      </w:r>
      <w:r w:rsidRPr="00B135BC">
        <w:t>transferred to a thin 1% LB agarose layer on microscopic slides</w:t>
      </w:r>
      <w:r w:rsidR="00E82CD2">
        <w:t xml:space="preserve">. Cells were </w:t>
      </w:r>
      <w:r w:rsidRPr="00B135BC">
        <w:t xml:space="preserve">visualized with a BX-52 Olympus microscope equipped with a </w:t>
      </w:r>
      <w:proofErr w:type="spellStart"/>
      <w:r w:rsidRPr="00B135BC">
        <w:t>coolSNAP™HQ</w:t>
      </w:r>
      <w:proofErr w:type="spellEnd"/>
      <w:r w:rsidRPr="00B135BC">
        <w:t xml:space="preserve"> camera (</w:t>
      </w:r>
      <w:proofErr w:type="spellStart"/>
      <w:r w:rsidRPr="00B135BC">
        <w:t>Photometrics</w:t>
      </w:r>
      <w:proofErr w:type="spellEnd"/>
      <w:r w:rsidRPr="00B135BC">
        <w:t xml:space="preserve">). </w:t>
      </w:r>
      <w:proofErr w:type="spellStart"/>
      <w:r w:rsidR="00E82CD2">
        <w:t>YPet-DnaN</w:t>
      </w:r>
      <w:proofErr w:type="spellEnd"/>
      <w:r w:rsidR="00E82CD2">
        <w:t xml:space="preserve"> </w:t>
      </w:r>
      <w:r w:rsidRPr="00B135BC">
        <w:t xml:space="preserve">foci were visualized using the JP4-CFP-YFP </w:t>
      </w:r>
      <w:proofErr w:type="spellStart"/>
      <w:r w:rsidRPr="00B135BC">
        <w:t>filterset</w:t>
      </w:r>
      <w:proofErr w:type="spellEnd"/>
      <w:r w:rsidRPr="00B135BC">
        <w:t xml:space="preserve"> 86002v2 (Chroma). Images were taken and analysed by </w:t>
      </w:r>
      <w:proofErr w:type="spellStart"/>
      <w:r w:rsidRPr="00B135BC">
        <w:t>MetaMorph</w:t>
      </w:r>
      <w:proofErr w:type="spellEnd"/>
      <w:r w:rsidRPr="00B135BC">
        <w:t xml:space="preserve"> 6.2 (Universal Imaging) and processed using </w:t>
      </w:r>
      <w:proofErr w:type="spellStart"/>
      <w:r w:rsidRPr="00B135BC">
        <w:t>MetaMorph</w:t>
      </w:r>
      <w:proofErr w:type="spellEnd"/>
      <w:r w:rsidRPr="00B135BC">
        <w:t xml:space="preserve"> and Adobe Photoshop CS6.</w:t>
      </w:r>
    </w:p>
    <w:p w:rsidR="00BF4C58" w:rsidRDefault="00BF4C58">
      <w:pPr>
        <w:spacing w:after="200" w:line="276" w:lineRule="auto"/>
        <w:jc w:val="left"/>
        <w:rPr>
          <w:rFonts w:ascii="Corbel" w:eastAsiaTheme="majorEastAsia" w:hAnsi="Corbel" w:cstheme="majorBidi"/>
          <w:b/>
          <w:bCs/>
          <w:color w:val="244061" w:themeColor="accent1" w:themeShade="80"/>
          <w:sz w:val="30"/>
          <w:szCs w:val="28"/>
        </w:rPr>
      </w:pPr>
      <w:r>
        <w:br w:type="page"/>
      </w:r>
    </w:p>
    <w:p w:rsidR="00597909" w:rsidRDefault="00597909" w:rsidP="00597909">
      <w:pPr>
        <w:pStyle w:val="Heading1"/>
      </w:pPr>
      <w:r>
        <w:lastRenderedPageBreak/>
        <w:t>Supplementary Tables</w:t>
      </w:r>
    </w:p>
    <w:p w:rsidR="003E42B4" w:rsidRDefault="003E42B4" w:rsidP="00597909">
      <w:pPr>
        <w:pStyle w:val="Heading2"/>
      </w:pPr>
      <w:r>
        <w:t xml:space="preserve">Table S1. </w:t>
      </w:r>
      <w:proofErr w:type="gramStart"/>
      <w:r w:rsidRPr="003E42B4">
        <w:t>Effect of a recG deletion on the rate of spontan</w:t>
      </w:r>
      <w:r>
        <w:t>e</w:t>
      </w:r>
      <w:r w:rsidRPr="003E42B4">
        <w:t xml:space="preserve">ous mutations </w:t>
      </w:r>
      <w:r>
        <w:br/>
      </w:r>
      <w:r w:rsidRPr="003E42B4">
        <w:t>in E. coli.</w:t>
      </w:r>
      <w:proofErr w:type="gramEnd"/>
    </w:p>
    <w:tbl>
      <w:tblPr>
        <w:tblW w:w="7654" w:type="dxa"/>
        <w:tblInd w:w="568" w:type="dxa"/>
        <w:tblLayout w:type="fixed"/>
        <w:tblCellMar>
          <w:left w:w="70" w:type="dxa"/>
          <w:right w:w="70" w:type="dxa"/>
        </w:tblCellMar>
        <w:tblLook w:val="0000" w:firstRow="0" w:lastRow="0" w:firstColumn="0" w:lastColumn="0" w:noHBand="0" w:noVBand="0"/>
      </w:tblPr>
      <w:tblGrid>
        <w:gridCol w:w="2126"/>
        <w:gridCol w:w="1843"/>
        <w:gridCol w:w="880"/>
        <w:gridCol w:w="963"/>
        <w:gridCol w:w="1842"/>
      </w:tblGrid>
      <w:tr w:rsidR="003E42B4" w:rsidRPr="00B55F93" w:rsidTr="003E42B4">
        <w:trPr>
          <w:trHeight w:val="794"/>
        </w:trPr>
        <w:tc>
          <w:tcPr>
            <w:tcW w:w="2126" w:type="dxa"/>
            <w:tcBorders>
              <w:top w:val="single" w:sz="8" w:space="0" w:color="auto"/>
              <w:bottom w:val="single" w:sz="8" w:space="0" w:color="auto"/>
            </w:tcBorders>
            <w:tcMar>
              <w:left w:w="142" w:type="dxa"/>
            </w:tcMar>
            <w:vAlign w:val="center"/>
          </w:tcPr>
          <w:p w:rsidR="003E42B4" w:rsidRPr="003E42B4" w:rsidRDefault="003E42B4" w:rsidP="003E42B4">
            <w:pPr>
              <w:pStyle w:val="Bild"/>
              <w:spacing w:before="0" w:line="240" w:lineRule="auto"/>
              <w:jc w:val="left"/>
              <w:rPr>
                <w:rFonts w:ascii="Corbel" w:hAnsi="Corbel"/>
                <w:iCs/>
                <w:sz w:val="20"/>
                <w:lang w:val="en-GB"/>
              </w:rPr>
            </w:pPr>
            <w:r>
              <w:rPr>
                <w:rFonts w:ascii="Corbel" w:hAnsi="Corbel"/>
                <w:iCs/>
                <w:sz w:val="20"/>
                <w:lang w:val="en-GB"/>
              </w:rPr>
              <w:t>Strain</w:t>
            </w:r>
          </w:p>
        </w:tc>
        <w:tc>
          <w:tcPr>
            <w:tcW w:w="1843" w:type="dxa"/>
            <w:tcBorders>
              <w:top w:val="single" w:sz="8" w:space="0" w:color="auto"/>
              <w:bottom w:val="single" w:sz="8" w:space="0" w:color="auto"/>
              <w:right w:val="nil"/>
            </w:tcBorders>
          </w:tcPr>
          <w:p w:rsidR="003E42B4" w:rsidRPr="003E42B4" w:rsidRDefault="003E42B4" w:rsidP="003E42B4">
            <w:pPr>
              <w:pStyle w:val="Bild"/>
              <w:spacing w:before="0" w:line="240" w:lineRule="auto"/>
              <w:rPr>
                <w:rFonts w:ascii="Corbel" w:hAnsi="Corbel"/>
                <w:iCs/>
                <w:sz w:val="20"/>
                <w:lang w:val="en-GB"/>
              </w:rPr>
            </w:pPr>
          </w:p>
        </w:tc>
        <w:tc>
          <w:tcPr>
            <w:tcW w:w="1843" w:type="dxa"/>
            <w:gridSpan w:val="2"/>
            <w:tcBorders>
              <w:top w:val="single" w:sz="8" w:space="0" w:color="auto"/>
              <w:left w:val="nil"/>
              <w:bottom w:val="single" w:sz="8" w:space="0" w:color="auto"/>
            </w:tcBorders>
            <w:vAlign w:val="center"/>
          </w:tcPr>
          <w:p w:rsidR="003E42B4" w:rsidRPr="003E42B4" w:rsidRDefault="003E42B4" w:rsidP="003E42B4">
            <w:pPr>
              <w:pStyle w:val="Bild"/>
              <w:spacing w:before="0" w:line="240" w:lineRule="auto"/>
              <w:rPr>
                <w:rFonts w:ascii="Corbel" w:hAnsi="Corbel"/>
                <w:iCs/>
                <w:sz w:val="20"/>
                <w:lang w:val="en-GB"/>
              </w:rPr>
            </w:pPr>
            <w:proofErr w:type="spellStart"/>
            <w:proofErr w:type="gramStart"/>
            <w:r w:rsidRPr="003E42B4">
              <w:rPr>
                <w:rFonts w:ascii="Corbel" w:hAnsi="Corbel"/>
                <w:iCs/>
                <w:sz w:val="20"/>
                <w:lang w:val="en-GB"/>
              </w:rPr>
              <w:t>spont</w:t>
            </w:r>
            <w:proofErr w:type="spellEnd"/>
            <w:proofErr w:type="gramEnd"/>
            <w:r w:rsidRPr="003E42B4">
              <w:rPr>
                <w:rFonts w:ascii="Corbel" w:hAnsi="Corbel"/>
                <w:iCs/>
                <w:sz w:val="20"/>
                <w:lang w:val="en-GB"/>
              </w:rPr>
              <w:t>. mutation rate [</w:t>
            </w:r>
            <w:r w:rsidRPr="003E42B4">
              <w:rPr>
                <w:rFonts w:ascii="Corbel" w:hAnsi="Corbel"/>
                <w:iCs/>
                <w:w w:val="45"/>
                <w:sz w:val="20"/>
                <w:lang w:val="en-GB"/>
              </w:rPr>
              <w:t> </w:t>
            </w:r>
            <w:r w:rsidRPr="003E42B4">
              <w:rPr>
                <w:rFonts w:ascii="Corbel" w:hAnsi="Corbel"/>
                <w:iCs/>
                <w:sz w:val="20"/>
                <w:lang w:val="en-GB"/>
              </w:rPr>
              <w:t>×</w:t>
            </w:r>
            <w:r w:rsidRPr="003E42B4">
              <w:rPr>
                <w:rFonts w:ascii="Corbel" w:hAnsi="Corbel"/>
                <w:iCs/>
                <w:w w:val="45"/>
                <w:sz w:val="20"/>
                <w:lang w:val="en-GB"/>
              </w:rPr>
              <w:t> </w:t>
            </w:r>
            <w:r w:rsidRPr="003E42B4">
              <w:rPr>
                <w:rFonts w:ascii="Corbel" w:hAnsi="Corbel"/>
                <w:iCs/>
                <w:sz w:val="20"/>
                <w:lang w:val="en-GB"/>
              </w:rPr>
              <w:t>10</w:t>
            </w:r>
            <w:r w:rsidRPr="003E42B4">
              <w:rPr>
                <w:rFonts w:ascii="Corbel" w:hAnsi="Corbel"/>
                <w:iCs/>
                <w:w w:val="45"/>
                <w:sz w:val="20"/>
                <w:lang w:val="en-GB"/>
              </w:rPr>
              <w:t> </w:t>
            </w:r>
            <w:r w:rsidRPr="003E42B4">
              <w:rPr>
                <w:rFonts w:ascii="Corbel" w:hAnsi="Corbel"/>
                <w:iCs/>
                <w:sz w:val="20"/>
                <w:vertAlign w:val="superscript"/>
                <w:lang w:val="en-GB"/>
              </w:rPr>
              <w:t>–</w:t>
            </w:r>
            <w:r w:rsidRPr="003E42B4">
              <w:rPr>
                <w:rFonts w:ascii="Corbel" w:hAnsi="Corbel"/>
                <w:iCs/>
                <w:w w:val="45"/>
                <w:sz w:val="20"/>
                <w:lang w:val="en-GB"/>
              </w:rPr>
              <w:t> </w:t>
            </w:r>
            <w:r w:rsidRPr="003E42B4">
              <w:rPr>
                <w:rFonts w:ascii="Corbel" w:hAnsi="Corbel"/>
                <w:iCs/>
                <w:sz w:val="20"/>
                <w:vertAlign w:val="superscript"/>
                <w:lang w:val="en-GB"/>
              </w:rPr>
              <w:t>9</w:t>
            </w:r>
            <w:r w:rsidRPr="003E42B4">
              <w:rPr>
                <w:rFonts w:ascii="Corbel" w:hAnsi="Corbel"/>
                <w:iCs/>
                <w:sz w:val="20"/>
                <w:lang w:val="en-GB"/>
              </w:rPr>
              <w:t>]</w:t>
            </w:r>
          </w:p>
        </w:tc>
        <w:tc>
          <w:tcPr>
            <w:tcW w:w="1842" w:type="dxa"/>
            <w:tcBorders>
              <w:top w:val="single" w:sz="18" w:space="0" w:color="auto"/>
              <w:left w:val="nil"/>
              <w:bottom w:val="single" w:sz="18" w:space="0" w:color="auto"/>
            </w:tcBorders>
            <w:vAlign w:val="center"/>
          </w:tcPr>
          <w:p w:rsidR="003E42B4" w:rsidRPr="003E42B4" w:rsidRDefault="003E42B4" w:rsidP="003E42B4">
            <w:pPr>
              <w:pStyle w:val="Bild"/>
              <w:spacing w:before="0" w:line="240" w:lineRule="auto"/>
              <w:rPr>
                <w:rFonts w:ascii="Corbel" w:hAnsi="Corbel"/>
                <w:iCs/>
                <w:sz w:val="20"/>
                <w:lang w:val="en-GB"/>
              </w:rPr>
            </w:pPr>
            <w:proofErr w:type="gramStart"/>
            <w:r w:rsidRPr="003E42B4">
              <w:rPr>
                <w:rFonts w:ascii="Corbel" w:hAnsi="Corbel"/>
                <w:iCs/>
                <w:sz w:val="20"/>
                <w:lang w:val="en-GB"/>
              </w:rPr>
              <w:t>relative</w:t>
            </w:r>
            <w:proofErr w:type="gramEnd"/>
            <w:r w:rsidRPr="003E42B4">
              <w:rPr>
                <w:rFonts w:ascii="Corbel" w:hAnsi="Corbel"/>
                <w:iCs/>
                <w:sz w:val="20"/>
                <w:lang w:val="en-GB"/>
              </w:rPr>
              <w:t xml:space="preserve"> </w:t>
            </w:r>
            <w:proofErr w:type="spellStart"/>
            <w:r w:rsidRPr="003E42B4">
              <w:rPr>
                <w:rFonts w:ascii="Corbel" w:hAnsi="Corbel"/>
                <w:iCs/>
                <w:sz w:val="20"/>
                <w:lang w:val="en-GB"/>
              </w:rPr>
              <w:t>spont</w:t>
            </w:r>
            <w:proofErr w:type="spellEnd"/>
            <w:r w:rsidRPr="003E42B4">
              <w:rPr>
                <w:rFonts w:ascii="Corbel" w:hAnsi="Corbel"/>
                <w:iCs/>
                <w:sz w:val="20"/>
                <w:lang w:val="en-GB"/>
              </w:rPr>
              <w:t xml:space="preserve">. </w:t>
            </w:r>
            <w:r w:rsidRPr="003E42B4">
              <w:rPr>
                <w:rFonts w:ascii="Corbel" w:hAnsi="Corbel"/>
                <w:iCs/>
                <w:sz w:val="20"/>
                <w:lang w:val="en-GB"/>
              </w:rPr>
              <w:br/>
              <w:t>mutation rate</w:t>
            </w:r>
          </w:p>
        </w:tc>
      </w:tr>
      <w:tr w:rsidR="003E42B4" w:rsidRPr="00B55F93" w:rsidTr="003E42B4">
        <w:trPr>
          <w:trHeight w:val="397"/>
        </w:trPr>
        <w:tc>
          <w:tcPr>
            <w:tcW w:w="2126" w:type="dxa"/>
            <w:tcBorders>
              <w:top w:val="single" w:sz="8" w:space="0" w:color="auto"/>
            </w:tcBorders>
            <w:tcMar>
              <w:left w:w="142" w:type="dxa"/>
            </w:tcMar>
            <w:vAlign w:val="center"/>
          </w:tcPr>
          <w:p w:rsidR="003E42B4" w:rsidRPr="003E42B4" w:rsidRDefault="003E42B4" w:rsidP="003E42B4">
            <w:pPr>
              <w:spacing w:line="240" w:lineRule="auto"/>
              <w:rPr>
                <w:rFonts w:ascii="Corbel" w:hAnsi="Corbel"/>
                <w:sz w:val="20"/>
                <w:szCs w:val="20"/>
              </w:rPr>
            </w:pPr>
            <w:r w:rsidRPr="003E42B4">
              <w:rPr>
                <w:rFonts w:ascii="Corbel" w:hAnsi="Corbel"/>
                <w:sz w:val="20"/>
                <w:szCs w:val="20"/>
              </w:rPr>
              <w:t>wild type</w:t>
            </w:r>
          </w:p>
        </w:tc>
        <w:tc>
          <w:tcPr>
            <w:tcW w:w="1843" w:type="dxa"/>
            <w:tcBorders>
              <w:top w:val="single" w:sz="8" w:space="0" w:color="auto"/>
              <w:right w:val="nil"/>
            </w:tcBorders>
            <w:vAlign w:val="center"/>
          </w:tcPr>
          <w:p w:rsidR="003E42B4" w:rsidRPr="003E42B4" w:rsidRDefault="003E42B4" w:rsidP="003E42B4">
            <w:pPr>
              <w:spacing w:line="240" w:lineRule="auto"/>
              <w:rPr>
                <w:rFonts w:ascii="Corbel" w:hAnsi="Corbel"/>
                <w:sz w:val="20"/>
                <w:szCs w:val="20"/>
              </w:rPr>
            </w:pPr>
            <w:r>
              <w:rPr>
                <w:rFonts w:ascii="Corbel" w:hAnsi="Corbel"/>
                <w:sz w:val="20"/>
                <w:szCs w:val="20"/>
              </w:rPr>
              <w:t>MG1655</w:t>
            </w:r>
          </w:p>
        </w:tc>
        <w:tc>
          <w:tcPr>
            <w:tcW w:w="880" w:type="dxa"/>
            <w:tcBorders>
              <w:top w:val="single" w:sz="8" w:space="0" w:color="auto"/>
              <w:left w:val="nil"/>
            </w:tcBorders>
            <w:vAlign w:val="center"/>
          </w:tcPr>
          <w:p w:rsidR="003E42B4" w:rsidRPr="003E42B4" w:rsidRDefault="003E42B4" w:rsidP="003E42B4">
            <w:pPr>
              <w:spacing w:line="240" w:lineRule="auto"/>
              <w:jc w:val="right"/>
              <w:rPr>
                <w:rFonts w:ascii="Corbel" w:hAnsi="Corbel"/>
                <w:sz w:val="20"/>
                <w:szCs w:val="20"/>
              </w:rPr>
            </w:pPr>
            <w:r w:rsidRPr="003E42B4">
              <w:rPr>
                <w:rFonts w:ascii="Corbel" w:hAnsi="Corbel"/>
                <w:sz w:val="20"/>
                <w:szCs w:val="20"/>
              </w:rPr>
              <w:t>3.52</w:t>
            </w:r>
          </w:p>
        </w:tc>
        <w:tc>
          <w:tcPr>
            <w:tcW w:w="963" w:type="dxa"/>
            <w:tcBorders>
              <w:top w:val="single" w:sz="8" w:space="0" w:color="auto"/>
            </w:tcBorders>
            <w:vAlign w:val="center"/>
          </w:tcPr>
          <w:p w:rsidR="003E42B4" w:rsidRPr="003E42B4" w:rsidRDefault="003E42B4" w:rsidP="003E42B4">
            <w:pPr>
              <w:spacing w:line="240" w:lineRule="auto"/>
              <w:rPr>
                <w:rFonts w:ascii="Corbel" w:hAnsi="Corbel"/>
                <w:sz w:val="20"/>
                <w:szCs w:val="20"/>
                <w:vertAlign w:val="superscript"/>
              </w:rPr>
            </w:pPr>
            <w:r w:rsidRPr="003E42B4">
              <w:rPr>
                <w:rFonts w:ascii="Corbel" w:hAnsi="Corbel"/>
                <w:sz w:val="20"/>
                <w:szCs w:val="20"/>
              </w:rPr>
              <w:t>± 0.71</w:t>
            </w:r>
            <w:r>
              <w:rPr>
                <w:rFonts w:ascii="Corbel" w:hAnsi="Corbel"/>
                <w:sz w:val="20"/>
                <w:szCs w:val="20"/>
                <w:vertAlign w:val="superscript"/>
              </w:rPr>
              <w:t>a</w:t>
            </w:r>
            <w:r w:rsidRPr="003E42B4">
              <w:rPr>
                <w:rFonts w:ascii="Corbel" w:hAnsi="Corbel"/>
                <w:sz w:val="20"/>
                <w:szCs w:val="20"/>
                <w:vertAlign w:val="superscript"/>
              </w:rPr>
              <w:t>)</w:t>
            </w:r>
          </w:p>
        </w:tc>
        <w:tc>
          <w:tcPr>
            <w:tcW w:w="1842" w:type="dxa"/>
            <w:tcBorders>
              <w:top w:val="single" w:sz="18" w:space="0" w:color="auto"/>
            </w:tcBorders>
            <w:vAlign w:val="center"/>
          </w:tcPr>
          <w:p w:rsidR="003E42B4" w:rsidRPr="003E42B4" w:rsidRDefault="003E42B4" w:rsidP="003E42B4">
            <w:pPr>
              <w:spacing w:line="240" w:lineRule="auto"/>
              <w:jc w:val="center"/>
              <w:rPr>
                <w:rFonts w:ascii="Corbel" w:hAnsi="Corbel"/>
                <w:sz w:val="20"/>
                <w:szCs w:val="20"/>
              </w:rPr>
            </w:pPr>
            <w:r w:rsidRPr="003E42B4">
              <w:rPr>
                <w:rFonts w:ascii="Corbel" w:hAnsi="Corbel"/>
                <w:sz w:val="20"/>
                <w:szCs w:val="20"/>
              </w:rPr>
              <w:t>1.00</w:t>
            </w:r>
          </w:p>
        </w:tc>
      </w:tr>
      <w:tr w:rsidR="003E42B4" w:rsidRPr="00B55F93" w:rsidTr="003E42B4">
        <w:trPr>
          <w:trHeight w:val="397"/>
        </w:trPr>
        <w:tc>
          <w:tcPr>
            <w:tcW w:w="2126" w:type="dxa"/>
            <w:tcBorders>
              <w:bottom w:val="single" w:sz="2" w:space="0" w:color="auto"/>
            </w:tcBorders>
            <w:tcMar>
              <w:left w:w="142" w:type="dxa"/>
            </w:tcMar>
            <w:vAlign w:val="center"/>
          </w:tcPr>
          <w:p w:rsidR="003E42B4" w:rsidRPr="003E42B4" w:rsidRDefault="003E42B4" w:rsidP="003E42B4">
            <w:pPr>
              <w:spacing w:line="240" w:lineRule="auto"/>
              <w:rPr>
                <w:rFonts w:ascii="Corbel" w:hAnsi="Corbel"/>
                <w:i/>
                <w:iCs/>
                <w:sz w:val="20"/>
                <w:szCs w:val="20"/>
              </w:rPr>
            </w:pPr>
            <w:r w:rsidRPr="003E42B4">
              <w:rPr>
                <w:rFonts w:ascii="Corbel" w:hAnsi="Corbel"/>
                <w:i/>
                <w:iCs/>
                <w:sz w:val="20"/>
                <w:szCs w:val="20"/>
              </w:rPr>
              <w:t>recG</w:t>
            </w:r>
          </w:p>
        </w:tc>
        <w:tc>
          <w:tcPr>
            <w:tcW w:w="1843" w:type="dxa"/>
            <w:tcBorders>
              <w:bottom w:val="single" w:sz="2" w:space="0" w:color="auto"/>
              <w:right w:val="nil"/>
            </w:tcBorders>
            <w:vAlign w:val="center"/>
          </w:tcPr>
          <w:p w:rsidR="003E42B4" w:rsidRPr="003E42B4" w:rsidRDefault="003E42B4" w:rsidP="003E42B4">
            <w:pPr>
              <w:spacing w:line="240" w:lineRule="auto"/>
              <w:rPr>
                <w:rFonts w:ascii="Corbel" w:hAnsi="Corbel"/>
                <w:sz w:val="20"/>
                <w:szCs w:val="20"/>
              </w:rPr>
            </w:pPr>
            <w:r>
              <w:rPr>
                <w:rFonts w:ascii="Corbel" w:hAnsi="Corbel"/>
                <w:sz w:val="20"/>
                <w:szCs w:val="20"/>
              </w:rPr>
              <w:t>N4560</w:t>
            </w:r>
          </w:p>
        </w:tc>
        <w:tc>
          <w:tcPr>
            <w:tcW w:w="880" w:type="dxa"/>
            <w:tcBorders>
              <w:left w:val="nil"/>
              <w:bottom w:val="single" w:sz="2" w:space="0" w:color="auto"/>
            </w:tcBorders>
            <w:vAlign w:val="center"/>
          </w:tcPr>
          <w:p w:rsidR="003E42B4" w:rsidRPr="003E42B4" w:rsidRDefault="003E42B4" w:rsidP="003E42B4">
            <w:pPr>
              <w:spacing w:line="240" w:lineRule="auto"/>
              <w:jc w:val="right"/>
              <w:rPr>
                <w:rFonts w:ascii="Corbel" w:hAnsi="Corbel"/>
                <w:sz w:val="20"/>
                <w:szCs w:val="20"/>
              </w:rPr>
            </w:pPr>
            <w:r w:rsidRPr="003E42B4">
              <w:rPr>
                <w:rFonts w:ascii="Corbel" w:hAnsi="Corbel"/>
                <w:sz w:val="20"/>
                <w:szCs w:val="20"/>
              </w:rPr>
              <w:t>1.95</w:t>
            </w:r>
          </w:p>
        </w:tc>
        <w:tc>
          <w:tcPr>
            <w:tcW w:w="963" w:type="dxa"/>
            <w:tcBorders>
              <w:bottom w:val="single" w:sz="2" w:space="0" w:color="auto"/>
            </w:tcBorders>
            <w:vAlign w:val="center"/>
          </w:tcPr>
          <w:p w:rsidR="003E42B4" w:rsidRPr="003E42B4" w:rsidRDefault="003E42B4" w:rsidP="003E42B4">
            <w:pPr>
              <w:spacing w:line="240" w:lineRule="auto"/>
              <w:rPr>
                <w:rFonts w:ascii="Corbel" w:hAnsi="Corbel"/>
                <w:sz w:val="20"/>
                <w:szCs w:val="20"/>
              </w:rPr>
            </w:pPr>
            <w:r w:rsidRPr="003E42B4">
              <w:rPr>
                <w:rFonts w:ascii="Corbel" w:hAnsi="Corbel"/>
                <w:sz w:val="20"/>
                <w:szCs w:val="20"/>
              </w:rPr>
              <w:t>± 0.46</w:t>
            </w:r>
            <w:r w:rsidRPr="003E42B4">
              <w:rPr>
                <w:rFonts w:ascii="Corbel" w:hAnsi="Corbel"/>
                <w:sz w:val="20"/>
                <w:szCs w:val="20"/>
                <w:vertAlign w:val="superscript"/>
              </w:rPr>
              <w:t xml:space="preserve"> </w:t>
            </w:r>
            <w:r>
              <w:rPr>
                <w:rFonts w:ascii="Corbel" w:hAnsi="Corbel"/>
                <w:sz w:val="20"/>
                <w:szCs w:val="20"/>
                <w:vertAlign w:val="superscript"/>
              </w:rPr>
              <w:t>a</w:t>
            </w:r>
            <w:r w:rsidRPr="003E42B4">
              <w:rPr>
                <w:rFonts w:ascii="Corbel" w:hAnsi="Corbel"/>
                <w:sz w:val="20"/>
                <w:szCs w:val="20"/>
                <w:vertAlign w:val="superscript"/>
              </w:rPr>
              <w:t>)</w:t>
            </w:r>
          </w:p>
        </w:tc>
        <w:tc>
          <w:tcPr>
            <w:tcW w:w="1842" w:type="dxa"/>
            <w:tcBorders>
              <w:bottom w:val="single" w:sz="2" w:space="0" w:color="auto"/>
            </w:tcBorders>
            <w:vAlign w:val="center"/>
          </w:tcPr>
          <w:p w:rsidR="003E42B4" w:rsidRPr="003E42B4" w:rsidRDefault="003E42B4" w:rsidP="003E42B4">
            <w:pPr>
              <w:spacing w:line="240" w:lineRule="auto"/>
              <w:jc w:val="center"/>
              <w:rPr>
                <w:rFonts w:ascii="Corbel" w:hAnsi="Corbel"/>
                <w:sz w:val="20"/>
                <w:szCs w:val="20"/>
              </w:rPr>
            </w:pPr>
            <w:r w:rsidRPr="003E42B4">
              <w:rPr>
                <w:rFonts w:ascii="Corbel" w:hAnsi="Corbel"/>
                <w:sz w:val="20"/>
                <w:szCs w:val="20"/>
              </w:rPr>
              <w:t>0.60</w:t>
            </w:r>
          </w:p>
        </w:tc>
      </w:tr>
      <w:tr w:rsidR="003E42B4" w:rsidRPr="00B55F93" w:rsidTr="003E42B4">
        <w:trPr>
          <w:trHeight w:val="397"/>
        </w:trPr>
        <w:tc>
          <w:tcPr>
            <w:tcW w:w="2126" w:type="dxa"/>
            <w:tcBorders>
              <w:top w:val="single" w:sz="2" w:space="0" w:color="auto"/>
            </w:tcBorders>
            <w:tcMar>
              <w:left w:w="142" w:type="dxa"/>
            </w:tcMar>
            <w:vAlign w:val="center"/>
          </w:tcPr>
          <w:p w:rsidR="003E42B4" w:rsidRPr="003E42B4" w:rsidRDefault="003E42B4" w:rsidP="003E42B4">
            <w:pPr>
              <w:spacing w:line="240" w:lineRule="auto"/>
              <w:rPr>
                <w:rFonts w:ascii="Corbel" w:hAnsi="Corbel"/>
                <w:sz w:val="20"/>
                <w:szCs w:val="20"/>
              </w:rPr>
            </w:pPr>
            <w:r w:rsidRPr="003E42B4">
              <w:rPr>
                <w:rFonts w:ascii="Corbel" w:hAnsi="Corbel"/>
                <w:sz w:val="20"/>
                <w:szCs w:val="20"/>
              </w:rPr>
              <w:t>wild type</w:t>
            </w:r>
          </w:p>
        </w:tc>
        <w:tc>
          <w:tcPr>
            <w:tcW w:w="1843" w:type="dxa"/>
            <w:tcBorders>
              <w:top w:val="single" w:sz="2" w:space="0" w:color="auto"/>
              <w:right w:val="nil"/>
            </w:tcBorders>
            <w:vAlign w:val="center"/>
          </w:tcPr>
          <w:p w:rsidR="003E42B4" w:rsidRPr="003E42B4" w:rsidRDefault="003E42B4" w:rsidP="003E42B4">
            <w:pPr>
              <w:spacing w:line="240" w:lineRule="auto"/>
              <w:rPr>
                <w:rFonts w:ascii="Corbel" w:hAnsi="Corbel"/>
                <w:sz w:val="20"/>
                <w:szCs w:val="20"/>
              </w:rPr>
            </w:pPr>
            <w:r>
              <w:rPr>
                <w:rFonts w:ascii="Corbel" w:hAnsi="Corbel"/>
                <w:sz w:val="20"/>
                <w:szCs w:val="20"/>
              </w:rPr>
              <w:t>MG1655</w:t>
            </w:r>
          </w:p>
        </w:tc>
        <w:tc>
          <w:tcPr>
            <w:tcW w:w="880" w:type="dxa"/>
            <w:tcBorders>
              <w:top w:val="single" w:sz="2" w:space="0" w:color="auto"/>
              <w:left w:val="nil"/>
            </w:tcBorders>
            <w:vAlign w:val="center"/>
          </w:tcPr>
          <w:p w:rsidR="003E42B4" w:rsidRPr="003E42B4" w:rsidRDefault="003E42B4" w:rsidP="003E42B4">
            <w:pPr>
              <w:spacing w:line="240" w:lineRule="auto"/>
              <w:jc w:val="right"/>
              <w:rPr>
                <w:rFonts w:ascii="Corbel" w:hAnsi="Corbel"/>
                <w:sz w:val="20"/>
                <w:szCs w:val="20"/>
              </w:rPr>
            </w:pPr>
            <w:r w:rsidRPr="003E42B4">
              <w:rPr>
                <w:rFonts w:ascii="Corbel" w:hAnsi="Corbel"/>
                <w:sz w:val="20"/>
                <w:szCs w:val="20"/>
              </w:rPr>
              <w:t>4.10</w:t>
            </w:r>
          </w:p>
        </w:tc>
        <w:tc>
          <w:tcPr>
            <w:tcW w:w="963" w:type="dxa"/>
            <w:tcBorders>
              <w:top w:val="single" w:sz="2" w:space="0" w:color="auto"/>
            </w:tcBorders>
            <w:vAlign w:val="center"/>
          </w:tcPr>
          <w:p w:rsidR="003E42B4" w:rsidRPr="003E42B4" w:rsidRDefault="003E42B4" w:rsidP="003E42B4">
            <w:pPr>
              <w:spacing w:line="240" w:lineRule="auto"/>
              <w:rPr>
                <w:rFonts w:ascii="Corbel" w:hAnsi="Corbel"/>
                <w:sz w:val="20"/>
                <w:szCs w:val="20"/>
                <w:vertAlign w:val="superscript"/>
              </w:rPr>
            </w:pPr>
            <w:r w:rsidRPr="003E42B4">
              <w:rPr>
                <w:rFonts w:ascii="Corbel" w:hAnsi="Corbel"/>
                <w:sz w:val="20"/>
                <w:szCs w:val="20"/>
              </w:rPr>
              <w:t>± 0.63</w:t>
            </w:r>
            <w:r w:rsidRPr="003E42B4">
              <w:rPr>
                <w:rFonts w:ascii="Corbel" w:hAnsi="Corbel"/>
                <w:sz w:val="20"/>
                <w:szCs w:val="20"/>
                <w:vertAlign w:val="superscript"/>
              </w:rPr>
              <w:t>b)</w:t>
            </w:r>
          </w:p>
        </w:tc>
        <w:tc>
          <w:tcPr>
            <w:tcW w:w="1842" w:type="dxa"/>
            <w:tcBorders>
              <w:top w:val="single" w:sz="2" w:space="0" w:color="auto"/>
            </w:tcBorders>
            <w:vAlign w:val="center"/>
          </w:tcPr>
          <w:p w:rsidR="003E42B4" w:rsidRPr="003E42B4" w:rsidRDefault="003E42B4" w:rsidP="003E42B4">
            <w:pPr>
              <w:spacing w:line="240" w:lineRule="auto"/>
              <w:jc w:val="center"/>
              <w:rPr>
                <w:rFonts w:ascii="Corbel" w:hAnsi="Corbel"/>
                <w:sz w:val="20"/>
                <w:szCs w:val="20"/>
              </w:rPr>
            </w:pPr>
            <w:r w:rsidRPr="003E42B4">
              <w:rPr>
                <w:rFonts w:ascii="Corbel" w:hAnsi="Corbel"/>
                <w:sz w:val="20"/>
                <w:szCs w:val="20"/>
              </w:rPr>
              <w:t>1.00</w:t>
            </w:r>
          </w:p>
        </w:tc>
      </w:tr>
      <w:tr w:rsidR="003E42B4" w:rsidRPr="00B55F93" w:rsidTr="003E42B4">
        <w:trPr>
          <w:trHeight w:val="397"/>
        </w:trPr>
        <w:tc>
          <w:tcPr>
            <w:tcW w:w="2126" w:type="dxa"/>
            <w:tcBorders>
              <w:bottom w:val="single" w:sz="4" w:space="0" w:color="auto"/>
            </w:tcBorders>
            <w:tcMar>
              <w:left w:w="142" w:type="dxa"/>
            </w:tcMar>
            <w:vAlign w:val="center"/>
          </w:tcPr>
          <w:p w:rsidR="003E42B4" w:rsidRPr="003E42B4" w:rsidRDefault="003E42B4" w:rsidP="003E42B4">
            <w:pPr>
              <w:spacing w:line="240" w:lineRule="auto"/>
              <w:rPr>
                <w:rFonts w:ascii="Corbel" w:hAnsi="Corbel"/>
                <w:i/>
                <w:iCs/>
                <w:sz w:val="20"/>
                <w:szCs w:val="20"/>
              </w:rPr>
            </w:pPr>
            <w:r w:rsidRPr="003E42B4">
              <w:rPr>
                <w:rFonts w:ascii="Corbel" w:hAnsi="Corbel"/>
                <w:i/>
                <w:iCs/>
                <w:sz w:val="20"/>
                <w:szCs w:val="20"/>
              </w:rPr>
              <w:t>recG</w:t>
            </w:r>
          </w:p>
        </w:tc>
        <w:tc>
          <w:tcPr>
            <w:tcW w:w="1843" w:type="dxa"/>
            <w:tcBorders>
              <w:bottom w:val="single" w:sz="4" w:space="0" w:color="auto"/>
              <w:right w:val="nil"/>
            </w:tcBorders>
            <w:vAlign w:val="center"/>
          </w:tcPr>
          <w:p w:rsidR="003E42B4" w:rsidRPr="003E42B4" w:rsidRDefault="003E42B4" w:rsidP="003E42B4">
            <w:pPr>
              <w:spacing w:line="240" w:lineRule="auto"/>
              <w:rPr>
                <w:rFonts w:ascii="Corbel" w:hAnsi="Corbel"/>
                <w:sz w:val="20"/>
                <w:szCs w:val="20"/>
              </w:rPr>
            </w:pPr>
            <w:r>
              <w:rPr>
                <w:rFonts w:ascii="Corbel" w:hAnsi="Corbel"/>
                <w:sz w:val="20"/>
                <w:szCs w:val="20"/>
              </w:rPr>
              <w:t>N4560</w:t>
            </w:r>
          </w:p>
        </w:tc>
        <w:tc>
          <w:tcPr>
            <w:tcW w:w="880" w:type="dxa"/>
            <w:tcBorders>
              <w:left w:val="nil"/>
              <w:bottom w:val="single" w:sz="4" w:space="0" w:color="auto"/>
            </w:tcBorders>
            <w:vAlign w:val="center"/>
          </w:tcPr>
          <w:p w:rsidR="003E42B4" w:rsidRPr="003E42B4" w:rsidRDefault="003E42B4" w:rsidP="003E42B4">
            <w:pPr>
              <w:spacing w:line="240" w:lineRule="auto"/>
              <w:jc w:val="right"/>
              <w:rPr>
                <w:rFonts w:ascii="Corbel" w:hAnsi="Corbel"/>
                <w:sz w:val="20"/>
                <w:szCs w:val="20"/>
              </w:rPr>
            </w:pPr>
            <w:r w:rsidRPr="003E42B4">
              <w:rPr>
                <w:rFonts w:ascii="Corbel" w:hAnsi="Corbel"/>
                <w:sz w:val="20"/>
                <w:szCs w:val="20"/>
              </w:rPr>
              <w:t>2.60</w:t>
            </w:r>
          </w:p>
        </w:tc>
        <w:tc>
          <w:tcPr>
            <w:tcW w:w="963" w:type="dxa"/>
            <w:tcBorders>
              <w:bottom w:val="single" w:sz="4" w:space="0" w:color="auto"/>
            </w:tcBorders>
            <w:vAlign w:val="center"/>
          </w:tcPr>
          <w:p w:rsidR="003E42B4" w:rsidRPr="003E42B4" w:rsidRDefault="003E42B4" w:rsidP="003E42B4">
            <w:pPr>
              <w:spacing w:line="240" w:lineRule="auto"/>
              <w:rPr>
                <w:rFonts w:ascii="Corbel" w:hAnsi="Corbel"/>
                <w:sz w:val="20"/>
                <w:szCs w:val="20"/>
              </w:rPr>
            </w:pPr>
            <w:r w:rsidRPr="003E42B4">
              <w:rPr>
                <w:rFonts w:ascii="Corbel" w:hAnsi="Corbel"/>
                <w:sz w:val="20"/>
                <w:szCs w:val="20"/>
              </w:rPr>
              <w:t>± 0.43</w:t>
            </w:r>
            <w:r w:rsidRPr="003E42B4">
              <w:rPr>
                <w:rFonts w:ascii="Corbel" w:hAnsi="Corbel"/>
                <w:sz w:val="20"/>
                <w:szCs w:val="20"/>
                <w:vertAlign w:val="superscript"/>
              </w:rPr>
              <w:t xml:space="preserve"> b)</w:t>
            </w:r>
          </w:p>
        </w:tc>
        <w:tc>
          <w:tcPr>
            <w:tcW w:w="1842" w:type="dxa"/>
            <w:tcBorders>
              <w:bottom w:val="single" w:sz="2" w:space="0" w:color="auto"/>
            </w:tcBorders>
            <w:vAlign w:val="center"/>
          </w:tcPr>
          <w:p w:rsidR="003E42B4" w:rsidRPr="003E42B4" w:rsidRDefault="003E42B4" w:rsidP="003E42B4">
            <w:pPr>
              <w:spacing w:line="240" w:lineRule="auto"/>
              <w:jc w:val="center"/>
              <w:rPr>
                <w:rFonts w:ascii="Corbel" w:hAnsi="Corbel"/>
                <w:sz w:val="20"/>
                <w:szCs w:val="20"/>
              </w:rPr>
            </w:pPr>
            <w:r w:rsidRPr="003E42B4">
              <w:rPr>
                <w:rFonts w:ascii="Corbel" w:hAnsi="Corbel"/>
                <w:sz w:val="20"/>
                <w:szCs w:val="20"/>
              </w:rPr>
              <w:t>0.63</w:t>
            </w:r>
          </w:p>
        </w:tc>
      </w:tr>
    </w:tbl>
    <w:p w:rsidR="003E42B4" w:rsidRPr="00BC5981" w:rsidRDefault="003E42B4" w:rsidP="003E42B4">
      <w:pPr>
        <w:spacing w:before="120" w:after="80"/>
        <w:rPr>
          <w:sz w:val="18"/>
          <w:szCs w:val="18"/>
          <w:lang w:val="it-IT"/>
        </w:rPr>
      </w:pPr>
      <w:r w:rsidRPr="00BC5981">
        <w:rPr>
          <w:sz w:val="18"/>
          <w:szCs w:val="18"/>
          <w:lang w:val="it-IT"/>
        </w:rPr>
        <w:t xml:space="preserve">Experiments wer performed two times independently (labelled a and b), producing very similar results. For all experiments the mutation rate of wild type and </w:t>
      </w:r>
      <w:r w:rsidRPr="00BC5981">
        <w:rPr>
          <w:i/>
          <w:sz w:val="18"/>
          <w:szCs w:val="18"/>
          <w:lang w:val="it-IT"/>
        </w:rPr>
        <w:t>recG</w:t>
      </w:r>
      <w:r w:rsidRPr="00BC5981">
        <w:rPr>
          <w:sz w:val="18"/>
          <w:szCs w:val="18"/>
          <w:lang w:val="it-IT"/>
        </w:rPr>
        <w:t xml:space="preserve"> mutant was determined in parallel using the same batch of medium for growth. The relative mutation rate was calculated by normalising all rates to the wild type </w:t>
      </w:r>
      <w:r>
        <w:rPr>
          <w:sz w:val="18"/>
          <w:szCs w:val="18"/>
          <w:lang w:val="it-IT"/>
        </w:rPr>
        <w:t>determined in parallel in the</w:t>
      </w:r>
      <w:r w:rsidRPr="00BC5981">
        <w:rPr>
          <w:sz w:val="18"/>
          <w:szCs w:val="18"/>
          <w:lang w:val="it-IT"/>
        </w:rPr>
        <w:t xml:space="preserve"> particular experiment.</w:t>
      </w:r>
    </w:p>
    <w:p w:rsidR="00BF4C58" w:rsidRDefault="00BF4C58">
      <w:pPr>
        <w:spacing w:after="200" w:line="276" w:lineRule="auto"/>
        <w:jc w:val="left"/>
        <w:rPr>
          <w:rFonts w:ascii="Corbel" w:eastAsiaTheme="majorEastAsia" w:hAnsi="Corbel" w:cstheme="majorBidi"/>
          <w:b/>
          <w:bCs/>
          <w:i/>
          <w:color w:val="595959" w:themeColor="text1" w:themeTint="A6"/>
          <w:sz w:val="26"/>
          <w:szCs w:val="26"/>
        </w:rPr>
      </w:pPr>
      <w:r>
        <w:br w:type="page"/>
      </w:r>
    </w:p>
    <w:p w:rsidR="00C22ACB" w:rsidRPr="004658E5" w:rsidRDefault="00BF4C58" w:rsidP="00C22ACB">
      <w:pPr>
        <w:pStyle w:val="Heading2"/>
      </w:pPr>
      <w:r>
        <w:lastRenderedPageBreak/>
        <w:t>Table S2</w:t>
      </w:r>
      <w:r w:rsidR="00C22ACB">
        <w:t>. Spontaneous tandem repeat deletion rates</w:t>
      </w:r>
    </w:p>
    <w:tbl>
      <w:tblPr>
        <w:tblW w:w="6205" w:type="dxa"/>
        <w:jc w:val="center"/>
        <w:tblLayout w:type="fixed"/>
        <w:tblCellMar>
          <w:left w:w="70" w:type="dxa"/>
          <w:right w:w="70" w:type="dxa"/>
        </w:tblCellMar>
        <w:tblLook w:val="0000" w:firstRow="0" w:lastRow="0" w:firstColumn="0" w:lastColumn="0" w:noHBand="0" w:noVBand="0"/>
      </w:tblPr>
      <w:tblGrid>
        <w:gridCol w:w="1896"/>
        <w:gridCol w:w="1629"/>
        <w:gridCol w:w="880"/>
        <w:gridCol w:w="749"/>
        <w:gridCol w:w="1051"/>
      </w:tblGrid>
      <w:tr w:rsidR="00B15863" w:rsidRPr="00A02659" w:rsidTr="00A02659">
        <w:trPr>
          <w:trHeight w:val="794"/>
          <w:jc w:val="center"/>
        </w:trPr>
        <w:tc>
          <w:tcPr>
            <w:tcW w:w="1896" w:type="dxa"/>
            <w:tcBorders>
              <w:top w:val="single" w:sz="8" w:space="0" w:color="auto"/>
              <w:bottom w:val="single" w:sz="8" w:space="0" w:color="auto"/>
            </w:tcBorders>
            <w:tcMar>
              <w:left w:w="142" w:type="dxa"/>
            </w:tcMar>
            <w:vAlign w:val="center"/>
          </w:tcPr>
          <w:p w:rsidR="00B15863" w:rsidRPr="00A02659" w:rsidRDefault="00B15863" w:rsidP="00C22ACB">
            <w:pPr>
              <w:pStyle w:val="Heading5"/>
              <w:rPr>
                <w:rFonts w:ascii="Corbel" w:hAnsi="Corbel"/>
                <w:b/>
                <w:i/>
                <w:color w:val="auto"/>
                <w:sz w:val="20"/>
                <w:szCs w:val="20"/>
              </w:rPr>
            </w:pPr>
            <w:r w:rsidRPr="00A02659">
              <w:rPr>
                <w:rFonts w:ascii="Corbel" w:hAnsi="Corbel"/>
                <w:b/>
                <w:color w:val="auto"/>
                <w:sz w:val="20"/>
                <w:szCs w:val="20"/>
              </w:rPr>
              <w:t>Strain</w:t>
            </w:r>
          </w:p>
        </w:tc>
        <w:tc>
          <w:tcPr>
            <w:tcW w:w="1629" w:type="dxa"/>
            <w:tcBorders>
              <w:top w:val="single" w:sz="8" w:space="0" w:color="auto"/>
              <w:bottom w:val="single" w:sz="8" w:space="0" w:color="auto"/>
              <w:right w:val="nil"/>
            </w:tcBorders>
            <w:vAlign w:val="center"/>
          </w:tcPr>
          <w:p w:rsidR="00B15863" w:rsidRPr="00A02659" w:rsidRDefault="00B15863" w:rsidP="00B15863">
            <w:pPr>
              <w:pStyle w:val="Heading5"/>
              <w:jc w:val="left"/>
              <w:rPr>
                <w:rFonts w:ascii="Corbel" w:hAnsi="Corbel"/>
                <w:b/>
                <w:color w:val="auto"/>
                <w:sz w:val="20"/>
                <w:szCs w:val="20"/>
              </w:rPr>
            </w:pPr>
          </w:p>
        </w:tc>
        <w:tc>
          <w:tcPr>
            <w:tcW w:w="1629" w:type="dxa"/>
            <w:gridSpan w:val="2"/>
            <w:tcBorders>
              <w:top w:val="single" w:sz="8" w:space="0" w:color="auto"/>
              <w:left w:val="nil"/>
              <w:bottom w:val="single" w:sz="8" w:space="0" w:color="auto"/>
            </w:tcBorders>
            <w:vAlign w:val="center"/>
          </w:tcPr>
          <w:p w:rsidR="00B15863" w:rsidRPr="00A02659" w:rsidRDefault="00B15863" w:rsidP="00C22ACB">
            <w:pPr>
              <w:pStyle w:val="Bild"/>
              <w:spacing w:before="0" w:line="240" w:lineRule="auto"/>
              <w:rPr>
                <w:rFonts w:ascii="Corbel" w:hAnsi="Corbel"/>
                <w:b/>
                <w:iCs/>
                <w:sz w:val="20"/>
                <w:lang w:val="en-GB"/>
              </w:rPr>
            </w:pPr>
            <w:r w:rsidRPr="00A02659">
              <w:rPr>
                <w:rFonts w:ascii="Corbel" w:hAnsi="Corbel"/>
                <w:b/>
                <w:iCs/>
                <w:sz w:val="20"/>
                <w:lang w:val="en-GB"/>
              </w:rPr>
              <w:t>Reversion Rate</w:t>
            </w:r>
          </w:p>
          <w:p w:rsidR="00B15863" w:rsidRPr="00A02659" w:rsidRDefault="00B15863" w:rsidP="00C22ACB">
            <w:pPr>
              <w:pStyle w:val="Bild"/>
              <w:spacing w:before="0" w:line="240" w:lineRule="auto"/>
              <w:rPr>
                <w:rFonts w:ascii="Corbel" w:hAnsi="Corbel"/>
                <w:b/>
                <w:iCs/>
                <w:sz w:val="20"/>
                <w:lang w:val="en-GB"/>
              </w:rPr>
            </w:pPr>
            <w:r w:rsidRPr="00A02659">
              <w:rPr>
                <w:rFonts w:ascii="Corbel" w:hAnsi="Corbel"/>
                <w:b/>
                <w:iCs/>
                <w:sz w:val="20"/>
                <w:lang w:val="en-GB"/>
              </w:rPr>
              <w:t>[</w:t>
            </w:r>
            <w:r w:rsidRPr="00A02659">
              <w:rPr>
                <w:rFonts w:ascii="Corbel" w:hAnsi="Corbel"/>
                <w:b/>
                <w:iCs/>
                <w:w w:val="45"/>
                <w:sz w:val="20"/>
                <w:lang w:val="en-GB"/>
              </w:rPr>
              <w:t> </w:t>
            </w:r>
            <w:r w:rsidRPr="00A02659">
              <w:rPr>
                <w:rFonts w:ascii="Corbel" w:hAnsi="Corbel"/>
                <w:b/>
                <w:iCs/>
                <w:sz w:val="20"/>
                <w:lang w:val="en-GB"/>
              </w:rPr>
              <w:t>×</w:t>
            </w:r>
            <w:r w:rsidRPr="00A02659">
              <w:rPr>
                <w:rFonts w:ascii="Corbel" w:hAnsi="Corbel"/>
                <w:b/>
                <w:iCs/>
                <w:w w:val="45"/>
                <w:sz w:val="20"/>
                <w:lang w:val="en-GB"/>
              </w:rPr>
              <w:t> </w:t>
            </w:r>
            <w:r w:rsidRPr="00A02659">
              <w:rPr>
                <w:rFonts w:ascii="Corbel" w:hAnsi="Corbel"/>
                <w:b/>
                <w:iCs/>
                <w:sz w:val="20"/>
                <w:lang w:val="en-GB"/>
              </w:rPr>
              <w:t>10</w:t>
            </w:r>
            <w:r w:rsidRPr="00A02659">
              <w:rPr>
                <w:rFonts w:ascii="Corbel" w:hAnsi="Corbel"/>
                <w:b/>
                <w:iCs/>
                <w:w w:val="45"/>
                <w:sz w:val="20"/>
                <w:lang w:val="en-GB"/>
              </w:rPr>
              <w:t> </w:t>
            </w:r>
            <w:r w:rsidRPr="00A02659">
              <w:rPr>
                <w:rFonts w:ascii="Corbel" w:hAnsi="Corbel"/>
                <w:b/>
                <w:iCs/>
                <w:sz w:val="20"/>
                <w:vertAlign w:val="superscript"/>
                <w:lang w:val="en-GB"/>
              </w:rPr>
              <w:t>–</w:t>
            </w:r>
            <w:r w:rsidRPr="00A02659">
              <w:rPr>
                <w:rFonts w:ascii="Corbel" w:hAnsi="Corbel"/>
                <w:b/>
                <w:iCs/>
                <w:w w:val="45"/>
                <w:sz w:val="20"/>
                <w:lang w:val="en-GB"/>
              </w:rPr>
              <w:t> </w:t>
            </w:r>
            <w:r w:rsidRPr="00A02659">
              <w:rPr>
                <w:rFonts w:ascii="Corbel" w:hAnsi="Corbel"/>
                <w:b/>
                <w:iCs/>
                <w:sz w:val="20"/>
                <w:vertAlign w:val="superscript"/>
                <w:lang w:val="en-GB"/>
              </w:rPr>
              <w:t>4</w:t>
            </w:r>
            <w:r w:rsidRPr="00A02659">
              <w:rPr>
                <w:rFonts w:ascii="Corbel" w:hAnsi="Corbel"/>
                <w:b/>
                <w:iCs/>
                <w:sz w:val="20"/>
                <w:lang w:val="en-GB"/>
              </w:rPr>
              <w:t>]</w:t>
            </w:r>
          </w:p>
        </w:tc>
        <w:tc>
          <w:tcPr>
            <w:tcW w:w="1051" w:type="dxa"/>
            <w:tcBorders>
              <w:top w:val="single" w:sz="18" w:space="0" w:color="auto"/>
              <w:left w:val="nil"/>
              <w:bottom w:val="single" w:sz="18" w:space="0" w:color="auto"/>
            </w:tcBorders>
            <w:vAlign w:val="center"/>
          </w:tcPr>
          <w:p w:rsidR="00B15863" w:rsidRPr="00A02659" w:rsidRDefault="00B15863" w:rsidP="00C22ACB">
            <w:pPr>
              <w:pStyle w:val="Bild"/>
              <w:spacing w:before="0" w:line="240" w:lineRule="auto"/>
              <w:rPr>
                <w:rFonts w:ascii="Corbel" w:hAnsi="Corbel"/>
                <w:b/>
                <w:iCs/>
                <w:sz w:val="20"/>
                <w:vertAlign w:val="superscript"/>
                <w:lang w:val="en-GB"/>
              </w:rPr>
            </w:pPr>
            <w:r w:rsidRPr="00A02659">
              <w:rPr>
                <w:rFonts w:ascii="Corbel" w:hAnsi="Corbel"/>
                <w:b/>
                <w:iCs/>
                <w:sz w:val="20"/>
                <w:lang w:val="en-GB"/>
              </w:rPr>
              <w:t xml:space="preserve">Relative </w:t>
            </w:r>
            <w:r w:rsidRPr="00A02659">
              <w:rPr>
                <w:rFonts w:ascii="Corbel" w:hAnsi="Corbel"/>
                <w:b/>
                <w:iCs/>
                <w:sz w:val="20"/>
                <w:lang w:val="en-GB"/>
              </w:rPr>
              <w:br/>
              <w:t xml:space="preserve">Reversion </w:t>
            </w:r>
            <w:proofErr w:type="spellStart"/>
            <w:r w:rsidRPr="00A02659">
              <w:rPr>
                <w:rFonts w:ascii="Corbel" w:hAnsi="Corbel"/>
                <w:b/>
                <w:iCs/>
                <w:sz w:val="20"/>
                <w:lang w:val="en-GB"/>
              </w:rPr>
              <w:t>Rate</w:t>
            </w:r>
            <w:r w:rsidRPr="00A02659">
              <w:rPr>
                <w:rFonts w:ascii="Corbel" w:hAnsi="Corbel"/>
                <w:b/>
                <w:iCs/>
                <w:sz w:val="20"/>
                <w:vertAlign w:val="superscript"/>
                <w:lang w:val="en-GB"/>
              </w:rPr>
              <w:t>a</w:t>
            </w:r>
            <w:proofErr w:type="spellEnd"/>
          </w:p>
        </w:tc>
      </w:tr>
      <w:tr w:rsidR="00B15863" w:rsidRPr="00C22ACB" w:rsidTr="00A02659">
        <w:trPr>
          <w:trHeight w:val="397"/>
          <w:jc w:val="center"/>
        </w:trPr>
        <w:tc>
          <w:tcPr>
            <w:tcW w:w="1896" w:type="dxa"/>
            <w:tcBorders>
              <w:top w:val="single" w:sz="8" w:space="0" w:color="auto"/>
            </w:tcBorders>
            <w:tcMar>
              <w:left w:w="142" w:type="dxa"/>
            </w:tcMar>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wild type</w:t>
            </w:r>
          </w:p>
        </w:tc>
        <w:tc>
          <w:tcPr>
            <w:tcW w:w="1629" w:type="dxa"/>
            <w:tcBorders>
              <w:top w:val="single" w:sz="8"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RCe014</w:t>
            </w:r>
          </w:p>
        </w:tc>
        <w:tc>
          <w:tcPr>
            <w:tcW w:w="880" w:type="dxa"/>
            <w:tcBorders>
              <w:top w:val="single" w:sz="8" w:space="0" w:color="auto"/>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5.29</w:t>
            </w:r>
          </w:p>
        </w:tc>
        <w:tc>
          <w:tcPr>
            <w:tcW w:w="749" w:type="dxa"/>
            <w:tcBorders>
              <w:top w:val="single" w:sz="8" w:space="0" w:color="auto"/>
            </w:tcBorders>
            <w:vAlign w:val="center"/>
          </w:tcPr>
          <w:p w:rsidR="00B15863" w:rsidRPr="00A02659" w:rsidRDefault="00B15863" w:rsidP="00C22ACB">
            <w:pPr>
              <w:spacing w:line="240" w:lineRule="auto"/>
              <w:rPr>
                <w:rFonts w:ascii="Corbel" w:hAnsi="Corbel"/>
                <w:sz w:val="18"/>
                <w:szCs w:val="18"/>
                <w:vertAlign w:val="superscript"/>
              </w:rPr>
            </w:pPr>
            <w:r w:rsidRPr="00A02659">
              <w:rPr>
                <w:rFonts w:ascii="Corbel" w:hAnsi="Corbel"/>
                <w:sz w:val="18"/>
                <w:szCs w:val="18"/>
              </w:rPr>
              <w:t>± 0.34</w:t>
            </w:r>
          </w:p>
        </w:tc>
        <w:tc>
          <w:tcPr>
            <w:tcW w:w="1051" w:type="dxa"/>
            <w:tcBorders>
              <w:top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1.00</w:t>
            </w:r>
          </w:p>
        </w:tc>
      </w:tr>
      <w:tr w:rsidR="00B15863" w:rsidRPr="00C22ACB" w:rsidTr="00A02659">
        <w:trPr>
          <w:trHeight w:val="397"/>
          <w:jc w:val="center"/>
        </w:trPr>
        <w:tc>
          <w:tcPr>
            <w:tcW w:w="1896" w:type="dxa"/>
            <w:tcMar>
              <w:left w:w="142" w:type="dxa"/>
            </w:tcMar>
            <w:vAlign w:val="center"/>
          </w:tcPr>
          <w:p w:rsidR="00B15863" w:rsidRPr="00A02659" w:rsidRDefault="00B15863" w:rsidP="00C22ACB">
            <w:pPr>
              <w:spacing w:line="240" w:lineRule="auto"/>
              <w:rPr>
                <w:rFonts w:ascii="Corbel" w:hAnsi="Corbel"/>
                <w:i/>
                <w:iCs/>
                <w:sz w:val="18"/>
                <w:szCs w:val="18"/>
              </w:rPr>
            </w:pPr>
            <w:r w:rsidRPr="00A02659">
              <w:rPr>
                <w:rFonts w:ascii="Corbel" w:hAnsi="Corbel"/>
                <w:i/>
                <w:iCs/>
                <w:sz w:val="18"/>
                <w:szCs w:val="18"/>
              </w:rPr>
              <w:t>recG</w:t>
            </w:r>
          </w:p>
        </w:tc>
        <w:tc>
          <w:tcPr>
            <w:tcW w:w="1629" w:type="dxa"/>
            <w:tcBorders>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RCe015</w:t>
            </w:r>
          </w:p>
        </w:tc>
        <w:tc>
          <w:tcPr>
            <w:tcW w:w="880" w:type="dxa"/>
            <w:tcBorders>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13.2</w:t>
            </w:r>
          </w:p>
        </w:tc>
        <w:tc>
          <w:tcPr>
            <w:tcW w:w="749" w:type="dxa"/>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0.97</w:t>
            </w:r>
          </w:p>
        </w:tc>
        <w:tc>
          <w:tcPr>
            <w:tcW w:w="1051" w:type="dxa"/>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2.49</w:t>
            </w:r>
          </w:p>
        </w:tc>
      </w:tr>
      <w:tr w:rsidR="00B15863" w:rsidRPr="00C22ACB" w:rsidTr="00A02659">
        <w:trPr>
          <w:trHeight w:val="397"/>
          <w:jc w:val="center"/>
        </w:trPr>
        <w:tc>
          <w:tcPr>
            <w:tcW w:w="1896" w:type="dxa"/>
            <w:tcMar>
              <w:left w:w="142" w:type="dxa"/>
            </w:tcMar>
            <w:vAlign w:val="center"/>
          </w:tcPr>
          <w:p w:rsidR="00B15863" w:rsidRPr="00A02659" w:rsidRDefault="00B15863" w:rsidP="00C22ACB">
            <w:pPr>
              <w:spacing w:line="240" w:lineRule="auto"/>
              <w:rPr>
                <w:rFonts w:ascii="Corbel" w:hAnsi="Corbel"/>
                <w:i/>
                <w:iCs/>
                <w:sz w:val="18"/>
                <w:szCs w:val="18"/>
              </w:rPr>
            </w:pPr>
            <w:r w:rsidRPr="00A02659">
              <w:rPr>
                <w:rFonts w:ascii="Corbel" w:hAnsi="Corbel"/>
                <w:i/>
                <w:iCs/>
                <w:sz w:val="18"/>
                <w:szCs w:val="18"/>
              </w:rPr>
              <w:t>priA300 recG</w:t>
            </w:r>
          </w:p>
        </w:tc>
        <w:tc>
          <w:tcPr>
            <w:tcW w:w="1629" w:type="dxa"/>
            <w:tcBorders>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RCe030</w:t>
            </w:r>
          </w:p>
        </w:tc>
        <w:tc>
          <w:tcPr>
            <w:tcW w:w="880" w:type="dxa"/>
            <w:tcBorders>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22.2</w:t>
            </w:r>
          </w:p>
        </w:tc>
        <w:tc>
          <w:tcPr>
            <w:tcW w:w="749" w:type="dxa"/>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1.47</w:t>
            </w:r>
          </w:p>
        </w:tc>
        <w:tc>
          <w:tcPr>
            <w:tcW w:w="1051" w:type="dxa"/>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4.19</w:t>
            </w:r>
          </w:p>
        </w:tc>
      </w:tr>
      <w:tr w:rsidR="00B15863" w:rsidRPr="00C22ACB" w:rsidTr="00A02659">
        <w:trPr>
          <w:trHeight w:val="397"/>
          <w:jc w:val="center"/>
        </w:trPr>
        <w:tc>
          <w:tcPr>
            <w:tcW w:w="1896" w:type="dxa"/>
            <w:tcBorders>
              <w:bottom w:val="single" w:sz="4" w:space="0" w:color="auto"/>
            </w:tcBorders>
            <w:tcMar>
              <w:left w:w="142" w:type="dxa"/>
            </w:tcMar>
            <w:vAlign w:val="center"/>
          </w:tcPr>
          <w:p w:rsidR="00B15863" w:rsidRPr="00A02659" w:rsidRDefault="00B15863" w:rsidP="00C22ACB">
            <w:pPr>
              <w:spacing w:line="240" w:lineRule="auto"/>
              <w:rPr>
                <w:rFonts w:ascii="Corbel" w:hAnsi="Corbel"/>
                <w:i/>
                <w:iCs/>
                <w:sz w:val="18"/>
                <w:szCs w:val="18"/>
              </w:rPr>
            </w:pPr>
            <w:r w:rsidRPr="00A02659">
              <w:rPr>
                <w:rFonts w:ascii="Corbel" w:hAnsi="Corbel"/>
                <w:i/>
                <w:iCs/>
                <w:sz w:val="18"/>
                <w:szCs w:val="18"/>
              </w:rPr>
              <w:t>recG priA300 ruvA60</w:t>
            </w:r>
          </w:p>
        </w:tc>
        <w:tc>
          <w:tcPr>
            <w:tcW w:w="1629" w:type="dxa"/>
            <w:tcBorders>
              <w:bottom w:val="single" w:sz="4" w:space="0" w:color="auto"/>
              <w:right w:val="nil"/>
            </w:tcBorders>
            <w:vAlign w:val="center"/>
          </w:tcPr>
          <w:p w:rsidR="00B15863" w:rsidRPr="00A02659" w:rsidRDefault="00A02659" w:rsidP="00A02659">
            <w:pPr>
              <w:spacing w:line="240" w:lineRule="auto"/>
              <w:rPr>
                <w:rFonts w:ascii="Corbel" w:hAnsi="Corbel"/>
                <w:sz w:val="18"/>
                <w:szCs w:val="18"/>
              </w:rPr>
            </w:pPr>
            <w:r w:rsidRPr="00A02659">
              <w:rPr>
                <w:rFonts w:ascii="Corbel" w:hAnsi="Corbel"/>
                <w:sz w:val="18"/>
                <w:szCs w:val="18"/>
              </w:rPr>
              <w:t>RCe047</w:t>
            </w:r>
          </w:p>
        </w:tc>
        <w:tc>
          <w:tcPr>
            <w:tcW w:w="880" w:type="dxa"/>
            <w:tcBorders>
              <w:left w:val="nil"/>
              <w:bottom w:val="single" w:sz="4" w:space="0" w:color="auto"/>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13.4</w:t>
            </w:r>
          </w:p>
        </w:tc>
        <w:tc>
          <w:tcPr>
            <w:tcW w:w="749" w:type="dxa"/>
            <w:tcBorders>
              <w:bottom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0.93</w:t>
            </w:r>
          </w:p>
        </w:tc>
        <w:tc>
          <w:tcPr>
            <w:tcW w:w="1051" w:type="dxa"/>
            <w:tcBorders>
              <w:bottom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2.53</w:t>
            </w:r>
          </w:p>
        </w:tc>
      </w:tr>
      <w:tr w:rsidR="00B15863" w:rsidRPr="00C22ACB" w:rsidTr="00A02659">
        <w:trPr>
          <w:trHeight w:val="397"/>
          <w:jc w:val="center"/>
        </w:trPr>
        <w:tc>
          <w:tcPr>
            <w:tcW w:w="1896" w:type="dxa"/>
            <w:tcBorders>
              <w:top w:val="single" w:sz="4" w:space="0" w:color="auto"/>
            </w:tcBorders>
            <w:tcMar>
              <w:left w:w="142" w:type="dxa"/>
            </w:tcMar>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wild type</w:t>
            </w:r>
          </w:p>
        </w:tc>
        <w:tc>
          <w:tcPr>
            <w:tcW w:w="1629" w:type="dxa"/>
            <w:tcBorders>
              <w:top w:val="single" w:sz="4" w:space="0" w:color="auto"/>
              <w:right w:val="nil"/>
            </w:tcBorders>
            <w:vAlign w:val="center"/>
          </w:tcPr>
          <w:p w:rsidR="00B15863" w:rsidRPr="00A02659" w:rsidRDefault="00A02659" w:rsidP="00A02659">
            <w:pPr>
              <w:spacing w:line="240" w:lineRule="auto"/>
              <w:rPr>
                <w:rFonts w:ascii="Corbel" w:hAnsi="Corbel"/>
                <w:sz w:val="18"/>
                <w:szCs w:val="18"/>
              </w:rPr>
            </w:pPr>
            <w:r>
              <w:rPr>
                <w:rFonts w:ascii="Corbel" w:hAnsi="Corbel"/>
                <w:sz w:val="18"/>
                <w:szCs w:val="18"/>
              </w:rPr>
              <w:t>RCe014</w:t>
            </w:r>
          </w:p>
        </w:tc>
        <w:tc>
          <w:tcPr>
            <w:tcW w:w="880" w:type="dxa"/>
            <w:tcBorders>
              <w:top w:val="single" w:sz="4" w:space="0" w:color="auto"/>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13.5</w:t>
            </w:r>
          </w:p>
        </w:tc>
        <w:tc>
          <w:tcPr>
            <w:tcW w:w="749" w:type="dxa"/>
            <w:tcBorders>
              <w:top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0.87</w:t>
            </w:r>
          </w:p>
        </w:tc>
        <w:tc>
          <w:tcPr>
            <w:tcW w:w="1051" w:type="dxa"/>
            <w:tcBorders>
              <w:top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1.00</w:t>
            </w:r>
          </w:p>
        </w:tc>
      </w:tr>
      <w:tr w:rsidR="00B15863" w:rsidRPr="00C22ACB" w:rsidTr="00A02659">
        <w:trPr>
          <w:trHeight w:val="397"/>
          <w:jc w:val="center"/>
        </w:trPr>
        <w:tc>
          <w:tcPr>
            <w:tcW w:w="1896" w:type="dxa"/>
            <w:tcBorders>
              <w:bottom w:val="single" w:sz="4" w:space="0" w:color="auto"/>
            </w:tcBorders>
            <w:tcMar>
              <w:left w:w="142" w:type="dxa"/>
            </w:tcMar>
            <w:vAlign w:val="center"/>
          </w:tcPr>
          <w:p w:rsidR="00B15863" w:rsidRPr="00A02659" w:rsidRDefault="00B15863" w:rsidP="00C22ACB">
            <w:pPr>
              <w:spacing w:line="240" w:lineRule="auto"/>
              <w:rPr>
                <w:rFonts w:ascii="Corbel" w:hAnsi="Corbel"/>
                <w:i/>
                <w:iCs/>
                <w:sz w:val="18"/>
                <w:szCs w:val="18"/>
              </w:rPr>
            </w:pPr>
            <w:r w:rsidRPr="00A02659">
              <w:rPr>
                <w:rFonts w:ascii="Corbel" w:hAnsi="Corbel"/>
                <w:i/>
                <w:iCs/>
                <w:sz w:val="18"/>
                <w:szCs w:val="18"/>
              </w:rPr>
              <w:t xml:space="preserve">recG </w:t>
            </w:r>
            <w:proofErr w:type="spellStart"/>
            <w:r w:rsidRPr="00A02659">
              <w:rPr>
                <w:rFonts w:ascii="Corbel" w:hAnsi="Corbel"/>
                <w:i/>
                <w:iCs/>
                <w:sz w:val="18"/>
                <w:szCs w:val="18"/>
              </w:rPr>
              <w:t>recA</w:t>
            </w:r>
            <w:proofErr w:type="spellEnd"/>
          </w:p>
        </w:tc>
        <w:tc>
          <w:tcPr>
            <w:tcW w:w="1629" w:type="dxa"/>
            <w:tcBorders>
              <w:bottom w:val="single" w:sz="4" w:space="0" w:color="auto"/>
              <w:right w:val="nil"/>
            </w:tcBorders>
            <w:vAlign w:val="center"/>
          </w:tcPr>
          <w:p w:rsidR="00B15863" w:rsidRPr="00A02659" w:rsidRDefault="00A02659" w:rsidP="00A02659">
            <w:pPr>
              <w:spacing w:line="240" w:lineRule="auto"/>
              <w:rPr>
                <w:rFonts w:ascii="Corbel" w:hAnsi="Corbel"/>
                <w:sz w:val="18"/>
                <w:szCs w:val="18"/>
              </w:rPr>
            </w:pPr>
            <w:r>
              <w:rPr>
                <w:rFonts w:ascii="Corbel" w:hAnsi="Corbel"/>
                <w:sz w:val="18"/>
                <w:szCs w:val="18"/>
              </w:rPr>
              <w:t>RCe052</w:t>
            </w:r>
          </w:p>
        </w:tc>
        <w:tc>
          <w:tcPr>
            <w:tcW w:w="880" w:type="dxa"/>
            <w:tcBorders>
              <w:left w:val="nil"/>
              <w:bottom w:val="single" w:sz="4" w:space="0" w:color="auto"/>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3.03</w:t>
            </w:r>
          </w:p>
        </w:tc>
        <w:tc>
          <w:tcPr>
            <w:tcW w:w="749" w:type="dxa"/>
            <w:tcBorders>
              <w:bottom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0.21</w:t>
            </w:r>
          </w:p>
        </w:tc>
        <w:tc>
          <w:tcPr>
            <w:tcW w:w="1051" w:type="dxa"/>
            <w:tcBorders>
              <w:bottom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0.22</w:t>
            </w:r>
          </w:p>
        </w:tc>
      </w:tr>
      <w:tr w:rsidR="00B15863" w:rsidRPr="00C22ACB" w:rsidTr="00A02659">
        <w:trPr>
          <w:trHeight w:val="397"/>
          <w:jc w:val="center"/>
        </w:trPr>
        <w:tc>
          <w:tcPr>
            <w:tcW w:w="1896" w:type="dxa"/>
            <w:tcBorders>
              <w:top w:val="single" w:sz="4" w:space="0" w:color="auto"/>
            </w:tcBorders>
            <w:tcMar>
              <w:left w:w="142" w:type="dxa"/>
            </w:tcMar>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wild type</w:t>
            </w:r>
          </w:p>
        </w:tc>
        <w:tc>
          <w:tcPr>
            <w:tcW w:w="1629" w:type="dxa"/>
            <w:tcBorders>
              <w:top w:val="single" w:sz="4"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RCe014</w:t>
            </w:r>
          </w:p>
        </w:tc>
        <w:tc>
          <w:tcPr>
            <w:tcW w:w="880" w:type="dxa"/>
            <w:tcBorders>
              <w:top w:val="single" w:sz="4" w:space="0" w:color="auto"/>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5.30</w:t>
            </w:r>
          </w:p>
        </w:tc>
        <w:tc>
          <w:tcPr>
            <w:tcW w:w="749" w:type="dxa"/>
            <w:tcBorders>
              <w:top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0.35</w:t>
            </w:r>
          </w:p>
        </w:tc>
        <w:tc>
          <w:tcPr>
            <w:tcW w:w="1051" w:type="dxa"/>
            <w:tcBorders>
              <w:top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1.00</w:t>
            </w:r>
          </w:p>
        </w:tc>
      </w:tr>
      <w:tr w:rsidR="00B15863" w:rsidRPr="00C22ACB" w:rsidTr="00A02659">
        <w:trPr>
          <w:trHeight w:val="397"/>
          <w:jc w:val="center"/>
        </w:trPr>
        <w:tc>
          <w:tcPr>
            <w:tcW w:w="1896" w:type="dxa"/>
            <w:tcBorders>
              <w:bottom w:val="single" w:sz="4" w:space="0" w:color="auto"/>
            </w:tcBorders>
            <w:tcMar>
              <w:left w:w="142" w:type="dxa"/>
            </w:tcMar>
            <w:vAlign w:val="center"/>
          </w:tcPr>
          <w:p w:rsidR="00B15863" w:rsidRPr="00A02659" w:rsidRDefault="00B15863" w:rsidP="00C22ACB">
            <w:pPr>
              <w:spacing w:line="240" w:lineRule="auto"/>
              <w:rPr>
                <w:rFonts w:ascii="Corbel" w:hAnsi="Corbel"/>
                <w:i/>
                <w:iCs/>
                <w:sz w:val="18"/>
                <w:szCs w:val="18"/>
              </w:rPr>
            </w:pPr>
            <w:r w:rsidRPr="00A02659">
              <w:rPr>
                <w:rFonts w:ascii="Corbel" w:hAnsi="Corbel"/>
                <w:i/>
                <w:iCs/>
                <w:sz w:val="18"/>
                <w:szCs w:val="18"/>
              </w:rPr>
              <w:t>priA300</w:t>
            </w:r>
          </w:p>
        </w:tc>
        <w:tc>
          <w:tcPr>
            <w:tcW w:w="1629" w:type="dxa"/>
            <w:tcBorders>
              <w:bottom w:val="single" w:sz="4"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RCe031</w:t>
            </w:r>
          </w:p>
        </w:tc>
        <w:tc>
          <w:tcPr>
            <w:tcW w:w="880" w:type="dxa"/>
            <w:tcBorders>
              <w:left w:val="nil"/>
              <w:bottom w:val="single" w:sz="4" w:space="0" w:color="auto"/>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10.7</w:t>
            </w:r>
          </w:p>
        </w:tc>
        <w:tc>
          <w:tcPr>
            <w:tcW w:w="749" w:type="dxa"/>
            <w:tcBorders>
              <w:bottom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0.72</w:t>
            </w:r>
          </w:p>
        </w:tc>
        <w:tc>
          <w:tcPr>
            <w:tcW w:w="1051" w:type="dxa"/>
            <w:tcBorders>
              <w:bottom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2.03</w:t>
            </w:r>
          </w:p>
        </w:tc>
      </w:tr>
      <w:tr w:rsidR="00B15863" w:rsidRPr="00C22ACB" w:rsidTr="00A02659">
        <w:trPr>
          <w:trHeight w:val="397"/>
          <w:jc w:val="center"/>
        </w:trPr>
        <w:tc>
          <w:tcPr>
            <w:tcW w:w="1896" w:type="dxa"/>
            <w:tcBorders>
              <w:top w:val="single" w:sz="4" w:space="0" w:color="auto"/>
            </w:tcBorders>
            <w:tcMar>
              <w:left w:w="142" w:type="dxa"/>
            </w:tcMar>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wild type</w:t>
            </w:r>
          </w:p>
        </w:tc>
        <w:tc>
          <w:tcPr>
            <w:tcW w:w="1629" w:type="dxa"/>
            <w:tcBorders>
              <w:top w:val="single" w:sz="4"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RCe014</w:t>
            </w:r>
          </w:p>
        </w:tc>
        <w:tc>
          <w:tcPr>
            <w:tcW w:w="880" w:type="dxa"/>
            <w:tcBorders>
              <w:top w:val="single" w:sz="4" w:space="0" w:color="auto"/>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11.1</w:t>
            </w:r>
          </w:p>
        </w:tc>
        <w:tc>
          <w:tcPr>
            <w:tcW w:w="749" w:type="dxa"/>
            <w:tcBorders>
              <w:top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0.72</w:t>
            </w:r>
          </w:p>
        </w:tc>
        <w:tc>
          <w:tcPr>
            <w:tcW w:w="1051" w:type="dxa"/>
            <w:tcBorders>
              <w:top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1.00</w:t>
            </w:r>
          </w:p>
        </w:tc>
      </w:tr>
      <w:tr w:rsidR="00B15863" w:rsidRPr="00C22ACB" w:rsidTr="00A02659">
        <w:trPr>
          <w:trHeight w:val="397"/>
          <w:jc w:val="center"/>
        </w:trPr>
        <w:tc>
          <w:tcPr>
            <w:tcW w:w="1896" w:type="dxa"/>
            <w:tcBorders>
              <w:bottom w:val="single" w:sz="4" w:space="0" w:color="auto"/>
            </w:tcBorders>
            <w:tcMar>
              <w:left w:w="142" w:type="dxa"/>
            </w:tcMar>
            <w:vAlign w:val="center"/>
          </w:tcPr>
          <w:p w:rsidR="00B15863" w:rsidRPr="00A02659" w:rsidRDefault="00B15863" w:rsidP="00C22ACB">
            <w:pPr>
              <w:spacing w:line="240" w:lineRule="auto"/>
              <w:rPr>
                <w:rFonts w:ascii="Corbel" w:hAnsi="Corbel"/>
                <w:i/>
                <w:iCs/>
                <w:sz w:val="18"/>
                <w:szCs w:val="18"/>
              </w:rPr>
            </w:pPr>
            <w:proofErr w:type="spellStart"/>
            <w:r w:rsidRPr="00A02659">
              <w:rPr>
                <w:rFonts w:ascii="Corbel" w:hAnsi="Corbel"/>
                <w:i/>
                <w:iCs/>
                <w:sz w:val="18"/>
                <w:szCs w:val="18"/>
              </w:rPr>
              <w:t>recA</w:t>
            </w:r>
            <w:proofErr w:type="spellEnd"/>
          </w:p>
        </w:tc>
        <w:tc>
          <w:tcPr>
            <w:tcW w:w="1629" w:type="dxa"/>
            <w:tcBorders>
              <w:bottom w:val="single" w:sz="4" w:space="0" w:color="auto"/>
              <w:right w:val="nil"/>
            </w:tcBorders>
            <w:vAlign w:val="center"/>
          </w:tcPr>
          <w:p w:rsidR="00B15863" w:rsidRPr="00A02659" w:rsidRDefault="00A02659" w:rsidP="00A02659">
            <w:pPr>
              <w:spacing w:line="240" w:lineRule="auto"/>
              <w:rPr>
                <w:rFonts w:ascii="Corbel" w:hAnsi="Corbel"/>
                <w:sz w:val="18"/>
                <w:szCs w:val="18"/>
              </w:rPr>
            </w:pPr>
            <w:r w:rsidRPr="00A02659">
              <w:rPr>
                <w:rFonts w:ascii="Corbel" w:hAnsi="Corbel"/>
                <w:sz w:val="18"/>
                <w:szCs w:val="18"/>
              </w:rPr>
              <w:t>N4279</w:t>
            </w:r>
          </w:p>
        </w:tc>
        <w:tc>
          <w:tcPr>
            <w:tcW w:w="880" w:type="dxa"/>
            <w:tcBorders>
              <w:left w:val="nil"/>
              <w:bottom w:val="single" w:sz="4" w:space="0" w:color="auto"/>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3.64</w:t>
            </w:r>
          </w:p>
        </w:tc>
        <w:tc>
          <w:tcPr>
            <w:tcW w:w="749" w:type="dxa"/>
            <w:tcBorders>
              <w:bottom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0.24</w:t>
            </w:r>
          </w:p>
        </w:tc>
        <w:tc>
          <w:tcPr>
            <w:tcW w:w="1051" w:type="dxa"/>
            <w:tcBorders>
              <w:bottom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0.33</w:t>
            </w:r>
          </w:p>
        </w:tc>
      </w:tr>
      <w:tr w:rsidR="00B15863" w:rsidRPr="00C22ACB" w:rsidTr="00A02659">
        <w:trPr>
          <w:trHeight w:val="397"/>
          <w:jc w:val="center"/>
        </w:trPr>
        <w:tc>
          <w:tcPr>
            <w:tcW w:w="1896" w:type="dxa"/>
            <w:tcBorders>
              <w:top w:val="single" w:sz="4" w:space="0" w:color="auto"/>
            </w:tcBorders>
            <w:tcMar>
              <w:left w:w="142" w:type="dxa"/>
            </w:tcMar>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wild type</w:t>
            </w:r>
          </w:p>
        </w:tc>
        <w:tc>
          <w:tcPr>
            <w:tcW w:w="1629" w:type="dxa"/>
            <w:tcBorders>
              <w:top w:val="single" w:sz="4"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RCe014</w:t>
            </w:r>
          </w:p>
        </w:tc>
        <w:tc>
          <w:tcPr>
            <w:tcW w:w="880" w:type="dxa"/>
            <w:tcBorders>
              <w:top w:val="single" w:sz="4" w:space="0" w:color="auto"/>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13.4</w:t>
            </w:r>
          </w:p>
        </w:tc>
        <w:tc>
          <w:tcPr>
            <w:tcW w:w="749" w:type="dxa"/>
            <w:tcBorders>
              <w:top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0.86</w:t>
            </w:r>
          </w:p>
        </w:tc>
        <w:tc>
          <w:tcPr>
            <w:tcW w:w="1051" w:type="dxa"/>
            <w:tcBorders>
              <w:top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1.00</w:t>
            </w:r>
          </w:p>
        </w:tc>
      </w:tr>
      <w:tr w:rsidR="00B15863" w:rsidRPr="00C22ACB" w:rsidTr="00A02659">
        <w:trPr>
          <w:trHeight w:val="397"/>
          <w:jc w:val="center"/>
        </w:trPr>
        <w:tc>
          <w:tcPr>
            <w:tcW w:w="1896" w:type="dxa"/>
            <w:tcBorders>
              <w:bottom w:val="single" w:sz="4" w:space="0" w:color="auto"/>
            </w:tcBorders>
            <w:tcMar>
              <w:left w:w="142" w:type="dxa"/>
            </w:tcMar>
            <w:vAlign w:val="center"/>
          </w:tcPr>
          <w:p w:rsidR="00B15863" w:rsidRPr="00A02659" w:rsidRDefault="00B15863" w:rsidP="00C22ACB">
            <w:pPr>
              <w:spacing w:line="240" w:lineRule="auto"/>
              <w:rPr>
                <w:rFonts w:ascii="Corbel" w:hAnsi="Corbel"/>
                <w:i/>
                <w:sz w:val="18"/>
                <w:szCs w:val="18"/>
              </w:rPr>
            </w:pPr>
            <w:r w:rsidRPr="00A02659">
              <w:rPr>
                <w:rFonts w:ascii="Corbel" w:hAnsi="Corbel"/>
                <w:i/>
                <w:sz w:val="18"/>
                <w:szCs w:val="18"/>
              </w:rPr>
              <w:t>recG ruvA60</w:t>
            </w:r>
          </w:p>
        </w:tc>
        <w:tc>
          <w:tcPr>
            <w:tcW w:w="1629" w:type="dxa"/>
            <w:tcBorders>
              <w:bottom w:val="single" w:sz="4"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RCe032</w:t>
            </w:r>
          </w:p>
        </w:tc>
        <w:tc>
          <w:tcPr>
            <w:tcW w:w="880" w:type="dxa"/>
            <w:tcBorders>
              <w:left w:val="nil"/>
              <w:bottom w:val="single" w:sz="4" w:space="0" w:color="auto"/>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32.5</w:t>
            </w:r>
          </w:p>
        </w:tc>
        <w:tc>
          <w:tcPr>
            <w:tcW w:w="749" w:type="dxa"/>
            <w:tcBorders>
              <w:bottom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2.33</w:t>
            </w:r>
          </w:p>
        </w:tc>
        <w:tc>
          <w:tcPr>
            <w:tcW w:w="1051" w:type="dxa"/>
            <w:tcBorders>
              <w:bottom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2.43</w:t>
            </w:r>
          </w:p>
        </w:tc>
      </w:tr>
      <w:tr w:rsidR="00B15863" w:rsidRPr="00C22ACB" w:rsidTr="00A02659">
        <w:trPr>
          <w:trHeight w:val="397"/>
          <w:jc w:val="center"/>
        </w:trPr>
        <w:tc>
          <w:tcPr>
            <w:tcW w:w="1896" w:type="dxa"/>
            <w:tcBorders>
              <w:top w:val="single" w:sz="4" w:space="0" w:color="auto"/>
            </w:tcBorders>
            <w:tcMar>
              <w:left w:w="142" w:type="dxa"/>
            </w:tcMar>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wild type</w:t>
            </w:r>
          </w:p>
        </w:tc>
        <w:tc>
          <w:tcPr>
            <w:tcW w:w="1629" w:type="dxa"/>
            <w:tcBorders>
              <w:top w:val="single" w:sz="4"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RCe014</w:t>
            </w:r>
          </w:p>
        </w:tc>
        <w:tc>
          <w:tcPr>
            <w:tcW w:w="880" w:type="dxa"/>
            <w:tcBorders>
              <w:top w:val="single" w:sz="4" w:space="0" w:color="auto"/>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8.73</w:t>
            </w:r>
          </w:p>
        </w:tc>
        <w:tc>
          <w:tcPr>
            <w:tcW w:w="749" w:type="dxa"/>
            <w:tcBorders>
              <w:top w:val="single" w:sz="4"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0.55</w:t>
            </w:r>
          </w:p>
        </w:tc>
        <w:tc>
          <w:tcPr>
            <w:tcW w:w="1051" w:type="dxa"/>
            <w:tcBorders>
              <w:top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1.00</w:t>
            </w:r>
          </w:p>
        </w:tc>
      </w:tr>
      <w:tr w:rsidR="00B15863" w:rsidRPr="00C22ACB" w:rsidTr="00A02659">
        <w:trPr>
          <w:trHeight w:val="397"/>
          <w:jc w:val="center"/>
        </w:trPr>
        <w:tc>
          <w:tcPr>
            <w:tcW w:w="1896" w:type="dxa"/>
            <w:tcBorders>
              <w:bottom w:val="single" w:sz="8" w:space="0" w:color="auto"/>
            </w:tcBorders>
            <w:tcMar>
              <w:left w:w="142" w:type="dxa"/>
            </w:tcMar>
            <w:vAlign w:val="center"/>
          </w:tcPr>
          <w:p w:rsidR="00B15863" w:rsidRPr="00A02659" w:rsidRDefault="00B15863" w:rsidP="00C22ACB">
            <w:pPr>
              <w:spacing w:line="240" w:lineRule="auto"/>
              <w:rPr>
                <w:rFonts w:ascii="Corbel" w:hAnsi="Corbel"/>
                <w:i/>
                <w:iCs/>
                <w:sz w:val="18"/>
                <w:szCs w:val="18"/>
              </w:rPr>
            </w:pPr>
            <w:r w:rsidRPr="00A02659">
              <w:rPr>
                <w:rFonts w:ascii="Corbel" w:hAnsi="Corbel"/>
                <w:i/>
                <w:iCs/>
                <w:sz w:val="18"/>
                <w:szCs w:val="18"/>
              </w:rPr>
              <w:t>ruvA60</w:t>
            </w:r>
          </w:p>
        </w:tc>
        <w:tc>
          <w:tcPr>
            <w:tcW w:w="1629" w:type="dxa"/>
            <w:tcBorders>
              <w:bottom w:val="single" w:sz="8"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RCe033</w:t>
            </w:r>
          </w:p>
        </w:tc>
        <w:tc>
          <w:tcPr>
            <w:tcW w:w="880" w:type="dxa"/>
            <w:tcBorders>
              <w:left w:val="nil"/>
              <w:bottom w:val="single" w:sz="8" w:space="0" w:color="auto"/>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3.47</w:t>
            </w:r>
          </w:p>
        </w:tc>
        <w:tc>
          <w:tcPr>
            <w:tcW w:w="749" w:type="dxa"/>
            <w:tcBorders>
              <w:bottom w:val="single" w:sz="8"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0.24</w:t>
            </w:r>
          </w:p>
        </w:tc>
        <w:tc>
          <w:tcPr>
            <w:tcW w:w="1051" w:type="dxa"/>
            <w:tcBorders>
              <w:bottom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0.40</w:t>
            </w:r>
          </w:p>
        </w:tc>
      </w:tr>
      <w:tr w:rsidR="00B15863" w:rsidRPr="00C22ACB" w:rsidTr="00A02659">
        <w:trPr>
          <w:trHeight w:val="397"/>
          <w:jc w:val="center"/>
        </w:trPr>
        <w:tc>
          <w:tcPr>
            <w:tcW w:w="1896" w:type="dxa"/>
            <w:tcBorders>
              <w:top w:val="single" w:sz="8" w:space="0" w:color="auto"/>
            </w:tcBorders>
            <w:tcMar>
              <w:left w:w="142" w:type="dxa"/>
            </w:tcMar>
            <w:vAlign w:val="center"/>
          </w:tcPr>
          <w:p w:rsidR="00B15863" w:rsidRPr="00A02659" w:rsidRDefault="00B15863" w:rsidP="00C22ACB">
            <w:pPr>
              <w:spacing w:line="240" w:lineRule="auto"/>
              <w:rPr>
                <w:rFonts w:ascii="Corbel" w:hAnsi="Corbel"/>
                <w:iCs/>
                <w:sz w:val="18"/>
                <w:szCs w:val="18"/>
              </w:rPr>
            </w:pPr>
            <w:r w:rsidRPr="00A02659">
              <w:rPr>
                <w:rFonts w:ascii="Corbel" w:hAnsi="Corbel"/>
                <w:iCs/>
                <w:sz w:val="18"/>
                <w:szCs w:val="18"/>
              </w:rPr>
              <w:t>wild type</w:t>
            </w:r>
          </w:p>
        </w:tc>
        <w:tc>
          <w:tcPr>
            <w:tcW w:w="1629" w:type="dxa"/>
            <w:tcBorders>
              <w:top w:val="single" w:sz="8"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RCe014</w:t>
            </w:r>
          </w:p>
        </w:tc>
        <w:tc>
          <w:tcPr>
            <w:tcW w:w="880" w:type="dxa"/>
            <w:tcBorders>
              <w:top w:val="single" w:sz="8" w:space="0" w:color="auto"/>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13.2</w:t>
            </w:r>
          </w:p>
        </w:tc>
        <w:tc>
          <w:tcPr>
            <w:tcW w:w="749" w:type="dxa"/>
            <w:tcBorders>
              <w:top w:val="single" w:sz="8"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0.90</w:t>
            </w:r>
          </w:p>
        </w:tc>
        <w:tc>
          <w:tcPr>
            <w:tcW w:w="1051" w:type="dxa"/>
            <w:tcBorders>
              <w:top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1.00</w:t>
            </w:r>
          </w:p>
        </w:tc>
      </w:tr>
      <w:tr w:rsidR="00B15863" w:rsidRPr="00C22ACB" w:rsidTr="00A02659">
        <w:trPr>
          <w:trHeight w:val="397"/>
          <w:jc w:val="center"/>
        </w:trPr>
        <w:tc>
          <w:tcPr>
            <w:tcW w:w="1896" w:type="dxa"/>
            <w:tcMar>
              <w:left w:w="142" w:type="dxa"/>
            </w:tcMar>
            <w:vAlign w:val="center"/>
          </w:tcPr>
          <w:p w:rsidR="00B15863" w:rsidRPr="00A02659" w:rsidRDefault="00B15863" w:rsidP="00C22ACB">
            <w:pPr>
              <w:spacing w:line="240" w:lineRule="auto"/>
              <w:rPr>
                <w:rFonts w:ascii="Corbel" w:hAnsi="Corbel"/>
                <w:i/>
                <w:iCs/>
                <w:sz w:val="18"/>
                <w:szCs w:val="18"/>
              </w:rPr>
            </w:pPr>
            <w:r w:rsidRPr="00A02659">
              <w:rPr>
                <w:rFonts w:ascii="Corbel" w:hAnsi="Corbel"/>
                <w:i/>
                <w:iCs/>
                <w:sz w:val="18"/>
                <w:szCs w:val="18"/>
              </w:rPr>
              <w:t>recB</w:t>
            </w:r>
          </w:p>
        </w:tc>
        <w:tc>
          <w:tcPr>
            <w:tcW w:w="1629" w:type="dxa"/>
            <w:tcBorders>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RCe045</w:t>
            </w:r>
          </w:p>
        </w:tc>
        <w:tc>
          <w:tcPr>
            <w:tcW w:w="880" w:type="dxa"/>
            <w:tcBorders>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3.88</w:t>
            </w:r>
          </w:p>
        </w:tc>
        <w:tc>
          <w:tcPr>
            <w:tcW w:w="749" w:type="dxa"/>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0.33</w:t>
            </w:r>
          </w:p>
        </w:tc>
        <w:tc>
          <w:tcPr>
            <w:tcW w:w="1051" w:type="dxa"/>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0.29</w:t>
            </w:r>
          </w:p>
        </w:tc>
      </w:tr>
      <w:tr w:rsidR="00B15863" w:rsidRPr="00C22ACB" w:rsidTr="00A02659">
        <w:trPr>
          <w:trHeight w:val="397"/>
          <w:jc w:val="center"/>
        </w:trPr>
        <w:tc>
          <w:tcPr>
            <w:tcW w:w="1896" w:type="dxa"/>
            <w:tcBorders>
              <w:bottom w:val="single" w:sz="2" w:space="0" w:color="auto"/>
            </w:tcBorders>
            <w:tcMar>
              <w:left w:w="142" w:type="dxa"/>
            </w:tcMar>
            <w:vAlign w:val="center"/>
          </w:tcPr>
          <w:p w:rsidR="00B15863" w:rsidRPr="00A02659" w:rsidRDefault="00B15863" w:rsidP="00C22ACB">
            <w:pPr>
              <w:spacing w:line="240" w:lineRule="auto"/>
              <w:rPr>
                <w:rFonts w:ascii="Corbel" w:hAnsi="Corbel"/>
                <w:i/>
                <w:iCs/>
                <w:sz w:val="18"/>
                <w:szCs w:val="18"/>
              </w:rPr>
            </w:pPr>
            <w:r w:rsidRPr="00A02659">
              <w:rPr>
                <w:rFonts w:ascii="Corbel" w:hAnsi="Corbel"/>
                <w:i/>
                <w:iCs/>
                <w:sz w:val="18"/>
                <w:szCs w:val="18"/>
              </w:rPr>
              <w:t>recG recB</w:t>
            </w:r>
          </w:p>
        </w:tc>
        <w:tc>
          <w:tcPr>
            <w:tcW w:w="1629" w:type="dxa"/>
            <w:tcBorders>
              <w:bottom w:val="single" w:sz="2"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RCe046</w:t>
            </w:r>
          </w:p>
        </w:tc>
        <w:tc>
          <w:tcPr>
            <w:tcW w:w="880" w:type="dxa"/>
            <w:tcBorders>
              <w:left w:val="nil"/>
              <w:bottom w:val="single" w:sz="2" w:space="0" w:color="auto"/>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5.59</w:t>
            </w:r>
          </w:p>
        </w:tc>
        <w:tc>
          <w:tcPr>
            <w:tcW w:w="749" w:type="dxa"/>
            <w:tcBorders>
              <w:bottom w:val="single" w:sz="2"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0.50</w:t>
            </w:r>
          </w:p>
        </w:tc>
        <w:tc>
          <w:tcPr>
            <w:tcW w:w="1051" w:type="dxa"/>
            <w:tcBorders>
              <w:bottom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0.42</w:t>
            </w:r>
          </w:p>
        </w:tc>
      </w:tr>
      <w:tr w:rsidR="00B15863" w:rsidRPr="00C22ACB" w:rsidTr="00A02659">
        <w:trPr>
          <w:trHeight w:val="397"/>
          <w:jc w:val="center"/>
        </w:trPr>
        <w:tc>
          <w:tcPr>
            <w:tcW w:w="1896" w:type="dxa"/>
            <w:tcBorders>
              <w:top w:val="single" w:sz="2" w:space="0" w:color="auto"/>
            </w:tcBorders>
            <w:tcMar>
              <w:left w:w="142" w:type="dxa"/>
            </w:tcMar>
            <w:vAlign w:val="center"/>
          </w:tcPr>
          <w:p w:rsidR="00B15863" w:rsidRPr="00A02659" w:rsidRDefault="00B15863" w:rsidP="00C22ACB">
            <w:pPr>
              <w:spacing w:line="240" w:lineRule="auto"/>
              <w:rPr>
                <w:rFonts w:ascii="Corbel" w:hAnsi="Corbel"/>
                <w:iCs/>
                <w:sz w:val="18"/>
                <w:szCs w:val="18"/>
              </w:rPr>
            </w:pPr>
            <w:r w:rsidRPr="00A02659">
              <w:rPr>
                <w:rFonts w:ascii="Corbel" w:hAnsi="Corbel"/>
                <w:iCs/>
                <w:sz w:val="18"/>
                <w:szCs w:val="18"/>
              </w:rPr>
              <w:t>wild type</w:t>
            </w:r>
          </w:p>
        </w:tc>
        <w:tc>
          <w:tcPr>
            <w:tcW w:w="1629" w:type="dxa"/>
            <w:tcBorders>
              <w:top w:val="single" w:sz="2"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RCe014</w:t>
            </w:r>
          </w:p>
        </w:tc>
        <w:tc>
          <w:tcPr>
            <w:tcW w:w="880" w:type="dxa"/>
            <w:tcBorders>
              <w:top w:val="single" w:sz="2" w:space="0" w:color="auto"/>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3.88</w:t>
            </w:r>
          </w:p>
        </w:tc>
        <w:tc>
          <w:tcPr>
            <w:tcW w:w="749" w:type="dxa"/>
            <w:tcBorders>
              <w:top w:val="single" w:sz="2"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0.34</w:t>
            </w:r>
          </w:p>
        </w:tc>
        <w:tc>
          <w:tcPr>
            <w:tcW w:w="1051" w:type="dxa"/>
            <w:tcBorders>
              <w:top w:val="single" w:sz="1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1.00</w:t>
            </w:r>
          </w:p>
        </w:tc>
      </w:tr>
      <w:tr w:rsidR="00B15863" w:rsidRPr="00C22ACB" w:rsidTr="00A02659">
        <w:trPr>
          <w:trHeight w:val="397"/>
          <w:jc w:val="center"/>
        </w:trPr>
        <w:tc>
          <w:tcPr>
            <w:tcW w:w="1896" w:type="dxa"/>
            <w:tcMar>
              <w:left w:w="142" w:type="dxa"/>
            </w:tcMar>
            <w:vAlign w:val="center"/>
          </w:tcPr>
          <w:p w:rsidR="00B15863" w:rsidRPr="00A02659" w:rsidRDefault="00B15863" w:rsidP="00C22ACB">
            <w:pPr>
              <w:spacing w:line="240" w:lineRule="auto"/>
              <w:rPr>
                <w:rFonts w:ascii="Corbel" w:hAnsi="Corbel"/>
                <w:i/>
                <w:iCs/>
                <w:sz w:val="18"/>
                <w:szCs w:val="18"/>
              </w:rPr>
            </w:pPr>
            <w:proofErr w:type="spellStart"/>
            <w:r w:rsidRPr="00A02659">
              <w:rPr>
                <w:rFonts w:ascii="Corbel" w:hAnsi="Corbel"/>
                <w:i/>
                <w:iCs/>
                <w:sz w:val="18"/>
                <w:szCs w:val="18"/>
              </w:rPr>
              <w:t>recF</w:t>
            </w:r>
            <w:proofErr w:type="spellEnd"/>
          </w:p>
        </w:tc>
        <w:tc>
          <w:tcPr>
            <w:tcW w:w="1629" w:type="dxa"/>
            <w:tcBorders>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RCe125</w:t>
            </w:r>
          </w:p>
        </w:tc>
        <w:tc>
          <w:tcPr>
            <w:tcW w:w="880" w:type="dxa"/>
            <w:tcBorders>
              <w:left w:val="nil"/>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2.26</w:t>
            </w:r>
          </w:p>
        </w:tc>
        <w:tc>
          <w:tcPr>
            <w:tcW w:w="749" w:type="dxa"/>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0.18</w:t>
            </w:r>
          </w:p>
        </w:tc>
        <w:tc>
          <w:tcPr>
            <w:tcW w:w="1051" w:type="dxa"/>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0.60</w:t>
            </w:r>
          </w:p>
        </w:tc>
      </w:tr>
      <w:tr w:rsidR="00B15863" w:rsidRPr="00C22ACB" w:rsidTr="00A02659">
        <w:trPr>
          <w:trHeight w:val="397"/>
          <w:jc w:val="center"/>
        </w:trPr>
        <w:tc>
          <w:tcPr>
            <w:tcW w:w="1896" w:type="dxa"/>
            <w:tcBorders>
              <w:bottom w:val="single" w:sz="8" w:space="0" w:color="auto"/>
            </w:tcBorders>
            <w:tcMar>
              <w:left w:w="142" w:type="dxa"/>
            </w:tcMar>
            <w:vAlign w:val="center"/>
          </w:tcPr>
          <w:p w:rsidR="00B15863" w:rsidRPr="00A02659" w:rsidRDefault="00B15863" w:rsidP="00C22ACB">
            <w:pPr>
              <w:spacing w:line="240" w:lineRule="auto"/>
              <w:rPr>
                <w:rFonts w:ascii="Corbel" w:hAnsi="Corbel"/>
                <w:i/>
                <w:iCs/>
                <w:sz w:val="18"/>
                <w:szCs w:val="18"/>
              </w:rPr>
            </w:pPr>
            <w:r w:rsidRPr="00A02659">
              <w:rPr>
                <w:rFonts w:ascii="Corbel" w:hAnsi="Corbel"/>
                <w:i/>
                <w:iCs/>
                <w:sz w:val="18"/>
                <w:szCs w:val="18"/>
              </w:rPr>
              <w:t xml:space="preserve">recG </w:t>
            </w:r>
            <w:proofErr w:type="spellStart"/>
            <w:r w:rsidRPr="00A02659">
              <w:rPr>
                <w:rFonts w:ascii="Corbel" w:hAnsi="Corbel"/>
                <w:i/>
                <w:iCs/>
                <w:sz w:val="18"/>
                <w:szCs w:val="18"/>
              </w:rPr>
              <w:t>recF</w:t>
            </w:r>
            <w:proofErr w:type="spellEnd"/>
          </w:p>
        </w:tc>
        <w:tc>
          <w:tcPr>
            <w:tcW w:w="1629" w:type="dxa"/>
            <w:tcBorders>
              <w:bottom w:val="single" w:sz="8" w:space="0" w:color="auto"/>
              <w:right w:val="nil"/>
            </w:tcBorders>
            <w:vAlign w:val="center"/>
          </w:tcPr>
          <w:p w:rsidR="00B15863" w:rsidRPr="00A02659" w:rsidRDefault="00B15863" w:rsidP="00A02659">
            <w:pPr>
              <w:spacing w:line="240" w:lineRule="auto"/>
              <w:rPr>
                <w:rFonts w:ascii="Corbel" w:hAnsi="Corbel"/>
                <w:sz w:val="18"/>
                <w:szCs w:val="18"/>
              </w:rPr>
            </w:pPr>
            <w:r w:rsidRPr="00A02659">
              <w:rPr>
                <w:rFonts w:ascii="Corbel" w:hAnsi="Corbel"/>
                <w:sz w:val="18"/>
                <w:szCs w:val="18"/>
              </w:rPr>
              <w:t>RCe126</w:t>
            </w:r>
          </w:p>
        </w:tc>
        <w:tc>
          <w:tcPr>
            <w:tcW w:w="880" w:type="dxa"/>
            <w:tcBorders>
              <w:left w:val="nil"/>
              <w:bottom w:val="single" w:sz="8" w:space="0" w:color="auto"/>
            </w:tcBorders>
            <w:vAlign w:val="center"/>
          </w:tcPr>
          <w:p w:rsidR="00B15863" w:rsidRPr="00A02659" w:rsidRDefault="00B15863" w:rsidP="00C22ACB">
            <w:pPr>
              <w:spacing w:line="240" w:lineRule="auto"/>
              <w:jc w:val="right"/>
              <w:rPr>
                <w:rFonts w:ascii="Corbel" w:hAnsi="Corbel"/>
                <w:sz w:val="18"/>
                <w:szCs w:val="18"/>
              </w:rPr>
            </w:pPr>
            <w:r w:rsidRPr="00A02659">
              <w:rPr>
                <w:rFonts w:ascii="Corbel" w:hAnsi="Corbel"/>
                <w:sz w:val="18"/>
                <w:szCs w:val="18"/>
              </w:rPr>
              <w:t>6.82</w:t>
            </w:r>
          </w:p>
        </w:tc>
        <w:tc>
          <w:tcPr>
            <w:tcW w:w="749" w:type="dxa"/>
            <w:tcBorders>
              <w:bottom w:val="single" w:sz="8" w:space="0" w:color="auto"/>
            </w:tcBorders>
            <w:vAlign w:val="center"/>
          </w:tcPr>
          <w:p w:rsidR="00B15863" w:rsidRPr="00A02659" w:rsidRDefault="00B15863" w:rsidP="00C22ACB">
            <w:pPr>
              <w:spacing w:line="240" w:lineRule="auto"/>
              <w:rPr>
                <w:rFonts w:ascii="Corbel" w:hAnsi="Corbel"/>
                <w:sz w:val="18"/>
                <w:szCs w:val="18"/>
              </w:rPr>
            </w:pPr>
            <w:r w:rsidRPr="00A02659">
              <w:rPr>
                <w:rFonts w:ascii="Corbel" w:hAnsi="Corbel"/>
                <w:sz w:val="18"/>
                <w:szCs w:val="18"/>
              </w:rPr>
              <w:t>± 0.51</w:t>
            </w:r>
          </w:p>
        </w:tc>
        <w:tc>
          <w:tcPr>
            <w:tcW w:w="1051" w:type="dxa"/>
            <w:tcBorders>
              <w:bottom w:val="single" w:sz="8" w:space="0" w:color="auto"/>
            </w:tcBorders>
            <w:vAlign w:val="center"/>
          </w:tcPr>
          <w:p w:rsidR="00B15863" w:rsidRPr="00A02659" w:rsidRDefault="00B15863" w:rsidP="00C22ACB">
            <w:pPr>
              <w:spacing w:line="240" w:lineRule="auto"/>
              <w:jc w:val="center"/>
              <w:rPr>
                <w:rFonts w:ascii="Corbel" w:hAnsi="Corbel"/>
                <w:sz w:val="18"/>
                <w:szCs w:val="18"/>
              </w:rPr>
            </w:pPr>
            <w:r w:rsidRPr="00A02659">
              <w:rPr>
                <w:rFonts w:ascii="Corbel" w:hAnsi="Corbel"/>
                <w:sz w:val="18"/>
                <w:szCs w:val="18"/>
              </w:rPr>
              <w:t>1.80</w:t>
            </w:r>
          </w:p>
        </w:tc>
      </w:tr>
    </w:tbl>
    <w:p w:rsidR="00C22ACB" w:rsidRDefault="008D3CF7" w:rsidP="008D3CF7">
      <w:pPr>
        <w:pStyle w:val="Tablefooter"/>
      </w:pPr>
      <w:r>
        <w:t>a – If absolute rates of mutant strains were determined on different days a wild type deletion rate was always run in parallel, as changes in media composition and culturing can influence absolute rates on different days. Relative rates were obtained by normalising the rate obtained to the rate of wild type cells determined in parallel. S</w:t>
      </w:r>
      <w:r w:rsidRPr="004658E5">
        <w:t>ee Supplementary M</w:t>
      </w:r>
      <w:r>
        <w:t>ethods for further details</w:t>
      </w:r>
      <w:r w:rsidRPr="004658E5">
        <w:t>.</w:t>
      </w:r>
    </w:p>
    <w:p w:rsidR="00AF1840" w:rsidRDefault="00AF1840" w:rsidP="00AF1840">
      <w:pPr>
        <w:pStyle w:val="Heading2"/>
      </w:pPr>
    </w:p>
    <w:p w:rsidR="00AF1840" w:rsidRPr="00AF1840" w:rsidRDefault="00AF1840" w:rsidP="00AF1840">
      <w:pPr>
        <w:sectPr w:rsidR="00AF1840" w:rsidRPr="00AF1840" w:rsidSect="00BF547F">
          <w:footerReference w:type="default" r:id="rId8"/>
          <w:pgSz w:w="11906" w:h="16838"/>
          <w:pgMar w:top="1440" w:right="1588" w:bottom="1985" w:left="1588" w:header="709" w:footer="709" w:gutter="0"/>
          <w:cols w:space="708"/>
          <w:docGrid w:linePitch="360"/>
        </w:sectPr>
      </w:pPr>
    </w:p>
    <w:p w:rsidR="00AF1840" w:rsidRPr="004658E5" w:rsidRDefault="003E42B4" w:rsidP="00AF1840">
      <w:pPr>
        <w:pStyle w:val="Heading2"/>
      </w:pPr>
      <w:r>
        <w:lastRenderedPageBreak/>
        <w:t>Table S3</w:t>
      </w:r>
      <w:r w:rsidR="00AF1840">
        <w:t>. Spontaneous tandem repeat deletion rates</w:t>
      </w:r>
    </w:p>
    <w:tbl>
      <w:tblPr>
        <w:tblW w:w="13943" w:type="dxa"/>
        <w:tblLook w:val="04A0" w:firstRow="1" w:lastRow="0" w:firstColumn="1" w:lastColumn="0" w:noHBand="0" w:noVBand="1"/>
      </w:tblPr>
      <w:tblGrid>
        <w:gridCol w:w="1079"/>
        <w:gridCol w:w="2715"/>
        <w:gridCol w:w="425"/>
        <w:gridCol w:w="1666"/>
        <w:gridCol w:w="1756"/>
        <w:gridCol w:w="1756"/>
        <w:gridCol w:w="1315"/>
        <w:gridCol w:w="1431"/>
        <w:gridCol w:w="1788"/>
        <w:gridCol w:w="12"/>
      </w:tblGrid>
      <w:tr w:rsidR="00AF1840" w:rsidRPr="002F3AC2" w:rsidTr="00542CE6">
        <w:trPr>
          <w:gridAfter w:val="1"/>
          <w:wAfter w:w="12" w:type="dxa"/>
          <w:trHeight w:val="284"/>
        </w:trPr>
        <w:tc>
          <w:tcPr>
            <w:tcW w:w="1079" w:type="dxa"/>
            <w:tcBorders>
              <w:top w:val="nil"/>
              <w:left w:val="nil"/>
              <w:bottom w:val="nil"/>
              <w:right w:val="nil"/>
            </w:tcBorders>
            <w:shd w:val="clear" w:color="auto" w:fill="auto"/>
            <w:noWrap/>
            <w:vAlign w:val="center"/>
            <w:hideMark/>
          </w:tcPr>
          <w:p w:rsidR="00AF1840" w:rsidRPr="00AF1840" w:rsidRDefault="00AF1840" w:rsidP="00AF1840">
            <w:pPr>
              <w:rPr>
                <w:rFonts w:ascii="Corbel" w:eastAsia="Times New Roman" w:hAnsi="Corbel" w:cs="Times New Roman"/>
                <w:b/>
                <w:bCs/>
              </w:rPr>
            </w:pPr>
            <w:r w:rsidRPr="00AF1840">
              <w:rPr>
                <w:rFonts w:ascii="Corbel" w:eastAsia="Times New Roman" w:hAnsi="Corbel" w:cs="Times New Roman"/>
                <w:b/>
                <w:bCs/>
              </w:rPr>
              <w:t>Strain</w:t>
            </w:r>
          </w:p>
        </w:tc>
        <w:tc>
          <w:tcPr>
            <w:tcW w:w="2715" w:type="dxa"/>
            <w:tcBorders>
              <w:top w:val="nil"/>
              <w:left w:val="nil"/>
              <w:bottom w:val="nil"/>
              <w:right w:val="nil"/>
            </w:tcBorders>
            <w:shd w:val="clear" w:color="auto" w:fill="auto"/>
            <w:noWrap/>
            <w:vAlign w:val="center"/>
            <w:hideMark/>
          </w:tcPr>
          <w:p w:rsidR="00AF1840" w:rsidRPr="00AF1840" w:rsidRDefault="00AF1840" w:rsidP="00AF1840">
            <w:pPr>
              <w:rPr>
                <w:rFonts w:ascii="Corbel" w:eastAsia="Times New Roman" w:hAnsi="Corbel" w:cs="Times New Roman"/>
                <w:b/>
                <w:bCs/>
              </w:rPr>
            </w:pPr>
            <w:r w:rsidRPr="00AF1840">
              <w:rPr>
                <w:rFonts w:ascii="Corbel" w:eastAsia="Times New Roman" w:hAnsi="Corbel" w:cs="Times New Roman"/>
                <w:b/>
                <w:bCs/>
              </w:rPr>
              <w:t>Relevant genotype</w:t>
            </w:r>
          </w:p>
        </w:tc>
        <w:tc>
          <w:tcPr>
            <w:tcW w:w="425" w:type="dxa"/>
            <w:tcBorders>
              <w:top w:val="nil"/>
              <w:left w:val="nil"/>
              <w:bottom w:val="nil"/>
              <w:right w:val="nil"/>
            </w:tcBorders>
            <w:shd w:val="clear" w:color="auto" w:fill="auto"/>
            <w:noWrap/>
            <w:vAlign w:val="bottom"/>
            <w:hideMark/>
          </w:tcPr>
          <w:p w:rsidR="00AF1840" w:rsidRPr="00AF1840" w:rsidRDefault="00AF1840" w:rsidP="00AF1840">
            <w:pPr>
              <w:rPr>
                <w:rFonts w:ascii="Corbel" w:eastAsia="Times New Roman" w:hAnsi="Corbel" w:cs="Times New Roman"/>
                <w:b/>
                <w:bCs/>
              </w:rPr>
            </w:pPr>
          </w:p>
        </w:tc>
        <w:tc>
          <w:tcPr>
            <w:tcW w:w="9712" w:type="dxa"/>
            <w:gridSpan w:val="6"/>
            <w:tcBorders>
              <w:top w:val="single" w:sz="8" w:space="0" w:color="auto"/>
              <w:left w:val="nil"/>
              <w:bottom w:val="single" w:sz="4" w:space="0" w:color="auto"/>
              <w:right w:val="nil"/>
            </w:tcBorders>
            <w:shd w:val="clear" w:color="auto" w:fill="auto"/>
            <w:noWrap/>
            <w:vAlign w:val="center"/>
            <w:hideMark/>
          </w:tcPr>
          <w:p w:rsidR="00AF1840" w:rsidRPr="00AF1840" w:rsidRDefault="00AF1840" w:rsidP="00AF1840">
            <w:pPr>
              <w:jc w:val="center"/>
              <w:rPr>
                <w:rFonts w:ascii="Corbel" w:eastAsia="Times New Roman" w:hAnsi="Corbel" w:cs="Times New Roman"/>
                <w:b/>
                <w:bCs/>
              </w:rPr>
            </w:pPr>
            <w:r w:rsidRPr="00AF1840">
              <w:rPr>
                <w:rFonts w:ascii="Corbel" w:eastAsia="Times New Roman" w:hAnsi="Corbel" w:cs="Times New Roman"/>
                <w:b/>
                <w:bCs/>
              </w:rPr>
              <w:t>Conjugational crosses</w:t>
            </w:r>
          </w:p>
        </w:tc>
      </w:tr>
      <w:tr w:rsidR="00AF1840" w:rsidRPr="002F3AC2" w:rsidTr="00542CE6">
        <w:trPr>
          <w:trHeight w:val="284"/>
        </w:trPr>
        <w:tc>
          <w:tcPr>
            <w:tcW w:w="1079" w:type="dxa"/>
            <w:tcBorders>
              <w:top w:val="nil"/>
              <w:left w:val="nil"/>
              <w:bottom w:val="nil"/>
              <w:right w:val="nil"/>
            </w:tcBorders>
            <w:shd w:val="clear" w:color="auto" w:fill="auto"/>
            <w:noWrap/>
            <w:vAlign w:val="center"/>
            <w:hideMark/>
          </w:tcPr>
          <w:p w:rsidR="00AF1840" w:rsidRPr="00AF1840" w:rsidRDefault="00AF1840" w:rsidP="00AF1840">
            <w:pPr>
              <w:jc w:val="center"/>
              <w:rPr>
                <w:rFonts w:ascii="Corbel" w:eastAsia="Times New Roman" w:hAnsi="Corbel" w:cs="Times New Roman"/>
                <w:b/>
                <w:bCs/>
              </w:rPr>
            </w:pPr>
          </w:p>
        </w:tc>
        <w:tc>
          <w:tcPr>
            <w:tcW w:w="2715" w:type="dxa"/>
            <w:tcBorders>
              <w:top w:val="nil"/>
              <w:left w:val="nil"/>
              <w:bottom w:val="nil"/>
              <w:right w:val="nil"/>
            </w:tcBorders>
            <w:shd w:val="clear" w:color="auto" w:fill="auto"/>
            <w:noWrap/>
            <w:vAlign w:val="center"/>
            <w:hideMark/>
          </w:tcPr>
          <w:p w:rsidR="00AF1840" w:rsidRPr="00AF1840" w:rsidRDefault="00AF1840" w:rsidP="00AF1840">
            <w:pPr>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AF1840">
            <w:pPr>
              <w:rPr>
                <w:rFonts w:ascii="Corbel" w:eastAsia="Times New Roman" w:hAnsi="Corbel" w:cs="Times New Roman"/>
                <w:sz w:val="20"/>
                <w:szCs w:val="20"/>
              </w:rPr>
            </w:pPr>
          </w:p>
        </w:tc>
        <w:tc>
          <w:tcPr>
            <w:tcW w:w="1666" w:type="dxa"/>
            <w:vMerge w:val="restart"/>
            <w:tcBorders>
              <w:top w:val="nil"/>
              <w:left w:val="nil"/>
              <w:bottom w:val="nil"/>
              <w:right w:val="nil"/>
            </w:tcBorders>
            <w:shd w:val="clear" w:color="auto" w:fill="auto"/>
            <w:vAlign w:val="center"/>
            <w:hideMark/>
          </w:tcPr>
          <w:p w:rsidR="00AF1840" w:rsidRPr="00AF1840" w:rsidRDefault="00AF1840" w:rsidP="00AF1840">
            <w:pPr>
              <w:jc w:val="center"/>
              <w:rPr>
                <w:rFonts w:ascii="Corbel" w:eastAsia="Times New Roman" w:hAnsi="Corbel" w:cs="Times New Roman"/>
                <w:sz w:val="20"/>
                <w:szCs w:val="20"/>
              </w:rPr>
            </w:pPr>
            <w:r w:rsidRPr="00AF1840">
              <w:rPr>
                <w:rFonts w:ascii="Corbel" w:eastAsia="Times New Roman" w:hAnsi="Corbel" w:cs="Times New Roman"/>
                <w:sz w:val="20"/>
                <w:szCs w:val="20"/>
              </w:rPr>
              <w:t xml:space="preserve">No. </w:t>
            </w:r>
            <w:proofErr w:type="spellStart"/>
            <w:r w:rsidRPr="00AF1840">
              <w:rPr>
                <w:rFonts w:ascii="Corbel" w:eastAsia="Times New Roman" w:hAnsi="Corbel" w:cs="Times New Roman"/>
                <w:sz w:val="20"/>
                <w:szCs w:val="20"/>
              </w:rPr>
              <w:t>Expts</w:t>
            </w:r>
            <w:proofErr w:type="spellEnd"/>
          </w:p>
        </w:tc>
        <w:tc>
          <w:tcPr>
            <w:tcW w:w="1756" w:type="dxa"/>
            <w:vMerge w:val="restart"/>
            <w:tcBorders>
              <w:top w:val="nil"/>
              <w:left w:val="nil"/>
              <w:bottom w:val="nil"/>
              <w:right w:val="nil"/>
            </w:tcBorders>
            <w:shd w:val="clear" w:color="auto" w:fill="auto"/>
            <w:vAlign w:val="center"/>
            <w:hideMark/>
          </w:tcPr>
          <w:p w:rsidR="00AF1840" w:rsidRPr="00AF1840" w:rsidRDefault="00AF1840" w:rsidP="00AF1840">
            <w:pPr>
              <w:rPr>
                <w:rFonts w:ascii="Corbel" w:eastAsia="Times New Roman" w:hAnsi="Corbel" w:cs="Times New Roman"/>
                <w:sz w:val="20"/>
                <w:szCs w:val="20"/>
              </w:rPr>
            </w:pPr>
            <w:r w:rsidRPr="00AF1840">
              <w:rPr>
                <w:rFonts w:ascii="Corbel" w:eastAsia="Times New Roman" w:hAnsi="Corbel" w:cs="Times New Roman"/>
                <w:sz w:val="20"/>
                <w:szCs w:val="20"/>
              </w:rPr>
              <w:t>Relative viability</w:t>
            </w:r>
          </w:p>
        </w:tc>
        <w:tc>
          <w:tcPr>
            <w:tcW w:w="6302" w:type="dxa"/>
            <w:gridSpan w:val="5"/>
            <w:tcBorders>
              <w:top w:val="nil"/>
              <w:left w:val="nil"/>
              <w:bottom w:val="single" w:sz="4" w:space="0" w:color="auto"/>
              <w:right w:val="nil"/>
            </w:tcBorders>
            <w:shd w:val="clear" w:color="auto" w:fill="auto"/>
            <w:noWrap/>
            <w:vAlign w:val="center"/>
            <w:hideMark/>
          </w:tcPr>
          <w:p w:rsidR="00AF1840" w:rsidRPr="00AF1840" w:rsidRDefault="00AF1840" w:rsidP="00AF1840">
            <w:pPr>
              <w:jc w:val="center"/>
              <w:rPr>
                <w:rFonts w:ascii="Corbel" w:eastAsia="Times New Roman" w:hAnsi="Corbel" w:cs="Times New Roman"/>
                <w:sz w:val="20"/>
                <w:szCs w:val="20"/>
              </w:rPr>
            </w:pPr>
            <w:r w:rsidRPr="00AF1840">
              <w:rPr>
                <w:rFonts w:ascii="Corbel" w:eastAsia="Times New Roman" w:hAnsi="Corbel" w:cs="Times New Roman"/>
                <w:sz w:val="20"/>
                <w:szCs w:val="20"/>
              </w:rPr>
              <w:t xml:space="preserve">Relative yield of </w:t>
            </w:r>
            <w:proofErr w:type="spellStart"/>
            <w:r w:rsidRPr="00AF1840">
              <w:rPr>
                <w:rFonts w:ascii="Corbel" w:eastAsia="Times New Roman" w:hAnsi="Corbel" w:cs="Times New Roman"/>
                <w:sz w:val="20"/>
                <w:szCs w:val="20"/>
              </w:rPr>
              <w:t>transconjugants</w:t>
            </w:r>
            <w:proofErr w:type="spellEnd"/>
          </w:p>
        </w:tc>
      </w:tr>
      <w:tr w:rsidR="00AF1840" w:rsidRPr="002F3AC2" w:rsidTr="00542CE6">
        <w:trPr>
          <w:trHeight w:val="284"/>
        </w:trPr>
        <w:tc>
          <w:tcPr>
            <w:tcW w:w="1079" w:type="dxa"/>
            <w:tcBorders>
              <w:top w:val="nil"/>
              <w:left w:val="nil"/>
              <w:bottom w:val="nil"/>
              <w:right w:val="nil"/>
            </w:tcBorders>
            <w:shd w:val="clear" w:color="auto" w:fill="auto"/>
            <w:noWrap/>
            <w:vAlign w:val="center"/>
            <w:hideMark/>
          </w:tcPr>
          <w:p w:rsidR="00AF1840" w:rsidRPr="00AF1840" w:rsidRDefault="00AF1840" w:rsidP="00AF1840">
            <w:pPr>
              <w:jc w:val="center"/>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AF1840">
            <w:pPr>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bottom"/>
            <w:hideMark/>
          </w:tcPr>
          <w:p w:rsidR="00AF1840" w:rsidRPr="00AF1840" w:rsidRDefault="00AF1840" w:rsidP="00AF1840">
            <w:pPr>
              <w:rPr>
                <w:rFonts w:ascii="Corbel" w:eastAsia="Times New Roman" w:hAnsi="Corbel" w:cs="Times New Roman"/>
                <w:sz w:val="20"/>
                <w:szCs w:val="20"/>
              </w:rPr>
            </w:pPr>
          </w:p>
        </w:tc>
        <w:tc>
          <w:tcPr>
            <w:tcW w:w="1666" w:type="dxa"/>
            <w:vMerge/>
            <w:tcBorders>
              <w:top w:val="nil"/>
              <w:left w:val="nil"/>
              <w:bottom w:val="nil"/>
              <w:right w:val="nil"/>
            </w:tcBorders>
            <w:vAlign w:val="center"/>
            <w:hideMark/>
          </w:tcPr>
          <w:p w:rsidR="00AF1840" w:rsidRPr="00AF1840" w:rsidRDefault="00AF1840" w:rsidP="00AF1840">
            <w:pPr>
              <w:rPr>
                <w:rFonts w:ascii="Corbel" w:eastAsia="Times New Roman" w:hAnsi="Corbel" w:cs="Times New Roman"/>
                <w:sz w:val="20"/>
                <w:szCs w:val="20"/>
              </w:rPr>
            </w:pPr>
          </w:p>
        </w:tc>
        <w:tc>
          <w:tcPr>
            <w:tcW w:w="1756" w:type="dxa"/>
            <w:vMerge/>
            <w:tcBorders>
              <w:top w:val="nil"/>
              <w:left w:val="nil"/>
              <w:bottom w:val="nil"/>
              <w:right w:val="nil"/>
            </w:tcBorders>
            <w:vAlign w:val="center"/>
            <w:hideMark/>
          </w:tcPr>
          <w:p w:rsidR="00AF1840" w:rsidRPr="00AF1840" w:rsidRDefault="00AF1840" w:rsidP="00AF1840">
            <w:pPr>
              <w:rPr>
                <w:rFonts w:ascii="Corbel" w:eastAsia="Times New Roman" w:hAnsi="Corbel" w:cs="Times New Roman"/>
                <w:sz w:val="20"/>
                <w:szCs w:val="20"/>
              </w:rPr>
            </w:pPr>
          </w:p>
        </w:tc>
        <w:tc>
          <w:tcPr>
            <w:tcW w:w="1756" w:type="dxa"/>
            <w:vMerge w:val="restart"/>
            <w:tcBorders>
              <w:top w:val="nil"/>
              <w:left w:val="nil"/>
              <w:bottom w:val="nil"/>
              <w:right w:val="nil"/>
            </w:tcBorders>
            <w:shd w:val="clear" w:color="auto" w:fill="auto"/>
            <w:vAlign w:val="center"/>
            <w:hideMark/>
          </w:tcPr>
          <w:p w:rsidR="00AF1840" w:rsidRPr="00AF1840" w:rsidRDefault="00AF1840" w:rsidP="00AF1840">
            <w:pPr>
              <w:rPr>
                <w:rFonts w:ascii="Corbel" w:eastAsia="Times New Roman" w:hAnsi="Corbel" w:cs="Times New Roman"/>
                <w:sz w:val="20"/>
                <w:szCs w:val="20"/>
              </w:rPr>
            </w:pPr>
            <w:r>
              <w:rPr>
                <w:rFonts w:ascii="Corbel" w:eastAsia="Times New Roman" w:hAnsi="Corbel" w:cs="Times New Roman"/>
                <w:sz w:val="20"/>
                <w:szCs w:val="20"/>
              </w:rPr>
              <w:t>×</w:t>
            </w:r>
            <w:r w:rsidRPr="00AF1840">
              <w:rPr>
                <w:rFonts w:ascii="Corbel" w:eastAsia="Times New Roman" w:hAnsi="Corbel" w:cs="Times New Roman"/>
                <w:sz w:val="20"/>
                <w:szCs w:val="20"/>
              </w:rPr>
              <w:t xml:space="preserve"> KL548 to Pro</w:t>
            </w:r>
            <w:r w:rsidRPr="00AF1840">
              <w:rPr>
                <w:rFonts w:ascii="Corbel" w:eastAsia="Times New Roman" w:hAnsi="Corbel" w:cs="Times New Roman"/>
                <w:sz w:val="20"/>
                <w:szCs w:val="20"/>
                <w:vertAlign w:val="superscript"/>
              </w:rPr>
              <w:t>+</w:t>
            </w:r>
          </w:p>
        </w:tc>
        <w:tc>
          <w:tcPr>
            <w:tcW w:w="2746" w:type="dxa"/>
            <w:gridSpan w:val="2"/>
            <w:tcBorders>
              <w:top w:val="single" w:sz="4" w:space="0" w:color="auto"/>
              <w:left w:val="nil"/>
              <w:bottom w:val="single" w:sz="4" w:space="0" w:color="auto"/>
              <w:right w:val="nil"/>
            </w:tcBorders>
            <w:shd w:val="clear" w:color="auto" w:fill="auto"/>
            <w:noWrap/>
            <w:vAlign w:val="center"/>
            <w:hideMark/>
          </w:tcPr>
          <w:p w:rsidR="00AF1840" w:rsidRPr="00AF1840" w:rsidRDefault="00AF1840" w:rsidP="00AF1840">
            <w:pPr>
              <w:jc w:val="center"/>
              <w:rPr>
                <w:rFonts w:ascii="Corbel" w:eastAsia="Times New Roman" w:hAnsi="Corbel" w:cs="Times New Roman"/>
                <w:sz w:val="20"/>
                <w:szCs w:val="20"/>
              </w:rPr>
            </w:pPr>
            <w:r>
              <w:rPr>
                <w:rFonts w:ascii="Corbel" w:eastAsia="Times New Roman" w:hAnsi="Corbel" w:cs="Times New Roman"/>
                <w:sz w:val="20"/>
                <w:szCs w:val="20"/>
              </w:rPr>
              <w:t>×</w:t>
            </w:r>
            <w:r w:rsidRPr="00AF1840">
              <w:rPr>
                <w:rFonts w:ascii="Corbel" w:eastAsia="Times New Roman" w:hAnsi="Corbel" w:cs="Times New Roman"/>
                <w:sz w:val="20"/>
                <w:szCs w:val="20"/>
              </w:rPr>
              <w:t xml:space="preserve"> </w:t>
            </w:r>
            <w:proofErr w:type="spellStart"/>
            <w:r w:rsidRPr="00AF1840">
              <w:rPr>
                <w:rFonts w:ascii="Corbel" w:eastAsia="Times New Roman" w:hAnsi="Corbel" w:cs="Times New Roman"/>
                <w:sz w:val="20"/>
                <w:szCs w:val="20"/>
              </w:rPr>
              <w:t>Hfr</w:t>
            </w:r>
            <w:proofErr w:type="spellEnd"/>
            <w:r w:rsidRPr="00AF1840">
              <w:rPr>
                <w:rFonts w:ascii="Corbel" w:eastAsia="Times New Roman" w:hAnsi="Corbel" w:cs="Times New Roman"/>
                <w:sz w:val="20"/>
                <w:szCs w:val="20"/>
              </w:rPr>
              <w:t xml:space="preserve"> GY2200</w:t>
            </w:r>
          </w:p>
        </w:tc>
        <w:tc>
          <w:tcPr>
            <w:tcW w:w="1800" w:type="dxa"/>
            <w:gridSpan w:val="2"/>
            <w:vMerge w:val="restart"/>
            <w:tcBorders>
              <w:top w:val="nil"/>
              <w:left w:val="nil"/>
              <w:bottom w:val="nil"/>
              <w:right w:val="nil"/>
            </w:tcBorders>
            <w:shd w:val="clear" w:color="auto" w:fill="auto"/>
            <w:vAlign w:val="center"/>
            <w:hideMark/>
          </w:tcPr>
          <w:p w:rsidR="00AF1840" w:rsidRPr="00AF1840" w:rsidRDefault="00AF1840" w:rsidP="00AF1840">
            <w:pPr>
              <w:jc w:val="center"/>
              <w:rPr>
                <w:rFonts w:ascii="Corbel" w:eastAsia="Times New Roman" w:hAnsi="Corbel" w:cs="Times New Roman"/>
                <w:sz w:val="20"/>
                <w:szCs w:val="20"/>
              </w:rPr>
            </w:pPr>
            <w:r>
              <w:rPr>
                <w:rFonts w:ascii="Corbel" w:eastAsia="Times New Roman" w:hAnsi="Corbel" w:cs="Times New Roman"/>
                <w:sz w:val="20"/>
                <w:szCs w:val="20"/>
              </w:rPr>
              <w:t>×</w:t>
            </w:r>
            <w:r w:rsidRPr="00AF1840">
              <w:rPr>
                <w:rFonts w:ascii="Corbel" w:eastAsia="Times New Roman" w:hAnsi="Corbel" w:cs="Times New Roman"/>
                <w:sz w:val="20"/>
                <w:szCs w:val="20"/>
              </w:rPr>
              <w:t xml:space="preserve"> </w:t>
            </w:r>
            <w:proofErr w:type="spellStart"/>
            <w:r w:rsidRPr="00AF1840">
              <w:rPr>
                <w:rFonts w:ascii="Corbel" w:eastAsia="Times New Roman" w:hAnsi="Corbel" w:cs="Times New Roman"/>
                <w:sz w:val="20"/>
                <w:szCs w:val="20"/>
              </w:rPr>
              <w:t>Hfr</w:t>
            </w:r>
            <w:proofErr w:type="spellEnd"/>
            <w:r w:rsidRPr="00AF1840">
              <w:rPr>
                <w:rFonts w:ascii="Corbel" w:eastAsia="Times New Roman" w:hAnsi="Corbel" w:cs="Times New Roman"/>
                <w:sz w:val="20"/>
                <w:szCs w:val="20"/>
              </w:rPr>
              <w:t xml:space="preserve"> KL226 to Pro</w:t>
            </w:r>
            <w:r w:rsidRPr="00AF1840">
              <w:rPr>
                <w:rFonts w:ascii="Corbel" w:eastAsia="Times New Roman" w:hAnsi="Corbel" w:cs="Times New Roman"/>
                <w:sz w:val="20"/>
                <w:szCs w:val="20"/>
                <w:vertAlign w:val="superscript"/>
              </w:rPr>
              <w:t>+</w:t>
            </w:r>
          </w:p>
        </w:tc>
      </w:tr>
      <w:tr w:rsidR="00AF1840" w:rsidRPr="002F3AC2" w:rsidTr="00542CE6">
        <w:trPr>
          <w:trHeight w:val="284"/>
        </w:trPr>
        <w:tc>
          <w:tcPr>
            <w:tcW w:w="1079" w:type="dxa"/>
            <w:tcBorders>
              <w:top w:val="nil"/>
              <w:left w:val="nil"/>
              <w:bottom w:val="nil"/>
              <w:right w:val="nil"/>
            </w:tcBorders>
            <w:shd w:val="clear" w:color="auto" w:fill="auto"/>
            <w:noWrap/>
            <w:vAlign w:val="center"/>
            <w:hideMark/>
          </w:tcPr>
          <w:p w:rsidR="00AF1840" w:rsidRPr="00AF1840" w:rsidRDefault="00AF1840" w:rsidP="00AF1840">
            <w:pPr>
              <w:jc w:val="center"/>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AF1840">
            <w:pPr>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bottom"/>
            <w:hideMark/>
          </w:tcPr>
          <w:p w:rsidR="00AF1840" w:rsidRPr="00AF1840" w:rsidRDefault="00AF1840" w:rsidP="00AF1840">
            <w:pPr>
              <w:rPr>
                <w:rFonts w:ascii="Corbel" w:eastAsia="Times New Roman" w:hAnsi="Corbel" w:cs="Times New Roman"/>
                <w:sz w:val="20"/>
                <w:szCs w:val="20"/>
              </w:rPr>
            </w:pPr>
          </w:p>
        </w:tc>
        <w:tc>
          <w:tcPr>
            <w:tcW w:w="1666" w:type="dxa"/>
            <w:vMerge/>
            <w:tcBorders>
              <w:top w:val="nil"/>
              <w:left w:val="nil"/>
              <w:bottom w:val="nil"/>
              <w:right w:val="nil"/>
            </w:tcBorders>
            <w:vAlign w:val="center"/>
            <w:hideMark/>
          </w:tcPr>
          <w:p w:rsidR="00AF1840" w:rsidRPr="00AF1840" w:rsidRDefault="00AF1840" w:rsidP="00AF1840">
            <w:pPr>
              <w:rPr>
                <w:rFonts w:ascii="Corbel" w:eastAsia="Times New Roman" w:hAnsi="Corbel" w:cs="Times New Roman"/>
                <w:sz w:val="20"/>
                <w:szCs w:val="20"/>
              </w:rPr>
            </w:pPr>
          </w:p>
        </w:tc>
        <w:tc>
          <w:tcPr>
            <w:tcW w:w="1756" w:type="dxa"/>
            <w:vMerge/>
            <w:tcBorders>
              <w:top w:val="nil"/>
              <w:left w:val="nil"/>
              <w:bottom w:val="nil"/>
              <w:right w:val="nil"/>
            </w:tcBorders>
            <w:vAlign w:val="center"/>
            <w:hideMark/>
          </w:tcPr>
          <w:p w:rsidR="00AF1840" w:rsidRPr="00AF1840" w:rsidRDefault="00AF1840" w:rsidP="00AF1840">
            <w:pPr>
              <w:rPr>
                <w:rFonts w:ascii="Corbel" w:eastAsia="Times New Roman" w:hAnsi="Corbel" w:cs="Times New Roman"/>
                <w:sz w:val="20"/>
                <w:szCs w:val="20"/>
              </w:rPr>
            </w:pPr>
          </w:p>
        </w:tc>
        <w:tc>
          <w:tcPr>
            <w:tcW w:w="1756" w:type="dxa"/>
            <w:vMerge/>
            <w:tcBorders>
              <w:top w:val="nil"/>
              <w:left w:val="nil"/>
              <w:bottom w:val="nil"/>
              <w:right w:val="nil"/>
            </w:tcBorders>
            <w:vAlign w:val="center"/>
            <w:hideMark/>
          </w:tcPr>
          <w:p w:rsidR="00AF1840" w:rsidRPr="00AF1840" w:rsidRDefault="00AF1840" w:rsidP="00AF1840">
            <w:pPr>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B15863" w:rsidP="00AF1840">
            <w:pPr>
              <w:jc w:val="center"/>
              <w:rPr>
                <w:rFonts w:ascii="Corbel" w:eastAsia="Times New Roman" w:hAnsi="Corbel" w:cs="Times New Roman"/>
                <w:sz w:val="20"/>
                <w:szCs w:val="20"/>
              </w:rPr>
            </w:pPr>
            <w:r w:rsidRPr="00B15863">
              <w:rPr>
                <w:rFonts w:ascii="Corbel" w:eastAsia="Times New Roman" w:hAnsi="Corbel" w:cs="Times New Roman"/>
                <w:sz w:val="20"/>
                <w:szCs w:val="20"/>
              </w:rPr>
              <w:t xml:space="preserve">λ </w:t>
            </w:r>
            <w:r w:rsidR="00AF1840" w:rsidRPr="00AF1840">
              <w:rPr>
                <w:rFonts w:ascii="Corbel" w:eastAsia="Times New Roman" w:hAnsi="Corbel" w:cs="Times New Roman"/>
                <w:sz w:val="20"/>
                <w:szCs w:val="20"/>
              </w:rPr>
              <w:t>plaques</w:t>
            </w:r>
          </w:p>
        </w:tc>
        <w:tc>
          <w:tcPr>
            <w:tcW w:w="1431" w:type="dxa"/>
            <w:tcBorders>
              <w:top w:val="nil"/>
              <w:left w:val="nil"/>
              <w:bottom w:val="nil"/>
              <w:right w:val="nil"/>
            </w:tcBorders>
            <w:shd w:val="clear" w:color="auto" w:fill="auto"/>
            <w:noWrap/>
            <w:vAlign w:val="center"/>
            <w:hideMark/>
          </w:tcPr>
          <w:p w:rsidR="00AF1840" w:rsidRPr="00AF1840" w:rsidRDefault="00AF1840" w:rsidP="00AF1840">
            <w:pPr>
              <w:jc w:val="center"/>
              <w:rPr>
                <w:rFonts w:ascii="Corbel" w:eastAsia="Times New Roman" w:hAnsi="Corbel" w:cs="Times New Roman"/>
                <w:sz w:val="20"/>
                <w:szCs w:val="20"/>
              </w:rPr>
            </w:pPr>
            <w:proofErr w:type="spellStart"/>
            <w:r w:rsidRPr="00AF1840">
              <w:rPr>
                <w:rFonts w:ascii="Corbel" w:eastAsia="Times New Roman" w:hAnsi="Corbel" w:cs="Times New Roman"/>
                <w:sz w:val="20"/>
                <w:szCs w:val="20"/>
              </w:rPr>
              <w:t>Thr</w:t>
            </w:r>
            <w:proofErr w:type="spellEnd"/>
            <w:r w:rsidRPr="00AF1840">
              <w:rPr>
                <w:rFonts w:ascii="Corbel" w:eastAsia="Times New Roman" w:hAnsi="Corbel" w:cs="Times New Roman"/>
                <w:sz w:val="20"/>
                <w:szCs w:val="20"/>
                <w:vertAlign w:val="superscript"/>
              </w:rPr>
              <w:t>+</w:t>
            </w:r>
            <w:r w:rsidRPr="00AF1840">
              <w:rPr>
                <w:rFonts w:ascii="Corbel" w:eastAsia="Times New Roman" w:hAnsi="Corbel" w:cs="Times New Roman"/>
                <w:sz w:val="20"/>
                <w:szCs w:val="20"/>
              </w:rPr>
              <w:t xml:space="preserve"> </w:t>
            </w:r>
            <w:proofErr w:type="spellStart"/>
            <w:r w:rsidRPr="00AF1840">
              <w:rPr>
                <w:rFonts w:ascii="Corbel" w:eastAsia="Times New Roman" w:hAnsi="Corbel" w:cs="Times New Roman"/>
                <w:sz w:val="20"/>
                <w:szCs w:val="20"/>
              </w:rPr>
              <w:t>Leu</w:t>
            </w:r>
            <w:proofErr w:type="spellEnd"/>
            <w:r w:rsidRPr="00AF1840">
              <w:rPr>
                <w:rFonts w:ascii="Corbel" w:eastAsia="Times New Roman" w:hAnsi="Corbel" w:cs="Times New Roman"/>
                <w:sz w:val="20"/>
                <w:szCs w:val="20"/>
                <w:vertAlign w:val="superscript"/>
              </w:rPr>
              <w:t>+</w:t>
            </w:r>
          </w:p>
        </w:tc>
        <w:tc>
          <w:tcPr>
            <w:tcW w:w="1800" w:type="dxa"/>
            <w:gridSpan w:val="2"/>
            <w:vMerge/>
            <w:tcBorders>
              <w:top w:val="nil"/>
              <w:left w:val="nil"/>
              <w:bottom w:val="nil"/>
              <w:right w:val="nil"/>
            </w:tcBorders>
            <w:vAlign w:val="center"/>
            <w:hideMark/>
          </w:tcPr>
          <w:p w:rsidR="00AF1840" w:rsidRPr="00AF1840" w:rsidRDefault="00AF1840" w:rsidP="00AF1840">
            <w:pPr>
              <w:rPr>
                <w:rFonts w:ascii="Corbel" w:eastAsia="Times New Roman" w:hAnsi="Corbel" w:cs="Times New Roman"/>
                <w:sz w:val="20"/>
                <w:szCs w:val="20"/>
              </w:rPr>
            </w:pPr>
          </w:p>
        </w:tc>
      </w:tr>
      <w:tr w:rsidR="00AF1840" w:rsidRPr="002F3AC2" w:rsidTr="00542CE6">
        <w:trPr>
          <w:trHeight w:hRule="exact" w:val="284"/>
        </w:trPr>
        <w:tc>
          <w:tcPr>
            <w:tcW w:w="1079" w:type="dxa"/>
            <w:tcBorders>
              <w:top w:val="single" w:sz="8"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single" w:sz="8"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single" w:sz="8"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single" w:sz="8"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8"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8"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single" w:sz="8"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single" w:sz="8"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single" w:sz="8"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AB1157</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ruv</w:t>
            </w:r>
            <w:proofErr w:type="spellEnd"/>
            <w:r w:rsidRPr="00AF1840">
              <w:rPr>
                <w:rFonts w:ascii="Corbel" w:eastAsia="Times New Roman" w:hAnsi="Corbel" w:cs="Times New Roman"/>
                <w:i/>
                <w:iCs/>
                <w:sz w:val="20"/>
                <w:szCs w:val="20"/>
                <w:vertAlign w:val="superscript"/>
              </w:rPr>
              <w:t>+</w:t>
            </w:r>
            <w:r w:rsidRPr="00AF1840">
              <w:rPr>
                <w:rFonts w:ascii="Corbel" w:eastAsia="Times New Roman" w:hAnsi="Corbel" w:cs="Times New Roman"/>
                <w:i/>
                <w:iCs/>
                <w:sz w:val="20"/>
                <w:szCs w:val="20"/>
              </w:rPr>
              <w:t xml:space="preserve"> </w:t>
            </w:r>
            <w:proofErr w:type="spellStart"/>
            <w:r w:rsidRPr="00AF1840">
              <w:rPr>
                <w:rFonts w:ascii="Corbel" w:eastAsia="Times New Roman" w:hAnsi="Corbel" w:cs="Times New Roman"/>
                <w:i/>
                <w:iCs/>
                <w:sz w:val="20"/>
                <w:szCs w:val="20"/>
              </w:rPr>
              <w:t>pri</w:t>
            </w:r>
            <w:proofErr w:type="spellEnd"/>
            <w:r w:rsidRPr="00AF1840">
              <w:rPr>
                <w:rFonts w:ascii="Corbel" w:eastAsia="Times New Roman" w:hAnsi="Corbel" w:cs="Times New Roman"/>
                <w:i/>
                <w:iCs/>
                <w:sz w:val="20"/>
                <w:szCs w:val="20"/>
                <w:vertAlign w:val="superscript"/>
              </w:rPr>
              <w:t>+</w:t>
            </w:r>
            <w:r w:rsidRPr="00AF1840">
              <w:rPr>
                <w:rFonts w:ascii="Corbel" w:eastAsia="Times New Roman" w:hAnsi="Corbel" w:cs="Times New Roman"/>
                <w:i/>
                <w:iCs/>
                <w:sz w:val="20"/>
                <w:szCs w:val="20"/>
              </w:rPr>
              <w:t xml:space="preserve"> rec</w:t>
            </w:r>
            <w:r w:rsidRPr="00AF1840">
              <w:rPr>
                <w:rFonts w:ascii="Corbel" w:eastAsia="Times New Roman" w:hAnsi="Corbel" w:cs="Times New Roman"/>
                <w:i/>
                <w:iCs/>
                <w:sz w:val="20"/>
                <w:szCs w:val="20"/>
                <w:vertAlign w:val="superscript"/>
              </w:rPr>
              <w:t>+</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3528FA">
            <w:pPr>
              <w:jc w:val="right"/>
              <w:rPr>
                <w:rFonts w:ascii="Corbel" w:eastAsia="Times New Roman" w:hAnsi="Corbel" w:cs="Times New Roman"/>
                <w:sz w:val="20"/>
                <w:szCs w:val="20"/>
              </w:rPr>
            </w:pPr>
            <w:r w:rsidRPr="00AF1840">
              <w:rPr>
                <w:rFonts w:ascii="Corbel" w:eastAsia="Times New Roman" w:hAnsi="Corbel" w:cs="Times New Roman"/>
                <w:sz w:val="20"/>
                <w:szCs w:val="20"/>
              </w:rPr>
              <w:t xml:space="preserve">Mean </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43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1.57E+08</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1.47E+07</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4.39E+06</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7.05E+06</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8.75E+06</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3528FA">
            <w:pPr>
              <w:jc w:val="right"/>
              <w:rPr>
                <w:rFonts w:ascii="Corbel" w:eastAsia="Times New Roman" w:hAnsi="Corbel" w:cs="Times New Roman"/>
                <w:sz w:val="20"/>
                <w:szCs w:val="20"/>
              </w:rPr>
            </w:pPr>
            <w:r w:rsidRPr="00AF1840">
              <w:rPr>
                <w:rFonts w:ascii="Corbel" w:eastAsia="Times New Roman" w:hAnsi="Corbel" w:cs="Times New Roman"/>
                <w:sz w:val="20"/>
                <w:szCs w:val="20"/>
              </w:rPr>
              <w:t xml:space="preserve">SE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4.84E+06</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6.63E+05</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4.27E+05</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3.22E+05</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4.25E+05</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AM2094</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w:t>
            </w:r>
            <w:proofErr w:type="spellStart"/>
            <w:r w:rsidRPr="00AF1840">
              <w:rPr>
                <w:rFonts w:ascii="Corbel" w:eastAsia="Times New Roman" w:hAnsi="Corbel" w:cs="Times New Roman"/>
                <w:i/>
                <w:iCs/>
                <w:sz w:val="20"/>
                <w:szCs w:val="20"/>
              </w:rPr>
              <w:t>recA</w:t>
            </w:r>
            <w:proofErr w:type="spellEnd"/>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0.60</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0.64</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0.000006</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0.000015</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0.081</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0.084</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0.281</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0.0000007</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0.000005</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AM2095</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w:t>
            </w:r>
            <w:proofErr w:type="spellStart"/>
            <w:r w:rsidRPr="00AF1840">
              <w:rPr>
                <w:rFonts w:ascii="Corbel" w:eastAsia="Times New Roman" w:hAnsi="Corbel" w:cs="Times New Roman"/>
                <w:i/>
                <w:iCs/>
                <w:sz w:val="20"/>
                <w:szCs w:val="20"/>
              </w:rPr>
              <w:t>recF</w:t>
            </w:r>
            <w:proofErr w:type="spellEnd"/>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0.81</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0.91</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0.78</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0.84</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0.17</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0.10</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0.16</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AM2123</w:t>
            </w:r>
          </w:p>
        </w:tc>
        <w:tc>
          <w:tcPr>
            <w:tcW w:w="27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ΔrecG</w:t>
            </w:r>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0.82</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0.70</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0.89</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0.35</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0.25</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0.08</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0.07</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0.07</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0.04</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AM2124</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ΔrecG</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0.28</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0.21</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0.67</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0.0018</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0.0014</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0.07</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0.10</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0.00063</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0.00025</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AM2125</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ΔrecG recF143</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7</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0.47</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0.98</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0.024</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0.015</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0.02</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0.003</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0.002</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AM2147</w:t>
            </w:r>
          </w:p>
        </w:tc>
        <w:tc>
          <w:tcPr>
            <w:tcW w:w="27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w:t>
            </w:r>
            <w:proofErr w:type="spellStart"/>
            <w:r w:rsidRPr="00AF1840">
              <w:rPr>
                <w:rFonts w:ascii="Corbel" w:eastAsia="Times New Roman" w:hAnsi="Corbel" w:cs="Times New Roman"/>
                <w:i/>
                <w:iCs/>
                <w:sz w:val="20"/>
                <w:szCs w:val="20"/>
              </w:rPr>
              <w:t>ΔrecR</w:t>
            </w:r>
            <w:proofErr w:type="spellEnd"/>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0.72</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0.77</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0.58</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0.45</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0.13</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0.02</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0.13</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0.11</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lastRenderedPageBreak/>
              <w:t>AM2148</w:t>
            </w:r>
          </w:p>
        </w:tc>
        <w:tc>
          <w:tcPr>
            <w:tcW w:w="27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w:t>
            </w:r>
            <w:proofErr w:type="spellStart"/>
            <w:r w:rsidRPr="00AF1840">
              <w:rPr>
                <w:rFonts w:ascii="Corbel" w:eastAsia="Times New Roman" w:hAnsi="Corbel" w:cs="Times New Roman"/>
                <w:i/>
                <w:iCs/>
                <w:sz w:val="20"/>
                <w:szCs w:val="20"/>
              </w:rPr>
              <w:t>ΔrecO</w:t>
            </w:r>
            <w:proofErr w:type="spellEnd"/>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0.68</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0.65</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0.74</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0.51</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0.52</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0.06</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0.18</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0.15</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0.09</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AM2149</w:t>
            </w:r>
          </w:p>
        </w:tc>
        <w:tc>
          <w:tcPr>
            <w:tcW w:w="27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recJ284</w:t>
            </w:r>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0.62</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0.82</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1.09</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0.49</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0.75</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0.22</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0.11</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0.06</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0.10</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AM2160</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ΔrecR</w:t>
            </w:r>
            <w:proofErr w:type="spellEnd"/>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0.98</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0.94</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0.85</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0.64</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0.12</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0.24</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0.27</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0.22</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0.14</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AM2161</w:t>
            </w:r>
          </w:p>
        </w:tc>
        <w:tc>
          <w:tcPr>
            <w:tcW w:w="27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ΔrecO</w:t>
            </w:r>
            <w:proofErr w:type="spellEnd"/>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0.89</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0.87</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0.71</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0.66</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0.18</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0.02</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0.04</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0.10</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N2446</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recJ284</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0.92</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0.85</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0.96</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0.72</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0.72</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0.12</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0.22</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0.07</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0.07</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N4361</w:t>
            </w:r>
          </w:p>
        </w:tc>
        <w:tc>
          <w:tcPr>
            <w:tcW w:w="27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recF143</w:t>
            </w:r>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w:t>
            </w: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1.01</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0.81</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1.03</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0.78</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0.62</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0.11</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0.10</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0.17</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0.02</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0.06</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N4454</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0.77</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0.73</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0.45</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0.45</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0.06</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0.13</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0.12</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0.06</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N4549</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Pr>
                <w:rFonts w:ascii="Corbel" w:eastAsia="Times New Roman" w:hAnsi="Corbel" w:cs="Times New Roman"/>
                <w:i/>
                <w:iCs/>
                <w:sz w:val="20"/>
                <w:szCs w:val="20"/>
              </w:rPr>
              <w:t xml:space="preserve"> </w:t>
            </w:r>
            <w:r w:rsidRPr="00AF1840">
              <w:rPr>
                <w:rFonts w:ascii="Corbel" w:eastAsia="Times New Roman" w:hAnsi="Corbel" w:cs="Times New Roman"/>
                <w:i/>
                <w:iCs/>
                <w:sz w:val="20"/>
                <w:szCs w:val="20"/>
              </w:rPr>
              <w:t>ΔrecG263::</w:t>
            </w:r>
            <w:proofErr w:type="spellStart"/>
            <w:r w:rsidRPr="00AF1840">
              <w:rPr>
                <w:rFonts w:ascii="Corbel" w:eastAsia="Times New Roman" w:hAnsi="Corbel" w:cs="Times New Roman"/>
                <w:i/>
                <w:iCs/>
                <w:sz w:val="20"/>
                <w:szCs w:val="20"/>
              </w:rPr>
              <w:t>kan</w:t>
            </w:r>
            <w:proofErr w:type="spellEnd"/>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0.15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0.13</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0.47</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0.0009</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0.0007</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0.11</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0.0001</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0.0001</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N5501</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priA300</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0.90</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0.81</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0.75</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0.76</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0.12</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0.11</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0.06</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0.02</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0.13</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N5510</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w:t>
            </w:r>
            <w:proofErr w:type="spellStart"/>
            <w:r w:rsidRPr="00AF1840">
              <w:rPr>
                <w:rFonts w:ascii="Corbel" w:eastAsia="Times New Roman" w:hAnsi="Corbel" w:cs="Times New Roman"/>
                <w:i/>
                <w:iCs/>
                <w:sz w:val="20"/>
                <w:szCs w:val="20"/>
              </w:rPr>
              <w:t>ΔruvABC</w:t>
            </w:r>
            <w:proofErr w:type="spellEnd"/>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0.31</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0.29</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0.74</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0.067</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0.065</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0.06</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0.04</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0.001</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lastRenderedPageBreak/>
              <w:t>N5512</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priA300 ΔrecG</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0.86</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0.89</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0.80</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0.76</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0.81</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0.08</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0.06</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0.02</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N5516</w:t>
            </w:r>
          </w:p>
        </w:tc>
        <w:tc>
          <w:tcPr>
            <w:tcW w:w="27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priA300 ruvABC recG263</w:t>
            </w:r>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0.06</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0.06</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0.59</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0.00041</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0.0012</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0.20</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0.0001</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0.0002</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N7079</w:t>
            </w:r>
          </w:p>
        </w:tc>
        <w:tc>
          <w:tcPr>
            <w:tcW w:w="27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ΔrecQ</w:t>
            </w:r>
            <w:proofErr w:type="spellEnd"/>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1.01</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0.93</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0.79</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0.89</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0.98</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0.16</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0.12</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0.12</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0.10</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0.09</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N7082</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w:t>
            </w:r>
            <w:proofErr w:type="spellStart"/>
            <w:r w:rsidRPr="00AF1840">
              <w:rPr>
                <w:rFonts w:ascii="Corbel" w:eastAsia="Times New Roman" w:hAnsi="Corbel" w:cs="Times New Roman"/>
                <w:i/>
                <w:iCs/>
                <w:sz w:val="20"/>
                <w:szCs w:val="20"/>
              </w:rPr>
              <w:t>ΔrecQ</w:t>
            </w:r>
            <w:proofErr w:type="spellEnd"/>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0.67</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0.68</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0.87</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0.48</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0.57</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0.12</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0.21</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0.09</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0.04</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N7753</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w:t>
            </w:r>
            <w:proofErr w:type="spellStart"/>
            <w:r w:rsidRPr="00AF1840">
              <w:rPr>
                <w:rFonts w:ascii="Corbel" w:eastAsia="Times New Roman" w:hAnsi="Corbel" w:cs="Times New Roman"/>
                <w:i/>
                <w:iCs/>
                <w:sz w:val="20"/>
                <w:szCs w:val="20"/>
              </w:rPr>
              <w:t>recF</w:t>
            </w:r>
            <w:proofErr w:type="spellEnd"/>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0.98</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0.75</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1.05</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0.67</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0.75</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0.11</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0.11</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0.18</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N7755</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w:t>
            </w:r>
            <w:proofErr w:type="spellStart"/>
            <w:r w:rsidRPr="00AF1840">
              <w:rPr>
                <w:rFonts w:ascii="Corbel" w:eastAsia="Times New Roman" w:hAnsi="Corbel" w:cs="Times New Roman"/>
                <w:i/>
                <w:iCs/>
                <w:sz w:val="20"/>
                <w:szCs w:val="20"/>
              </w:rPr>
              <w:t>recF</w:t>
            </w:r>
            <w:proofErr w:type="spellEnd"/>
            <w:r w:rsidRPr="00AF1840">
              <w:rPr>
                <w:rFonts w:ascii="Corbel" w:eastAsia="Times New Roman" w:hAnsi="Corbel" w:cs="Times New Roman"/>
                <w:i/>
                <w:iCs/>
                <w:sz w:val="20"/>
                <w:szCs w:val="20"/>
              </w:rPr>
              <w:t xml:space="preserve"> recG ruvABC</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12</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0.59</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0.70</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0.12</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0.13</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0.04</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N7759</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w:t>
            </w:r>
            <w:proofErr w:type="spellStart"/>
            <w:r w:rsidRPr="00AF1840">
              <w:rPr>
                <w:rFonts w:ascii="Corbel" w:eastAsia="Times New Roman" w:hAnsi="Corbel" w:cs="Times New Roman"/>
                <w:i/>
                <w:iCs/>
                <w:sz w:val="20"/>
                <w:szCs w:val="20"/>
              </w:rPr>
              <w:t>recF</w:t>
            </w:r>
            <w:proofErr w:type="spellEnd"/>
            <w:r w:rsidRPr="00AF1840">
              <w:rPr>
                <w:rFonts w:ascii="Corbel" w:eastAsia="Times New Roman" w:hAnsi="Corbel" w:cs="Times New Roman"/>
                <w:i/>
                <w:iCs/>
                <w:sz w:val="20"/>
                <w:szCs w:val="20"/>
              </w:rPr>
              <w:t xml:space="preserve"> recG263</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0.82</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0.79</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0.89</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0.48</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0.63</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0.08</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0.06</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0.12</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N7774</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w:t>
            </w:r>
            <w:proofErr w:type="spellStart"/>
            <w:r w:rsidRPr="00AF1840">
              <w:rPr>
                <w:rFonts w:ascii="Corbel" w:eastAsia="Times New Roman" w:hAnsi="Corbel" w:cs="Times New Roman"/>
                <w:i/>
                <w:iCs/>
                <w:sz w:val="20"/>
                <w:szCs w:val="20"/>
              </w:rPr>
              <w:t>recO</w:t>
            </w:r>
            <w:proofErr w:type="spellEnd"/>
            <w:r w:rsidRPr="00AF1840">
              <w:rPr>
                <w:rFonts w:ascii="Corbel" w:eastAsia="Times New Roman" w:hAnsi="Corbel" w:cs="Times New Roman"/>
                <w:i/>
                <w:iCs/>
                <w:sz w:val="20"/>
                <w:szCs w:val="20"/>
              </w:rPr>
              <w:t xml:space="preserve"> recG ruvABC</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0.68</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0.39</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0.48</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0.11</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0.13</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0.05</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0.11</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0.02</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N7775</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w:t>
            </w:r>
            <w:proofErr w:type="spellStart"/>
            <w:r w:rsidRPr="00AF1840">
              <w:rPr>
                <w:rFonts w:ascii="Corbel" w:eastAsia="Times New Roman" w:hAnsi="Corbel" w:cs="Times New Roman"/>
                <w:i/>
                <w:iCs/>
                <w:sz w:val="20"/>
                <w:szCs w:val="20"/>
              </w:rPr>
              <w:t>recR</w:t>
            </w:r>
            <w:proofErr w:type="spellEnd"/>
            <w:r w:rsidRPr="00AF1840">
              <w:rPr>
                <w:rFonts w:ascii="Corbel" w:eastAsia="Times New Roman" w:hAnsi="Corbel" w:cs="Times New Roman"/>
                <w:i/>
                <w:iCs/>
                <w:sz w:val="20"/>
                <w:szCs w:val="20"/>
              </w:rPr>
              <w:t xml:space="preserve"> recG ruvABC</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6</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0.59</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0.49</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0.68</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0.12</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0.03</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0.04</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0.10</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0.08</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0.02</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0.004</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N7780</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w:t>
            </w:r>
            <w:proofErr w:type="spellStart"/>
            <w:r w:rsidRPr="00AF1840">
              <w:rPr>
                <w:rFonts w:ascii="Corbel" w:eastAsia="Times New Roman" w:hAnsi="Corbel" w:cs="Times New Roman"/>
                <w:i/>
                <w:iCs/>
                <w:sz w:val="20"/>
                <w:szCs w:val="20"/>
              </w:rPr>
              <w:t>recJ</w:t>
            </w:r>
            <w:proofErr w:type="spellEnd"/>
            <w:r w:rsidRPr="00AF1840">
              <w:rPr>
                <w:rFonts w:ascii="Corbel" w:eastAsia="Times New Roman" w:hAnsi="Corbel" w:cs="Times New Roman"/>
                <w:i/>
                <w:iCs/>
                <w:sz w:val="20"/>
                <w:szCs w:val="20"/>
              </w:rPr>
              <w:t xml:space="preserve"> recG ruvABC</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0.28</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0.35</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0.28</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0.02</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0.02</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0.04</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0.14</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0.004</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lastRenderedPageBreak/>
              <w:t>N7781</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w:t>
            </w:r>
            <w:proofErr w:type="spellStart"/>
            <w:r w:rsidRPr="00AF1840">
              <w:rPr>
                <w:rFonts w:ascii="Corbel" w:eastAsia="Times New Roman" w:hAnsi="Corbel" w:cs="Times New Roman"/>
                <w:i/>
                <w:iCs/>
                <w:sz w:val="20"/>
                <w:szCs w:val="20"/>
              </w:rPr>
              <w:t>recQ</w:t>
            </w:r>
            <w:proofErr w:type="spellEnd"/>
            <w:r w:rsidRPr="00AF1840">
              <w:rPr>
                <w:rFonts w:ascii="Corbel" w:eastAsia="Times New Roman" w:hAnsi="Corbel" w:cs="Times New Roman"/>
                <w:i/>
                <w:iCs/>
                <w:sz w:val="20"/>
                <w:szCs w:val="20"/>
              </w:rPr>
              <w:t xml:space="preserve"> recG ruvABC</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0.25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0.24</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0.55</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0.02</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0.02</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0.07</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0.01</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0.08</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0.001</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0.0005</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N7782</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w:t>
            </w:r>
            <w:proofErr w:type="spellStart"/>
            <w:r w:rsidRPr="00AF1840">
              <w:rPr>
                <w:rFonts w:ascii="Corbel" w:eastAsia="Times New Roman" w:hAnsi="Corbel" w:cs="Times New Roman"/>
                <w:i/>
                <w:iCs/>
                <w:sz w:val="20"/>
                <w:szCs w:val="20"/>
              </w:rPr>
              <w:t>recF</w:t>
            </w:r>
            <w:proofErr w:type="spellEnd"/>
            <w:r w:rsidRPr="00AF1840">
              <w:rPr>
                <w:rFonts w:ascii="Corbel" w:eastAsia="Times New Roman" w:hAnsi="Corbel" w:cs="Times New Roman"/>
                <w:i/>
                <w:iCs/>
                <w:sz w:val="20"/>
                <w:szCs w:val="20"/>
              </w:rPr>
              <w:t xml:space="preserve"> ruvABC</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0.91</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0.61</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0.53</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0.51</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0.08</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0.16</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0.09</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0.11</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0.04</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N7875*</w:t>
            </w:r>
          </w:p>
        </w:tc>
        <w:tc>
          <w:tcPr>
            <w:tcW w:w="2715" w:type="dxa"/>
            <w:vMerge w:val="restart"/>
            <w:tcBorders>
              <w:top w:val="single" w:sz="4" w:space="0" w:color="auto"/>
              <w:left w:val="nil"/>
              <w:bottom w:val="nil"/>
              <w:right w:val="nil"/>
            </w:tcBorders>
            <w:shd w:val="clear" w:color="auto" w:fill="auto"/>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recG </w:t>
            </w:r>
            <w:proofErr w:type="spellStart"/>
            <w:r w:rsidRPr="00AF1840">
              <w:rPr>
                <w:rFonts w:ascii="Corbel" w:eastAsia="Times New Roman" w:hAnsi="Corbel" w:cs="Times New Roman"/>
                <w:i/>
                <w:iCs/>
                <w:sz w:val="20"/>
                <w:szCs w:val="20"/>
              </w:rPr>
              <w:t>recO</w:t>
            </w:r>
            <w:proofErr w:type="spellEnd"/>
            <w:r w:rsidRPr="00AF1840">
              <w:rPr>
                <w:rFonts w:ascii="Corbel" w:eastAsia="Times New Roman" w:hAnsi="Corbel" w:cs="Times New Roman"/>
                <w:i/>
                <w:iCs/>
                <w:sz w:val="20"/>
                <w:szCs w:val="20"/>
              </w:rPr>
              <w:t xml:space="preserve"> ruvABC recB</w:t>
            </w:r>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vMerge/>
            <w:tcBorders>
              <w:top w:val="nil"/>
              <w:left w:val="nil"/>
              <w:bottom w:val="nil"/>
              <w:right w:val="nil"/>
            </w:tcBorders>
            <w:vAlign w:val="center"/>
            <w:hideMark/>
          </w:tcPr>
          <w:p w:rsidR="00AF1840" w:rsidRPr="00AF1840" w:rsidRDefault="00AF1840" w:rsidP="00B15863">
            <w:pPr>
              <w:jc w:val="left"/>
              <w:rPr>
                <w:rFonts w:ascii="Corbel" w:eastAsia="Times New Roman" w:hAnsi="Corbel" w:cs="Times New Roman"/>
                <w:i/>
                <w:iCs/>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0.45</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0.43</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1.12</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0.00040</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0.00043</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0.09</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0.19</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0.00003</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0.000005</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N7876*</w:t>
            </w:r>
          </w:p>
        </w:tc>
        <w:tc>
          <w:tcPr>
            <w:tcW w:w="2715" w:type="dxa"/>
            <w:vMerge w:val="restart"/>
            <w:tcBorders>
              <w:top w:val="double" w:sz="6" w:space="0" w:color="auto"/>
              <w:left w:val="nil"/>
              <w:bottom w:val="nil"/>
              <w:right w:val="nil"/>
            </w:tcBorders>
            <w:shd w:val="clear" w:color="auto" w:fill="auto"/>
            <w:vAlign w:val="center"/>
            <w:hideMark/>
          </w:tcPr>
          <w:p w:rsidR="00AF1840" w:rsidRPr="00AF1840" w:rsidRDefault="00AF1840" w:rsidP="00B15863">
            <w:pPr>
              <w:jc w:val="left"/>
              <w:rPr>
                <w:rFonts w:ascii="Corbel" w:eastAsia="Times New Roman" w:hAnsi="Corbel" w:cs="Times New Roman"/>
                <w:i/>
                <w:iCs/>
                <w:sz w:val="20"/>
                <w:szCs w:val="20"/>
              </w:rPr>
            </w:pPr>
            <w:r w:rsidRPr="00AF1840">
              <w:rPr>
                <w:rFonts w:ascii="Corbel" w:eastAsia="Times New Roman" w:hAnsi="Corbel" w:cs="Times New Roman"/>
                <w:i/>
                <w:iCs/>
                <w:sz w:val="20"/>
                <w:szCs w:val="20"/>
              </w:rPr>
              <w:t xml:space="preserve">priA300 recG </w:t>
            </w:r>
            <w:proofErr w:type="spellStart"/>
            <w:r w:rsidRPr="00AF1840">
              <w:rPr>
                <w:rFonts w:ascii="Corbel" w:eastAsia="Times New Roman" w:hAnsi="Corbel" w:cs="Times New Roman"/>
                <w:i/>
                <w:iCs/>
                <w:sz w:val="20"/>
                <w:szCs w:val="20"/>
              </w:rPr>
              <w:t>recR</w:t>
            </w:r>
            <w:proofErr w:type="spellEnd"/>
            <w:r w:rsidRPr="00AF1840">
              <w:rPr>
                <w:rFonts w:ascii="Corbel" w:eastAsia="Times New Roman" w:hAnsi="Corbel" w:cs="Times New Roman"/>
                <w:i/>
                <w:iCs/>
                <w:sz w:val="20"/>
                <w:szCs w:val="20"/>
              </w:rPr>
              <w:t xml:space="preserve"> ruvABC recB</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vMerge/>
            <w:tcBorders>
              <w:top w:val="double" w:sz="6" w:space="0" w:color="auto"/>
              <w:left w:val="nil"/>
              <w:bottom w:val="nil"/>
              <w:right w:val="nil"/>
            </w:tcBorders>
            <w:vAlign w:val="center"/>
            <w:hideMark/>
          </w:tcPr>
          <w:p w:rsidR="00AF1840" w:rsidRPr="00AF1840" w:rsidRDefault="00AF1840" w:rsidP="00B15863">
            <w:pPr>
              <w:jc w:val="left"/>
              <w:rPr>
                <w:rFonts w:ascii="Corbel" w:eastAsia="Times New Roman" w:hAnsi="Corbel" w:cs="Times New Roman"/>
                <w:i/>
                <w:iCs/>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0.48</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0.47</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1.00</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0.00048</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0.00024</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0.09</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0.15</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0.00003</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0.00003</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N7945</w:t>
            </w: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rus-2</w:t>
            </w: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0.84</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1.02</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1.07</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1.04</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1.01</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0.08</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0.09</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0.13</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0.03</w:t>
            </w:r>
          </w:p>
        </w:tc>
      </w:tr>
      <w:tr w:rsidR="00AF1840" w:rsidRPr="002F3AC2" w:rsidTr="00542CE6">
        <w:trPr>
          <w:trHeight w:hRule="exact" w:val="284"/>
        </w:trPr>
        <w:tc>
          <w:tcPr>
            <w:tcW w:w="1079"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N7959</w:t>
            </w:r>
          </w:p>
        </w:tc>
        <w:tc>
          <w:tcPr>
            <w:tcW w:w="27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roofErr w:type="spellStart"/>
            <w:r w:rsidRPr="00AF1840">
              <w:rPr>
                <w:rFonts w:ascii="Corbel" w:eastAsia="Times New Roman" w:hAnsi="Corbel" w:cs="Times New Roman"/>
                <w:i/>
                <w:iCs/>
                <w:sz w:val="20"/>
                <w:szCs w:val="20"/>
              </w:rPr>
              <w:t>ΔruvABC</w:t>
            </w:r>
            <w:proofErr w:type="spellEnd"/>
            <w:r w:rsidRPr="00AF1840">
              <w:rPr>
                <w:rFonts w:ascii="Corbel" w:eastAsia="Times New Roman" w:hAnsi="Corbel" w:cs="Times New Roman"/>
                <w:i/>
                <w:iCs/>
                <w:sz w:val="20"/>
                <w:szCs w:val="20"/>
              </w:rPr>
              <w:t xml:space="preserve"> rus-1</w:t>
            </w:r>
          </w:p>
        </w:tc>
        <w:tc>
          <w:tcPr>
            <w:tcW w:w="42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i/>
                <w:iCs/>
                <w:sz w:val="20"/>
                <w:szCs w:val="20"/>
              </w:rPr>
            </w:pPr>
          </w:p>
        </w:tc>
        <w:tc>
          <w:tcPr>
            <w:tcW w:w="166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315"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431" w:type="dxa"/>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800" w:type="dxa"/>
            <w:gridSpan w:val="2"/>
            <w:tcBorders>
              <w:top w:val="single" w:sz="4" w:space="0" w:color="auto"/>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r>
      <w:tr w:rsidR="00AF1840" w:rsidRPr="002F3AC2" w:rsidTr="00542CE6">
        <w:trPr>
          <w:trHeight w:hRule="exact" w:val="284"/>
        </w:trPr>
        <w:tc>
          <w:tcPr>
            <w:tcW w:w="1079"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27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42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p>
        </w:tc>
        <w:tc>
          <w:tcPr>
            <w:tcW w:w="166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0.93</w:t>
            </w:r>
          </w:p>
        </w:tc>
        <w:tc>
          <w:tcPr>
            <w:tcW w:w="1756"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1.18</w:t>
            </w:r>
          </w:p>
        </w:tc>
        <w:tc>
          <w:tcPr>
            <w:tcW w:w="1315"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1.42</w:t>
            </w:r>
          </w:p>
        </w:tc>
        <w:tc>
          <w:tcPr>
            <w:tcW w:w="1431" w:type="dxa"/>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1.04</w:t>
            </w:r>
          </w:p>
        </w:tc>
        <w:tc>
          <w:tcPr>
            <w:tcW w:w="1800" w:type="dxa"/>
            <w:gridSpan w:val="2"/>
            <w:tcBorders>
              <w:top w:val="nil"/>
              <w:left w:val="nil"/>
              <w:bottom w:val="nil"/>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b/>
                <w:bCs/>
                <w:sz w:val="20"/>
                <w:szCs w:val="20"/>
              </w:rPr>
            </w:pPr>
            <w:r w:rsidRPr="00AF1840">
              <w:rPr>
                <w:rFonts w:ascii="Corbel" w:eastAsia="Times New Roman" w:hAnsi="Corbel" w:cs="Times New Roman"/>
                <w:b/>
                <w:bCs/>
                <w:sz w:val="20"/>
                <w:szCs w:val="20"/>
              </w:rPr>
              <w:t>1.10</w:t>
            </w:r>
          </w:p>
        </w:tc>
      </w:tr>
      <w:tr w:rsidR="00AF1840" w:rsidRPr="002F3AC2" w:rsidTr="00542CE6">
        <w:trPr>
          <w:trHeight w:hRule="exact" w:val="284"/>
        </w:trPr>
        <w:tc>
          <w:tcPr>
            <w:tcW w:w="1079"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27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42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66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 </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0.07</w:t>
            </w:r>
          </w:p>
        </w:tc>
        <w:tc>
          <w:tcPr>
            <w:tcW w:w="1756"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0.21</w:t>
            </w:r>
          </w:p>
        </w:tc>
        <w:tc>
          <w:tcPr>
            <w:tcW w:w="1315"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0.20</w:t>
            </w:r>
          </w:p>
        </w:tc>
        <w:tc>
          <w:tcPr>
            <w:tcW w:w="1431" w:type="dxa"/>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0.15</w:t>
            </w:r>
          </w:p>
        </w:tc>
        <w:tc>
          <w:tcPr>
            <w:tcW w:w="1800" w:type="dxa"/>
            <w:gridSpan w:val="2"/>
            <w:tcBorders>
              <w:top w:val="nil"/>
              <w:left w:val="nil"/>
              <w:bottom w:val="single" w:sz="4" w:space="0" w:color="auto"/>
              <w:right w:val="nil"/>
            </w:tcBorders>
            <w:shd w:val="clear" w:color="auto" w:fill="auto"/>
            <w:noWrap/>
            <w:vAlign w:val="center"/>
            <w:hideMark/>
          </w:tcPr>
          <w:p w:rsidR="00AF1840" w:rsidRPr="00AF1840" w:rsidRDefault="00AF1840" w:rsidP="00B15863">
            <w:pPr>
              <w:jc w:val="left"/>
              <w:rPr>
                <w:rFonts w:ascii="Corbel" w:eastAsia="Times New Roman" w:hAnsi="Corbel" w:cs="Times New Roman"/>
                <w:sz w:val="20"/>
                <w:szCs w:val="20"/>
              </w:rPr>
            </w:pPr>
            <w:r w:rsidRPr="00AF1840">
              <w:rPr>
                <w:rFonts w:ascii="Corbel" w:eastAsia="Times New Roman" w:hAnsi="Corbel" w:cs="Times New Roman"/>
                <w:sz w:val="20"/>
                <w:szCs w:val="20"/>
              </w:rPr>
              <w:t>0.18</w:t>
            </w:r>
          </w:p>
        </w:tc>
      </w:tr>
      <w:tr w:rsidR="00AF1840" w:rsidRPr="002F3AC2" w:rsidTr="00AF1840">
        <w:trPr>
          <w:trHeight w:val="1540"/>
        </w:trPr>
        <w:tc>
          <w:tcPr>
            <w:tcW w:w="13943" w:type="dxa"/>
            <w:gridSpan w:val="10"/>
            <w:tcBorders>
              <w:top w:val="nil"/>
              <w:left w:val="nil"/>
              <w:bottom w:val="nil"/>
              <w:right w:val="nil"/>
            </w:tcBorders>
            <w:shd w:val="clear" w:color="auto" w:fill="auto"/>
            <w:vAlign w:val="center"/>
            <w:hideMark/>
          </w:tcPr>
          <w:p w:rsidR="00AF1840" w:rsidRDefault="00AF1840" w:rsidP="00A02659">
            <w:pPr>
              <w:spacing w:before="80" w:after="120"/>
              <w:jc w:val="left"/>
              <w:rPr>
                <w:rFonts w:eastAsia="Times New Roman" w:cs="Times New Roman"/>
                <w:sz w:val="16"/>
                <w:szCs w:val="16"/>
              </w:rPr>
            </w:pPr>
            <w:r w:rsidRPr="00AF1840">
              <w:rPr>
                <w:rFonts w:eastAsia="Times New Roman" w:cs="Times New Roman"/>
                <w:sz w:val="16"/>
                <w:szCs w:val="16"/>
              </w:rPr>
              <w:t xml:space="preserve">Mating in conjugational crosses was for 30 (KL548), 40 (KL226) or 60 (GY2200) min and the </w:t>
            </w:r>
            <w:proofErr w:type="spellStart"/>
            <w:r w:rsidRPr="00AF1840">
              <w:rPr>
                <w:rFonts w:eastAsia="Times New Roman" w:cs="Times New Roman"/>
                <w:sz w:val="16"/>
                <w:szCs w:val="16"/>
              </w:rPr>
              <w:t>transconjugant</w:t>
            </w:r>
            <w:proofErr w:type="spellEnd"/>
            <w:r w:rsidRPr="00AF1840">
              <w:rPr>
                <w:rFonts w:eastAsia="Times New Roman" w:cs="Times New Roman"/>
                <w:sz w:val="16"/>
                <w:szCs w:val="16"/>
              </w:rPr>
              <w:t xml:space="preserve"> class selected is as indicated. Values for wild type control strain AB1157 are set at 1, with the actual mean values over all experiments shown below ± standard errors (SE) as indicated. Mutant str</w:t>
            </w:r>
            <w:r>
              <w:rPr>
                <w:rFonts w:eastAsia="Times New Roman" w:cs="Times New Roman"/>
                <w:sz w:val="16"/>
                <w:szCs w:val="16"/>
              </w:rPr>
              <w:t>ains were tested in groups of 3–</w:t>
            </w:r>
            <w:r w:rsidRPr="00AF1840">
              <w:rPr>
                <w:rFonts w:eastAsia="Times New Roman" w:cs="Times New Roman"/>
                <w:sz w:val="16"/>
                <w:szCs w:val="16"/>
              </w:rPr>
              <w:t xml:space="preserve">5 in parallel with AB1157 and the values shown in bold are mean yields relative to AB1157 in each of 3 or more independent experiments as indicated, with standard errors shown below the mean. ND = not determined. </w:t>
            </w:r>
          </w:p>
          <w:p w:rsidR="00AF1840" w:rsidRPr="00AF1840" w:rsidRDefault="00AF1840" w:rsidP="00A02659">
            <w:pPr>
              <w:spacing w:before="80" w:after="120"/>
              <w:jc w:val="left"/>
              <w:rPr>
                <w:rFonts w:eastAsia="Times New Roman" w:cs="Times New Roman"/>
                <w:sz w:val="16"/>
                <w:szCs w:val="16"/>
              </w:rPr>
            </w:pPr>
            <w:r w:rsidRPr="00AF1840">
              <w:rPr>
                <w:rFonts w:eastAsia="Times New Roman" w:cs="Times New Roman"/>
                <w:sz w:val="16"/>
                <w:szCs w:val="16"/>
              </w:rPr>
              <w:t xml:space="preserve">*In these crosses, </w:t>
            </w:r>
            <w:proofErr w:type="spellStart"/>
            <w:r w:rsidRPr="00AF1840">
              <w:rPr>
                <w:rFonts w:eastAsia="Times New Roman" w:cs="Times New Roman"/>
                <w:sz w:val="16"/>
                <w:szCs w:val="16"/>
              </w:rPr>
              <w:t>Hfr</w:t>
            </w:r>
            <w:proofErr w:type="spellEnd"/>
            <w:r w:rsidRPr="00AF1840">
              <w:rPr>
                <w:rFonts w:eastAsia="Times New Roman" w:cs="Times New Roman"/>
                <w:sz w:val="16"/>
                <w:szCs w:val="16"/>
              </w:rPr>
              <w:t xml:space="preserve"> KL226 was replaced with </w:t>
            </w:r>
            <w:proofErr w:type="spellStart"/>
            <w:r w:rsidRPr="00AF1840">
              <w:rPr>
                <w:rFonts w:eastAsia="Times New Roman" w:cs="Times New Roman"/>
                <w:sz w:val="16"/>
                <w:szCs w:val="16"/>
              </w:rPr>
              <w:t>Hfr</w:t>
            </w:r>
            <w:proofErr w:type="spellEnd"/>
            <w:r w:rsidRPr="00AF1840">
              <w:rPr>
                <w:rFonts w:eastAsia="Times New Roman" w:cs="Times New Roman"/>
                <w:sz w:val="16"/>
                <w:szCs w:val="16"/>
              </w:rPr>
              <w:t xml:space="preserve"> KL227, which transfers in the same direction, but from a different point of F insertion such that, unlike KL226, it does not transfer the </w:t>
            </w:r>
            <w:proofErr w:type="spellStart"/>
            <w:r w:rsidRPr="00AF1840">
              <w:rPr>
                <w:rFonts w:eastAsia="Times New Roman" w:cs="Times New Roman"/>
                <w:i/>
                <w:iCs/>
                <w:sz w:val="16"/>
                <w:szCs w:val="16"/>
              </w:rPr>
              <w:t>recR</w:t>
            </w:r>
            <w:proofErr w:type="spellEnd"/>
            <w:r w:rsidRPr="00AF1840">
              <w:rPr>
                <w:rFonts w:eastAsia="Times New Roman" w:cs="Times New Roman"/>
                <w:sz w:val="16"/>
                <w:szCs w:val="16"/>
              </w:rPr>
              <w:t xml:space="preserve"> gene as an early marker.</w:t>
            </w:r>
          </w:p>
        </w:tc>
      </w:tr>
    </w:tbl>
    <w:p w:rsidR="00AF1840" w:rsidRDefault="00AF1840" w:rsidP="00AF1840"/>
    <w:p w:rsidR="00AF1840" w:rsidRDefault="00AF1840">
      <w:pPr>
        <w:spacing w:after="200" w:line="276" w:lineRule="auto"/>
        <w:jc w:val="left"/>
        <w:rPr>
          <w:rFonts w:ascii="Corbel" w:eastAsiaTheme="majorEastAsia" w:hAnsi="Corbel" w:cstheme="majorBidi"/>
          <w:b/>
          <w:bCs/>
          <w:color w:val="244061" w:themeColor="accent1" w:themeShade="80"/>
          <w:sz w:val="30"/>
          <w:szCs w:val="28"/>
        </w:rPr>
      </w:pPr>
    </w:p>
    <w:p w:rsidR="00AF1840" w:rsidRDefault="00AF1840" w:rsidP="00AF1840">
      <w:pPr>
        <w:pStyle w:val="NormalIndent1"/>
      </w:pPr>
    </w:p>
    <w:p w:rsidR="00AF1840" w:rsidRPr="00AF1840" w:rsidRDefault="00AF1840" w:rsidP="00AF1840">
      <w:pPr>
        <w:pStyle w:val="NormalIndent1"/>
        <w:sectPr w:rsidR="00AF1840" w:rsidRPr="00AF1840" w:rsidSect="00AF1840">
          <w:pgSz w:w="16838" w:h="11906" w:orient="landscape" w:code="9"/>
          <w:pgMar w:top="1588" w:right="1440" w:bottom="1588" w:left="1985" w:header="709" w:footer="709" w:gutter="0"/>
          <w:cols w:space="708"/>
          <w:docGrid w:linePitch="360"/>
        </w:sectPr>
      </w:pPr>
    </w:p>
    <w:p w:rsidR="003E42B4" w:rsidRDefault="003E42B4" w:rsidP="003E42B4">
      <w:pPr>
        <w:pStyle w:val="Heading2"/>
      </w:pPr>
      <w:r>
        <w:lastRenderedPageBreak/>
        <w:t>Table S4</w:t>
      </w:r>
      <w:r w:rsidRPr="004658E5">
        <w:t>. Escherichia coli K-12 strains</w:t>
      </w:r>
    </w:p>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683"/>
        <w:gridCol w:w="3357"/>
      </w:tblGrid>
      <w:tr w:rsidR="003E42B4" w:rsidRPr="00D65B41" w:rsidTr="003E42B4">
        <w:trPr>
          <w:trHeight w:val="360"/>
        </w:trPr>
        <w:tc>
          <w:tcPr>
            <w:tcW w:w="999" w:type="dxa"/>
            <w:tcBorders>
              <w:top w:val="single" w:sz="6" w:space="0" w:color="auto"/>
              <w:bottom w:val="single" w:sz="6" w:space="0" w:color="auto"/>
            </w:tcBorders>
            <w:vAlign w:val="center"/>
          </w:tcPr>
          <w:p w:rsidR="003E42B4" w:rsidRPr="00D65B41" w:rsidRDefault="003E42B4" w:rsidP="003E42B4">
            <w:pPr>
              <w:pStyle w:val="Tableheadings"/>
              <w:rPr>
                <w:rFonts w:ascii="Corbel" w:hAnsi="Corbel"/>
                <w:b/>
              </w:rPr>
            </w:pPr>
            <w:r w:rsidRPr="00D65B41">
              <w:rPr>
                <w:rFonts w:ascii="Corbel" w:hAnsi="Corbel"/>
                <w:b/>
              </w:rPr>
              <w:t>Strain</w:t>
            </w:r>
          </w:p>
        </w:tc>
        <w:tc>
          <w:tcPr>
            <w:tcW w:w="4683" w:type="dxa"/>
            <w:tcBorders>
              <w:top w:val="single" w:sz="6" w:space="0" w:color="auto"/>
              <w:bottom w:val="single" w:sz="6" w:space="0" w:color="auto"/>
            </w:tcBorders>
            <w:vAlign w:val="center"/>
          </w:tcPr>
          <w:p w:rsidR="003E42B4" w:rsidRPr="00D65B41" w:rsidRDefault="003E42B4" w:rsidP="003E42B4">
            <w:pPr>
              <w:pStyle w:val="Tableheadings"/>
              <w:rPr>
                <w:rFonts w:ascii="Corbel" w:hAnsi="Corbel"/>
                <w:b/>
                <w:vertAlign w:val="superscript"/>
              </w:rPr>
            </w:pPr>
            <w:r w:rsidRPr="00D65B41">
              <w:rPr>
                <w:rFonts w:ascii="Corbel" w:hAnsi="Corbel"/>
                <w:b/>
              </w:rPr>
              <w:t xml:space="preserve">Relevant </w:t>
            </w:r>
            <w:proofErr w:type="spellStart"/>
            <w:r w:rsidRPr="00D65B41">
              <w:rPr>
                <w:rFonts w:ascii="Corbel" w:hAnsi="Corbel"/>
                <w:b/>
              </w:rPr>
              <w:t>Genotype</w:t>
            </w:r>
            <w:r w:rsidRPr="00D65B41">
              <w:rPr>
                <w:rFonts w:ascii="Corbel" w:hAnsi="Corbel"/>
                <w:b/>
                <w:vertAlign w:val="superscript"/>
              </w:rPr>
              <w:t>a</w:t>
            </w:r>
            <w:proofErr w:type="spellEnd"/>
          </w:p>
        </w:tc>
        <w:tc>
          <w:tcPr>
            <w:tcW w:w="3357" w:type="dxa"/>
            <w:tcBorders>
              <w:top w:val="single" w:sz="6" w:space="0" w:color="auto"/>
              <w:bottom w:val="single" w:sz="6" w:space="0" w:color="auto"/>
            </w:tcBorders>
            <w:vAlign w:val="center"/>
          </w:tcPr>
          <w:p w:rsidR="003E42B4" w:rsidRPr="00D65B41" w:rsidRDefault="003E42B4" w:rsidP="003E42B4">
            <w:pPr>
              <w:pStyle w:val="Tableheadings"/>
              <w:rPr>
                <w:rFonts w:ascii="Corbel" w:hAnsi="Corbel"/>
                <w:b/>
                <w:vertAlign w:val="superscript"/>
              </w:rPr>
            </w:pPr>
            <w:proofErr w:type="spellStart"/>
            <w:r w:rsidRPr="00D65B41">
              <w:rPr>
                <w:rFonts w:ascii="Corbel" w:hAnsi="Corbel"/>
                <w:b/>
              </w:rPr>
              <w:t>Source</w:t>
            </w:r>
            <w:r w:rsidRPr="00D65B41">
              <w:rPr>
                <w:rFonts w:ascii="Corbel" w:hAnsi="Corbel"/>
                <w:b/>
                <w:vertAlign w:val="superscript"/>
              </w:rPr>
              <w:t>c</w:t>
            </w:r>
            <w:proofErr w:type="spellEnd"/>
          </w:p>
        </w:tc>
      </w:tr>
      <w:tr w:rsidR="003E42B4" w:rsidRPr="00E82CD2" w:rsidTr="003E42B4">
        <w:tc>
          <w:tcPr>
            <w:tcW w:w="9039" w:type="dxa"/>
            <w:gridSpan w:val="3"/>
            <w:tcBorders>
              <w:top w:val="single" w:sz="6" w:space="0" w:color="auto"/>
              <w:bottom w:val="single" w:sz="6" w:space="0" w:color="auto"/>
            </w:tcBorders>
          </w:tcPr>
          <w:p w:rsidR="003E42B4" w:rsidRPr="00E82CD2" w:rsidRDefault="003E42B4" w:rsidP="003E42B4">
            <w:pPr>
              <w:pStyle w:val="Tablebodycopy"/>
              <w:spacing w:before="160"/>
              <w:rPr>
                <w:b/>
                <w:vertAlign w:val="superscript"/>
              </w:rPr>
            </w:pPr>
            <w:r w:rsidRPr="004658E5">
              <w:rPr>
                <w:b/>
              </w:rPr>
              <w:t xml:space="preserve">(a) </w:t>
            </w:r>
            <w:r>
              <w:rPr>
                <w:b/>
              </w:rPr>
              <w:t xml:space="preserve">AB1157 and W3110 </w:t>
            </w:r>
            <w:proofErr w:type="spellStart"/>
            <w:r>
              <w:rPr>
                <w:b/>
              </w:rPr>
              <w:t>derivatives</w:t>
            </w:r>
            <w:r>
              <w:rPr>
                <w:b/>
                <w:vertAlign w:val="superscript"/>
              </w:rPr>
              <w:t>b</w:t>
            </w:r>
            <w:proofErr w:type="spellEnd"/>
          </w:p>
        </w:tc>
      </w:tr>
      <w:tr w:rsidR="003E42B4" w:rsidTr="003E42B4">
        <w:tc>
          <w:tcPr>
            <w:tcW w:w="999" w:type="dxa"/>
          </w:tcPr>
          <w:p w:rsidR="003E42B4" w:rsidRDefault="003E42B4" w:rsidP="003E42B4">
            <w:pPr>
              <w:pStyle w:val="Tablebodycopy"/>
            </w:pPr>
            <w:r>
              <w:t>AB1157</w:t>
            </w:r>
          </w:p>
        </w:tc>
        <w:tc>
          <w:tcPr>
            <w:tcW w:w="4683" w:type="dxa"/>
          </w:tcPr>
          <w:p w:rsidR="003E42B4" w:rsidRPr="004B6B10" w:rsidRDefault="003E42B4" w:rsidP="003E42B4">
            <w:pPr>
              <w:pStyle w:val="Tablebodycopy"/>
              <w:rPr>
                <w:i/>
              </w:rPr>
            </w:pPr>
            <w:r>
              <w:rPr>
                <w:i/>
              </w:rPr>
              <w:t>araC14 thi-1 hisG4 Δ(</w:t>
            </w:r>
            <w:proofErr w:type="spellStart"/>
            <w:r>
              <w:rPr>
                <w:i/>
              </w:rPr>
              <w:t>gpt-proA</w:t>
            </w:r>
            <w:proofErr w:type="spellEnd"/>
            <w:r>
              <w:rPr>
                <w:i/>
              </w:rPr>
              <w:t xml:space="preserve">)62 argE3 thr-1 leuB6 kdg51 rfbD1 araC14 lacY1 galK2 xyl-5 mtl-1 tsx-33 supE44 </w:t>
            </w:r>
            <w:proofErr w:type="spellStart"/>
            <w:r>
              <w:rPr>
                <w:i/>
              </w:rPr>
              <w:t>rac</w:t>
            </w:r>
            <w:proofErr w:type="spellEnd"/>
            <w:r w:rsidRPr="004B6B10">
              <w:rPr>
                <w:i/>
                <w:vertAlign w:val="superscript"/>
              </w:rPr>
              <w:t>–</w:t>
            </w:r>
            <w:r>
              <w:rPr>
                <w:i/>
              </w:rPr>
              <w:t xml:space="preserve"> </w:t>
            </w:r>
            <w:r>
              <w:rPr>
                <w:i/>
              </w:rPr>
              <w:br/>
              <w:t>mgl-51 rpsL31qsr</w:t>
            </w:r>
            <w:r w:rsidRPr="004B6B10">
              <w:rPr>
                <w:i/>
                <w:vertAlign w:val="superscript"/>
              </w:rPr>
              <w:t>–</w:t>
            </w:r>
          </w:p>
        </w:tc>
        <w:tc>
          <w:tcPr>
            <w:tcW w:w="3357" w:type="dxa"/>
          </w:tcPr>
          <w:p w:rsidR="003E42B4" w:rsidRDefault="003E42B4" w:rsidP="003E42B4">
            <w:pPr>
              <w:pStyle w:val="Tablebodycopy"/>
            </w:pPr>
            <w:r>
              <w:fldChar w:fldCharType="begin"/>
            </w:r>
            <w:r>
              <w:instrText xml:space="preserve"> ADDIN ZOTERO_ITEM CSL_CITATION {"citationID":"k1kp9bvtv","properties":{"formattedCitation":"(Bachmann, B J 1996)","plainCitation":"(Bachmann, B J 1996)"},"citationItems":[{"id":133,"uris":["http://zotero.org/users/1841541/items/RN2TQVGQ"],"uri":["http://zotero.org/users/1841541/items/RN2TQVGQ"],"itemData":{"id":133,"type":"chapter","title":"Derivations and Genotypes of Some Mutant Derivatives of Escherichia coli K-12","container-title":"Escherichia coli and Salmonella Cellular and Molecular Biology","publisher":"ASM Press","edition":"Second Edition","author":[{"literal":"Bachmann, B J"}],"issued":{"date-parts":[["1996"]]}}}],"schema":"https://github.com/citation-style-language/schema/raw/master/csl-citation.json"} </w:instrText>
            </w:r>
            <w:r>
              <w:fldChar w:fldCharType="separate"/>
            </w:r>
            <w:r w:rsidRPr="003E42B4">
              <w:t>(Bachmann, B J 1996)</w:t>
            </w:r>
            <w:r>
              <w:fldChar w:fldCharType="end"/>
            </w:r>
          </w:p>
        </w:tc>
      </w:tr>
      <w:tr w:rsidR="003E42B4" w:rsidRPr="00B94498" w:rsidTr="003E42B4">
        <w:tc>
          <w:tcPr>
            <w:tcW w:w="999" w:type="dxa"/>
          </w:tcPr>
          <w:p w:rsidR="003E42B4" w:rsidRDefault="003E42B4" w:rsidP="003E42B4">
            <w:pPr>
              <w:pStyle w:val="Tablebodycopy"/>
            </w:pPr>
            <w:r>
              <w:t>W3110</w:t>
            </w:r>
          </w:p>
        </w:tc>
        <w:tc>
          <w:tcPr>
            <w:tcW w:w="4683" w:type="dxa"/>
          </w:tcPr>
          <w:p w:rsidR="003E42B4" w:rsidRPr="00B94498" w:rsidRDefault="003E42B4" w:rsidP="003E42B4">
            <w:pPr>
              <w:pStyle w:val="Tablebodycopy"/>
              <w:rPr>
                <w:i/>
                <w:lang w:val="de-DE"/>
              </w:rPr>
            </w:pPr>
            <w:r w:rsidRPr="00B94498">
              <w:rPr>
                <w:i/>
                <w:lang w:val="de-DE"/>
              </w:rPr>
              <w:t xml:space="preserve">F– </w:t>
            </w:r>
            <w:r w:rsidRPr="00B94498">
              <w:rPr>
                <w:i/>
              </w:rPr>
              <w:t>λ</w:t>
            </w:r>
            <w:r w:rsidRPr="00B94498">
              <w:rPr>
                <w:i/>
                <w:lang w:val="de-DE"/>
              </w:rPr>
              <w:t xml:space="preserve">–  inv(rrnD–rrnE)1 </w:t>
            </w:r>
            <w:r>
              <w:rPr>
                <w:i/>
                <w:lang w:val="de-DE"/>
              </w:rPr>
              <w:t>rph-1</w:t>
            </w:r>
          </w:p>
        </w:tc>
        <w:tc>
          <w:tcPr>
            <w:tcW w:w="3357" w:type="dxa"/>
          </w:tcPr>
          <w:p w:rsidR="003E42B4" w:rsidRPr="00B94498" w:rsidRDefault="003E42B4" w:rsidP="003E42B4">
            <w:pPr>
              <w:pStyle w:val="Tablebodycopy"/>
              <w:rPr>
                <w:lang w:val="de-DE"/>
              </w:rPr>
            </w:pPr>
            <w:r>
              <w:rPr>
                <w:lang w:val="de-DE"/>
              </w:rPr>
              <w:fldChar w:fldCharType="begin"/>
            </w:r>
            <w:r>
              <w:rPr>
                <w:lang w:val="de-DE"/>
              </w:rPr>
              <w:instrText xml:space="preserve"> ADDIN ZOTERO_ITEM CSL_CITATION {"citationID":"cvvut9m42","properties":{"formattedCitation":"(Bachmann, B J 1996)","plainCitation":"(Bachmann, B J 1996)"},"citationItems":[{"id":133,"uris":["http://zotero.org/users/1841541/items/RN2TQVGQ"],"uri":["http://zotero.org/users/1841541/items/RN2TQVGQ"],"itemData":{"id":133,"type":"chapter","title":"Derivations and Genotypes of Some Mutant Derivatives of Escherichia coli K-12","container-title":"Escherichia coli and Salmonella Cellular and Molecular Biology","publisher":"ASM Press","edition":"Second Edition","author":[{"literal":"Bachmann, B J"}],"issued":{"date-parts":[["1996"]]}}}],"schema":"https://github.com/citation-style-language/schema/raw/master/csl-citation.json"} </w:instrText>
            </w:r>
            <w:r>
              <w:rPr>
                <w:lang w:val="de-DE"/>
              </w:rPr>
              <w:fldChar w:fldCharType="separate"/>
            </w:r>
            <w:r w:rsidRPr="003E42B4">
              <w:t>(Bachmann, B J 1996)</w:t>
            </w:r>
            <w:r>
              <w:rPr>
                <w:lang w:val="de-DE"/>
              </w:rPr>
              <w:fldChar w:fldCharType="end"/>
            </w:r>
          </w:p>
        </w:tc>
      </w:tr>
      <w:tr w:rsidR="003E42B4" w:rsidTr="003E42B4">
        <w:tc>
          <w:tcPr>
            <w:tcW w:w="999" w:type="dxa"/>
          </w:tcPr>
          <w:p w:rsidR="003E42B4" w:rsidRDefault="003E42B4" w:rsidP="003E42B4">
            <w:pPr>
              <w:pStyle w:val="Tablebodycopy"/>
            </w:pPr>
            <w:r>
              <w:t>AM1662</w:t>
            </w:r>
          </w:p>
        </w:tc>
        <w:tc>
          <w:tcPr>
            <w:tcW w:w="4683" w:type="dxa"/>
          </w:tcPr>
          <w:p w:rsidR="003E42B4" w:rsidRPr="00201264" w:rsidRDefault="003E42B4" w:rsidP="003E42B4">
            <w:pPr>
              <w:pStyle w:val="Tablebodycopy"/>
              <w:rPr>
                <w:i/>
              </w:rPr>
            </w:pPr>
            <w:proofErr w:type="spellStart"/>
            <w:r>
              <w:rPr>
                <w:i/>
              </w:rPr>
              <w:t>ΔrecO</w:t>
            </w:r>
            <w:proofErr w:type="spellEnd"/>
            <w:r>
              <w:rPr>
                <w:i/>
              </w:rPr>
              <w:t>::dhfr</w:t>
            </w:r>
          </w:p>
        </w:tc>
        <w:tc>
          <w:tcPr>
            <w:tcW w:w="3357" w:type="dxa"/>
          </w:tcPr>
          <w:p w:rsidR="003E42B4" w:rsidRDefault="003E42B4" w:rsidP="003E42B4">
            <w:pPr>
              <w:pStyle w:val="Tablebodycopy"/>
            </w:pPr>
            <w:r>
              <w:fldChar w:fldCharType="begin"/>
            </w:r>
            <w:r>
              <w:instrText xml:space="preserve"> ADDIN ZOTERO_ITEM CSL_CITATION {"citationID":"krejlqi62","properties":{"formattedCitation":"(Mahdi et al. 2006)","plainCitation":"(Mahdi et al. 2006)"},"citationItems":[{"id":65,"uris":["http://zotero.org/users/1841541/items/VVJ9K4R5"],"uri":["http://zotero.org/users/1841541/items/VVJ9K4R5"],"itemData":{"id":65,"type":"article-journal","title":"Rep and PriA helicase activities prevent RecA from provoking unnecessary recombination during replication fork repair","container-title":"Genes &amp; development","page":"2135-2147","volume":"20","issue":"15","source":"NCBI PubMed","abstract":"The rescue of replication forks stalled on the template DNA was investigated using an assay for synthetic lethality that provides a visual readout of cell viability and permits investigation of why certain mutations are lethal when combined. The results presented show that RecA and other recombination proteins are often engaged during replication because RecA is present and provokes recombination rather than because recombination is necessary. This occurs particularly frequently in cells lacking the helicase activities of Rep and PriA. We propose that these two proteins normally limit the loading of RecA on ssDNA regions exposed on the leading strand template of damaged forks, and do so by unwinding the nascent lagging strand, thus facilitating reannealing of the parental strands. Gap closure followed by loading of the DnaB replicative helicase enables synthesis of the leading strand to continue. Without either activity, RecA loads more frequently on the DNA and drives fork reversal, which creates a chickenfoot structure and a requirement for other recombination proteins to re-establish a viable fork. The assay also reveals that stalled transcription complexes are common impediments to fork progression, and that damaged forks often reverse independently of RecA.","DOI":"10.1101/gad.382306","ISSN":"0890-9369","note":"PMID: 16882986 \nPMCID: PMC1536063","journalAbbreviation":"Genes Dev.","language":"eng","author":[{"family":"Mahdi","given":"Akeel A"},{"family":"Buckman","given":"Carol"},{"family":"Harris","given":"Lynda"},{"family":"Lloyd","given":"Robert G"}],"issued":{"date-parts":[["2006",8,1]]},"PMID":"16882986","PMCID":"PMC1536063"}}],"schema":"https://github.com/citation-style-language/schema/raw/master/csl-citation.json"} </w:instrText>
            </w:r>
            <w:r>
              <w:fldChar w:fldCharType="separate"/>
            </w:r>
            <w:r w:rsidRPr="003E42B4">
              <w:t>(Mahdi et al. 2006)</w:t>
            </w:r>
            <w:r>
              <w:fldChar w:fldCharType="end"/>
            </w:r>
          </w:p>
        </w:tc>
      </w:tr>
      <w:tr w:rsidR="003E42B4" w:rsidTr="003E42B4">
        <w:tc>
          <w:tcPr>
            <w:tcW w:w="999" w:type="dxa"/>
          </w:tcPr>
          <w:p w:rsidR="003E42B4" w:rsidRDefault="003E42B4" w:rsidP="003E42B4">
            <w:pPr>
              <w:pStyle w:val="Tablebodycopy"/>
            </w:pPr>
            <w:r>
              <w:t>AM1746</w:t>
            </w:r>
          </w:p>
        </w:tc>
        <w:tc>
          <w:tcPr>
            <w:tcW w:w="4683" w:type="dxa"/>
          </w:tcPr>
          <w:p w:rsidR="003E42B4" w:rsidRPr="00D65B41" w:rsidRDefault="003E42B4" w:rsidP="003E42B4">
            <w:pPr>
              <w:pStyle w:val="Tablebodycopy"/>
            </w:pPr>
            <w:proofErr w:type="spellStart"/>
            <w:r>
              <w:rPr>
                <w:i/>
              </w:rPr>
              <w:t>ΔrecO</w:t>
            </w:r>
            <w:proofErr w:type="spellEnd"/>
            <w:r>
              <w:rPr>
                <w:i/>
              </w:rPr>
              <w:t>::</w:t>
            </w:r>
            <w:proofErr w:type="spellStart"/>
            <w:r>
              <w:rPr>
                <w:i/>
              </w:rPr>
              <w:t>kan</w:t>
            </w:r>
            <w:proofErr w:type="spellEnd"/>
          </w:p>
        </w:tc>
        <w:tc>
          <w:tcPr>
            <w:tcW w:w="3357" w:type="dxa"/>
          </w:tcPr>
          <w:p w:rsidR="003E42B4" w:rsidRDefault="003E42B4" w:rsidP="003E42B4">
            <w:pPr>
              <w:pStyle w:val="Tablebodycopy"/>
            </w:pPr>
            <w:r>
              <w:t>A.A. Mahdi and R.G. Lloyd, unpublished</w:t>
            </w:r>
          </w:p>
        </w:tc>
      </w:tr>
      <w:tr w:rsidR="003E42B4" w:rsidTr="003E42B4">
        <w:tc>
          <w:tcPr>
            <w:tcW w:w="999" w:type="dxa"/>
          </w:tcPr>
          <w:p w:rsidR="003E42B4" w:rsidRDefault="003E42B4" w:rsidP="003E42B4">
            <w:pPr>
              <w:pStyle w:val="Tablebodycopy"/>
            </w:pPr>
            <w:r>
              <w:t>AM1816</w:t>
            </w:r>
          </w:p>
        </w:tc>
        <w:tc>
          <w:tcPr>
            <w:tcW w:w="4683" w:type="dxa"/>
          </w:tcPr>
          <w:p w:rsidR="003E42B4" w:rsidRPr="00D65B41" w:rsidRDefault="003E42B4" w:rsidP="003E42B4">
            <w:pPr>
              <w:pStyle w:val="Tablebodycopy"/>
            </w:pPr>
            <w:proofErr w:type="spellStart"/>
            <w:r>
              <w:rPr>
                <w:i/>
              </w:rPr>
              <w:t>ΔrecR</w:t>
            </w:r>
            <w:proofErr w:type="spellEnd"/>
            <w:r>
              <w:rPr>
                <w:i/>
              </w:rPr>
              <w:t>::</w:t>
            </w:r>
            <w:proofErr w:type="spellStart"/>
            <w:r>
              <w:rPr>
                <w:i/>
              </w:rPr>
              <w:t>kan</w:t>
            </w:r>
            <w:proofErr w:type="spellEnd"/>
          </w:p>
        </w:tc>
        <w:tc>
          <w:tcPr>
            <w:tcW w:w="3357" w:type="dxa"/>
          </w:tcPr>
          <w:p w:rsidR="003E42B4" w:rsidRDefault="003E42B4" w:rsidP="003E42B4">
            <w:pPr>
              <w:pStyle w:val="Tablebodycopy"/>
            </w:pPr>
            <w:r>
              <w:t>A.A. Mahdi and R.G. Lloyd, unpublished</w:t>
            </w:r>
          </w:p>
        </w:tc>
      </w:tr>
      <w:tr w:rsidR="003E42B4" w:rsidRPr="004B6B10" w:rsidTr="003E42B4">
        <w:tc>
          <w:tcPr>
            <w:tcW w:w="999" w:type="dxa"/>
          </w:tcPr>
          <w:p w:rsidR="003E42B4" w:rsidRDefault="003E42B4" w:rsidP="003E42B4">
            <w:pPr>
              <w:pStyle w:val="Tablebodycopy"/>
            </w:pPr>
            <w:r>
              <w:t>AM2094</w:t>
            </w:r>
          </w:p>
        </w:tc>
        <w:tc>
          <w:tcPr>
            <w:tcW w:w="4683" w:type="dxa"/>
          </w:tcPr>
          <w:p w:rsidR="003E42B4" w:rsidRPr="004B6B10" w:rsidRDefault="003E42B4" w:rsidP="003E42B4">
            <w:pPr>
              <w:pStyle w:val="Tablebodycopy"/>
              <w:jc w:val="both"/>
              <w:rPr>
                <w:i/>
              </w:rPr>
            </w:pPr>
            <w:proofErr w:type="spellStart"/>
            <w:r>
              <w:rPr>
                <w:i/>
              </w:rPr>
              <w:t>ΔruvABC</w:t>
            </w:r>
            <w:proofErr w:type="spellEnd"/>
            <w:r>
              <w:rPr>
                <w:i/>
              </w:rPr>
              <w:t>::cat recA269::</w:t>
            </w:r>
            <w:r>
              <w:t>Tn</w:t>
            </w:r>
            <w:r>
              <w:rPr>
                <w:i/>
              </w:rPr>
              <w:t>10</w:t>
            </w:r>
          </w:p>
        </w:tc>
        <w:tc>
          <w:tcPr>
            <w:tcW w:w="3357" w:type="dxa"/>
          </w:tcPr>
          <w:p w:rsidR="003E42B4" w:rsidRPr="00A02659" w:rsidRDefault="003E42B4" w:rsidP="003E42B4">
            <w:pPr>
              <w:pStyle w:val="Tablebodycopy"/>
            </w:pPr>
            <w:r>
              <w:fldChar w:fldCharType="begin"/>
            </w:r>
            <w:r>
              <w:instrText xml:space="preserve"> ADDIN ZOTERO_ITEM CSL_CITATION {"citationID":"2avfe38gbg","properties":{"formattedCitation":"(Mahdi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RPr="00F01CAC" w:rsidTr="003E42B4">
        <w:tc>
          <w:tcPr>
            <w:tcW w:w="999" w:type="dxa"/>
          </w:tcPr>
          <w:p w:rsidR="003E42B4" w:rsidRDefault="003E42B4" w:rsidP="003E42B4">
            <w:pPr>
              <w:pStyle w:val="Tablebodycopy"/>
            </w:pPr>
            <w:r>
              <w:t>AM2095</w:t>
            </w:r>
          </w:p>
        </w:tc>
        <w:tc>
          <w:tcPr>
            <w:tcW w:w="4683" w:type="dxa"/>
          </w:tcPr>
          <w:p w:rsidR="003E42B4" w:rsidRPr="00D65B41" w:rsidRDefault="003E42B4" w:rsidP="003E42B4">
            <w:pPr>
              <w:pStyle w:val="Tablebodycopy"/>
            </w:pPr>
            <w:proofErr w:type="spellStart"/>
            <w:r>
              <w:rPr>
                <w:i/>
              </w:rPr>
              <w:t>ΔruvABC</w:t>
            </w:r>
            <w:proofErr w:type="spellEnd"/>
            <w:r>
              <w:rPr>
                <w:i/>
              </w:rPr>
              <w:t xml:space="preserve">::cat </w:t>
            </w:r>
            <w:proofErr w:type="spellStart"/>
            <w:r w:rsidRPr="003F330A">
              <w:rPr>
                <w:i/>
              </w:rPr>
              <w:t>tnaA</w:t>
            </w:r>
            <w:proofErr w:type="spellEnd"/>
            <w:r w:rsidRPr="003F330A">
              <w:rPr>
                <w:i/>
              </w:rPr>
              <w:t>::</w:t>
            </w:r>
            <w:r w:rsidRPr="003F330A">
              <w:t>Tn</w:t>
            </w:r>
            <w:r w:rsidRPr="003F330A">
              <w:rPr>
                <w:i/>
              </w:rPr>
              <w:t>10 recF143</w:t>
            </w:r>
          </w:p>
        </w:tc>
        <w:tc>
          <w:tcPr>
            <w:tcW w:w="3357" w:type="dxa"/>
          </w:tcPr>
          <w:p w:rsidR="003E42B4" w:rsidRPr="00F01CAC" w:rsidRDefault="003E42B4" w:rsidP="003E42B4">
            <w:pPr>
              <w:pStyle w:val="Tablebodycopy"/>
              <w:rPr>
                <w:vertAlign w:val="superscript"/>
              </w:rPr>
            </w:pPr>
            <w:r>
              <w:fldChar w:fldCharType="begin"/>
            </w:r>
            <w:r>
              <w:instrText xml:space="preserve"> ADDIN ZOTERO_ITEM CSL_CITATION {"citationID":"9BG9fazn","properties":{"formattedCitation":"(Mahdi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RPr="00F01CAC" w:rsidTr="003E42B4">
        <w:tc>
          <w:tcPr>
            <w:tcW w:w="999" w:type="dxa"/>
          </w:tcPr>
          <w:p w:rsidR="003E42B4" w:rsidRDefault="003E42B4" w:rsidP="003E42B4">
            <w:pPr>
              <w:pStyle w:val="Tablebodycopy"/>
            </w:pPr>
            <w:r>
              <w:t>AM2123</w:t>
            </w:r>
          </w:p>
        </w:tc>
        <w:tc>
          <w:tcPr>
            <w:tcW w:w="4683" w:type="dxa"/>
          </w:tcPr>
          <w:p w:rsidR="003E42B4" w:rsidRPr="00D65B41" w:rsidRDefault="003E42B4" w:rsidP="003E42B4">
            <w:pPr>
              <w:pStyle w:val="Tablebodycopy"/>
            </w:pPr>
            <w:r>
              <w:rPr>
                <w:i/>
              </w:rPr>
              <w:t>ΔrecG::</w:t>
            </w:r>
            <w:proofErr w:type="spellStart"/>
            <w:r>
              <w:rPr>
                <w:i/>
              </w:rPr>
              <w:t>apra</w:t>
            </w:r>
            <w:proofErr w:type="spellEnd"/>
          </w:p>
        </w:tc>
        <w:tc>
          <w:tcPr>
            <w:tcW w:w="3357" w:type="dxa"/>
          </w:tcPr>
          <w:p w:rsidR="003E42B4" w:rsidRPr="00F01CAC" w:rsidRDefault="003E42B4" w:rsidP="003E42B4">
            <w:pPr>
              <w:pStyle w:val="Tablebodycopy"/>
              <w:rPr>
                <w:vertAlign w:val="superscript"/>
              </w:rPr>
            </w:pPr>
            <w:r>
              <w:fldChar w:fldCharType="begin"/>
            </w:r>
            <w:r>
              <w:instrText xml:space="preserve"> ADDIN ZOTERO_ITEM CSL_CITATION {"citationID":"1OjN1c2M","properties":{"formattedCitation":"(Mahdi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RPr="00F01CAC" w:rsidTr="003E42B4">
        <w:tc>
          <w:tcPr>
            <w:tcW w:w="999" w:type="dxa"/>
          </w:tcPr>
          <w:p w:rsidR="003E42B4" w:rsidRDefault="003E42B4" w:rsidP="003E42B4">
            <w:pPr>
              <w:pStyle w:val="Tablebodycopy"/>
            </w:pPr>
            <w:r>
              <w:t>AM2124</w:t>
            </w:r>
          </w:p>
        </w:tc>
        <w:tc>
          <w:tcPr>
            <w:tcW w:w="4683" w:type="dxa"/>
          </w:tcPr>
          <w:p w:rsidR="003E42B4" w:rsidRPr="00D65B41" w:rsidRDefault="003E42B4" w:rsidP="003E42B4">
            <w:pPr>
              <w:pStyle w:val="Tablebodycopy"/>
            </w:pPr>
            <w:proofErr w:type="spellStart"/>
            <w:r>
              <w:rPr>
                <w:i/>
              </w:rPr>
              <w:t>ΔruvABC</w:t>
            </w:r>
            <w:proofErr w:type="spellEnd"/>
            <w:r>
              <w:rPr>
                <w:i/>
              </w:rPr>
              <w:t>::cat ΔrecG::</w:t>
            </w:r>
            <w:proofErr w:type="spellStart"/>
            <w:r>
              <w:rPr>
                <w:i/>
              </w:rPr>
              <w:t>apra</w:t>
            </w:r>
            <w:proofErr w:type="spellEnd"/>
          </w:p>
        </w:tc>
        <w:tc>
          <w:tcPr>
            <w:tcW w:w="3357" w:type="dxa"/>
          </w:tcPr>
          <w:p w:rsidR="003E42B4" w:rsidRPr="00F01CAC" w:rsidRDefault="003E42B4" w:rsidP="003E42B4">
            <w:pPr>
              <w:pStyle w:val="Tablebodycopy"/>
              <w:rPr>
                <w:vertAlign w:val="superscript"/>
              </w:rPr>
            </w:pPr>
            <w:r>
              <w:t xml:space="preserve">N4454 × P1.AM1655 to </w:t>
            </w:r>
            <w:proofErr w:type="spellStart"/>
            <w:r>
              <w:t>Apra</w:t>
            </w:r>
            <w:r>
              <w:rPr>
                <w:vertAlign w:val="superscript"/>
              </w:rPr>
              <w:t>r</w:t>
            </w:r>
            <w:proofErr w:type="spellEnd"/>
          </w:p>
        </w:tc>
      </w:tr>
      <w:tr w:rsidR="003E42B4" w:rsidTr="003E42B4">
        <w:tc>
          <w:tcPr>
            <w:tcW w:w="999" w:type="dxa"/>
          </w:tcPr>
          <w:p w:rsidR="003E42B4" w:rsidRDefault="003E42B4" w:rsidP="003E42B4">
            <w:pPr>
              <w:pStyle w:val="Tablebodycopy"/>
            </w:pPr>
            <w:r>
              <w:t>AM2125</w:t>
            </w:r>
          </w:p>
        </w:tc>
        <w:tc>
          <w:tcPr>
            <w:tcW w:w="4683" w:type="dxa"/>
          </w:tcPr>
          <w:p w:rsidR="003E42B4" w:rsidRPr="00D65B41" w:rsidRDefault="003E42B4" w:rsidP="003E42B4">
            <w:pPr>
              <w:pStyle w:val="Tablebodycopy"/>
            </w:pPr>
            <w:proofErr w:type="spellStart"/>
            <w:r>
              <w:rPr>
                <w:i/>
              </w:rPr>
              <w:t>ΔruvABC</w:t>
            </w:r>
            <w:proofErr w:type="spellEnd"/>
            <w:r>
              <w:rPr>
                <w:i/>
              </w:rPr>
              <w:t xml:space="preserve">::cat </w:t>
            </w:r>
            <w:proofErr w:type="spellStart"/>
            <w:r w:rsidRPr="003F330A">
              <w:rPr>
                <w:i/>
              </w:rPr>
              <w:t>tnaA</w:t>
            </w:r>
            <w:proofErr w:type="spellEnd"/>
            <w:r w:rsidRPr="003F330A">
              <w:rPr>
                <w:i/>
              </w:rPr>
              <w:t>::</w:t>
            </w:r>
            <w:r w:rsidRPr="003F330A">
              <w:t>Tn</w:t>
            </w:r>
            <w:r w:rsidRPr="003F330A">
              <w:rPr>
                <w:i/>
              </w:rPr>
              <w:t>10 recF143</w:t>
            </w:r>
            <w:r>
              <w:rPr>
                <w:i/>
              </w:rPr>
              <w:t xml:space="preserve"> ΔrecG::</w:t>
            </w:r>
            <w:proofErr w:type="spellStart"/>
            <w:r>
              <w:rPr>
                <w:i/>
              </w:rPr>
              <w:t>apra</w:t>
            </w:r>
            <w:proofErr w:type="spellEnd"/>
          </w:p>
        </w:tc>
        <w:tc>
          <w:tcPr>
            <w:tcW w:w="3357" w:type="dxa"/>
          </w:tcPr>
          <w:p w:rsidR="003E42B4" w:rsidRDefault="003E42B4" w:rsidP="003E42B4">
            <w:pPr>
              <w:pStyle w:val="Tablebodycopy"/>
            </w:pPr>
            <w:r>
              <w:fldChar w:fldCharType="begin"/>
            </w:r>
            <w:r>
              <w:instrText xml:space="preserve"> ADDIN ZOTERO_ITEM CSL_CITATION {"citationID":"C0lgopqB","properties":{"formattedCitation":"(Mahdi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RPr="00F01CAC" w:rsidTr="003E42B4">
        <w:tc>
          <w:tcPr>
            <w:tcW w:w="999" w:type="dxa"/>
          </w:tcPr>
          <w:p w:rsidR="003E42B4" w:rsidRDefault="003E42B4" w:rsidP="003E42B4">
            <w:pPr>
              <w:pStyle w:val="Tablebodycopy"/>
            </w:pPr>
            <w:r>
              <w:t>AM2147</w:t>
            </w:r>
          </w:p>
        </w:tc>
        <w:tc>
          <w:tcPr>
            <w:tcW w:w="4683" w:type="dxa"/>
          </w:tcPr>
          <w:p w:rsidR="003E42B4" w:rsidRPr="00D65B41" w:rsidRDefault="003E42B4" w:rsidP="003E42B4">
            <w:pPr>
              <w:pStyle w:val="Tablebodycopy"/>
            </w:pPr>
            <w:proofErr w:type="spellStart"/>
            <w:r>
              <w:rPr>
                <w:i/>
              </w:rPr>
              <w:t>ΔruvABC</w:t>
            </w:r>
            <w:proofErr w:type="spellEnd"/>
            <w:r>
              <w:rPr>
                <w:i/>
              </w:rPr>
              <w:t xml:space="preserve">::cat </w:t>
            </w:r>
            <w:proofErr w:type="spellStart"/>
            <w:r>
              <w:rPr>
                <w:i/>
              </w:rPr>
              <w:t>ΔrecR</w:t>
            </w:r>
            <w:proofErr w:type="spellEnd"/>
            <w:r>
              <w:rPr>
                <w:i/>
              </w:rPr>
              <w:t>::</w:t>
            </w:r>
            <w:proofErr w:type="spellStart"/>
            <w:r>
              <w:rPr>
                <w:i/>
              </w:rPr>
              <w:t>kan</w:t>
            </w:r>
            <w:proofErr w:type="spellEnd"/>
          </w:p>
        </w:tc>
        <w:tc>
          <w:tcPr>
            <w:tcW w:w="3357" w:type="dxa"/>
          </w:tcPr>
          <w:p w:rsidR="003E42B4" w:rsidRPr="00F01CAC" w:rsidRDefault="003E42B4" w:rsidP="003E42B4">
            <w:pPr>
              <w:pStyle w:val="Tablebodycopy"/>
              <w:rPr>
                <w:vertAlign w:val="superscript"/>
              </w:rPr>
            </w:pPr>
            <w:r>
              <w:fldChar w:fldCharType="begin"/>
            </w:r>
            <w:r>
              <w:instrText xml:space="preserve"> ADDIN ZOTERO_ITEM CSL_CITATION {"citationID":"uaXn8j0m","properties":{"formattedCitation":"(Mahdi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RPr="00F01CAC" w:rsidTr="003E42B4">
        <w:tc>
          <w:tcPr>
            <w:tcW w:w="999" w:type="dxa"/>
          </w:tcPr>
          <w:p w:rsidR="003E42B4" w:rsidRDefault="003E42B4" w:rsidP="003E42B4">
            <w:pPr>
              <w:pStyle w:val="Tablebodycopy"/>
            </w:pPr>
            <w:r>
              <w:t>AM2148</w:t>
            </w:r>
          </w:p>
        </w:tc>
        <w:tc>
          <w:tcPr>
            <w:tcW w:w="4683" w:type="dxa"/>
          </w:tcPr>
          <w:p w:rsidR="003E42B4" w:rsidRPr="00D65B41" w:rsidRDefault="003E42B4" w:rsidP="003E42B4">
            <w:pPr>
              <w:pStyle w:val="Tablebodycopy"/>
            </w:pPr>
            <w:proofErr w:type="spellStart"/>
            <w:r>
              <w:rPr>
                <w:i/>
              </w:rPr>
              <w:t>ΔruvABC</w:t>
            </w:r>
            <w:proofErr w:type="spellEnd"/>
            <w:r>
              <w:rPr>
                <w:i/>
              </w:rPr>
              <w:t xml:space="preserve">::cat </w:t>
            </w:r>
            <w:proofErr w:type="spellStart"/>
            <w:r>
              <w:rPr>
                <w:i/>
              </w:rPr>
              <w:t>ΔrecO</w:t>
            </w:r>
            <w:proofErr w:type="spellEnd"/>
            <w:r>
              <w:rPr>
                <w:i/>
              </w:rPr>
              <w:t>::</w:t>
            </w:r>
            <w:proofErr w:type="spellStart"/>
            <w:r>
              <w:rPr>
                <w:i/>
              </w:rPr>
              <w:t>kan</w:t>
            </w:r>
            <w:proofErr w:type="spellEnd"/>
          </w:p>
        </w:tc>
        <w:tc>
          <w:tcPr>
            <w:tcW w:w="3357" w:type="dxa"/>
          </w:tcPr>
          <w:p w:rsidR="003E42B4" w:rsidRPr="00F01CAC" w:rsidRDefault="003E42B4" w:rsidP="003E42B4">
            <w:pPr>
              <w:pStyle w:val="Tablebodycopy"/>
              <w:rPr>
                <w:vertAlign w:val="superscript"/>
              </w:rPr>
            </w:pPr>
            <w:r>
              <w:fldChar w:fldCharType="begin"/>
            </w:r>
            <w:r>
              <w:instrText xml:space="preserve"> ADDIN ZOTERO_ITEM CSL_CITATION {"citationID":"eP4gQQf0","properties":{"formattedCitation":"(Mahdi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RPr="00201264" w:rsidTr="003E42B4">
        <w:tc>
          <w:tcPr>
            <w:tcW w:w="999" w:type="dxa"/>
          </w:tcPr>
          <w:p w:rsidR="003E42B4" w:rsidRDefault="003E42B4" w:rsidP="003E42B4">
            <w:pPr>
              <w:pStyle w:val="Tablebodycopy"/>
            </w:pPr>
            <w:r>
              <w:t>AM2149</w:t>
            </w:r>
          </w:p>
        </w:tc>
        <w:tc>
          <w:tcPr>
            <w:tcW w:w="4683" w:type="dxa"/>
          </w:tcPr>
          <w:p w:rsidR="003E42B4" w:rsidRPr="00201264" w:rsidRDefault="003E42B4" w:rsidP="003E42B4">
            <w:pPr>
              <w:pStyle w:val="Tablebodycopy"/>
              <w:rPr>
                <w:i/>
              </w:rPr>
            </w:pPr>
            <w:proofErr w:type="spellStart"/>
            <w:r>
              <w:rPr>
                <w:i/>
              </w:rPr>
              <w:t>ΔruvABC</w:t>
            </w:r>
            <w:proofErr w:type="spellEnd"/>
            <w:r>
              <w:rPr>
                <w:i/>
              </w:rPr>
              <w:t>::cat recJ284::</w:t>
            </w:r>
            <w:r>
              <w:t>Tn</w:t>
            </w:r>
            <w:r>
              <w:rPr>
                <w:i/>
              </w:rPr>
              <w:t>10</w:t>
            </w:r>
          </w:p>
        </w:tc>
        <w:tc>
          <w:tcPr>
            <w:tcW w:w="3357" w:type="dxa"/>
          </w:tcPr>
          <w:p w:rsidR="003E42B4" w:rsidRPr="00201264" w:rsidRDefault="003E42B4" w:rsidP="003E42B4">
            <w:pPr>
              <w:pStyle w:val="Tablebodycopy"/>
              <w:rPr>
                <w:vertAlign w:val="superscript"/>
              </w:rPr>
            </w:pPr>
            <w:r>
              <w:fldChar w:fldCharType="begin"/>
            </w:r>
            <w:r>
              <w:instrText xml:space="preserve"> ADDIN ZOTERO_ITEM CSL_CITATION {"citationID":"UqIVgBH1","properties":{"formattedCitation":"(Mahdi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RPr="00201264" w:rsidTr="003E42B4">
        <w:tc>
          <w:tcPr>
            <w:tcW w:w="999" w:type="dxa"/>
          </w:tcPr>
          <w:p w:rsidR="003E42B4" w:rsidRDefault="003E42B4" w:rsidP="003E42B4">
            <w:pPr>
              <w:pStyle w:val="Tablebodycopy"/>
            </w:pPr>
            <w:r>
              <w:t>AM2160</w:t>
            </w:r>
          </w:p>
        </w:tc>
        <w:tc>
          <w:tcPr>
            <w:tcW w:w="4683" w:type="dxa"/>
          </w:tcPr>
          <w:p w:rsidR="003E42B4" w:rsidRPr="00D65B41" w:rsidRDefault="003E42B4" w:rsidP="003E42B4">
            <w:pPr>
              <w:pStyle w:val="Tablebodycopy"/>
            </w:pPr>
            <w:proofErr w:type="spellStart"/>
            <w:r>
              <w:rPr>
                <w:i/>
              </w:rPr>
              <w:t>ΔrecR</w:t>
            </w:r>
            <w:proofErr w:type="spellEnd"/>
            <w:r>
              <w:rPr>
                <w:i/>
              </w:rPr>
              <w:t>::</w:t>
            </w:r>
            <w:proofErr w:type="spellStart"/>
            <w:r>
              <w:rPr>
                <w:i/>
              </w:rPr>
              <w:t>kan</w:t>
            </w:r>
            <w:proofErr w:type="spellEnd"/>
          </w:p>
        </w:tc>
        <w:tc>
          <w:tcPr>
            <w:tcW w:w="3357" w:type="dxa"/>
          </w:tcPr>
          <w:p w:rsidR="003E42B4" w:rsidRPr="00201264" w:rsidRDefault="003E42B4" w:rsidP="003E42B4">
            <w:pPr>
              <w:pStyle w:val="Tablebodycopy"/>
              <w:rPr>
                <w:vertAlign w:val="superscript"/>
              </w:rPr>
            </w:pPr>
            <w:r>
              <w:fldChar w:fldCharType="begin"/>
            </w:r>
            <w:r>
              <w:instrText xml:space="preserve"> ADDIN ZOTERO_ITEM CSL_CITATION {"citationID":"zWIjZ41r","properties":{"formattedCitation":"(Mahdi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RPr="00201264" w:rsidTr="003E42B4">
        <w:tc>
          <w:tcPr>
            <w:tcW w:w="999" w:type="dxa"/>
          </w:tcPr>
          <w:p w:rsidR="003E42B4" w:rsidRDefault="003E42B4" w:rsidP="003E42B4">
            <w:pPr>
              <w:pStyle w:val="Tablebodycopy"/>
            </w:pPr>
            <w:r>
              <w:t>AM2161</w:t>
            </w:r>
          </w:p>
        </w:tc>
        <w:tc>
          <w:tcPr>
            <w:tcW w:w="4683" w:type="dxa"/>
          </w:tcPr>
          <w:p w:rsidR="003E42B4" w:rsidRPr="00D65B41" w:rsidRDefault="003E42B4" w:rsidP="003E42B4">
            <w:pPr>
              <w:pStyle w:val="Tablebodycopy"/>
            </w:pPr>
            <w:proofErr w:type="spellStart"/>
            <w:r>
              <w:rPr>
                <w:i/>
              </w:rPr>
              <w:t>ΔrecO</w:t>
            </w:r>
            <w:proofErr w:type="spellEnd"/>
            <w:r>
              <w:rPr>
                <w:i/>
              </w:rPr>
              <w:t>::</w:t>
            </w:r>
            <w:proofErr w:type="spellStart"/>
            <w:r>
              <w:rPr>
                <w:i/>
              </w:rPr>
              <w:t>kan</w:t>
            </w:r>
            <w:proofErr w:type="spellEnd"/>
          </w:p>
        </w:tc>
        <w:tc>
          <w:tcPr>
            <w:tcW w:w="3357" w:type="dxa"/>
          </w:tcPr>
          <w:p w:rsidR="003E42B4" w:rsidRPr="00201264" w:rsidRDefault="003E42B4" w:rsidP="003E42B4">
            <w:pPr>
              <w:pStyle w:val="Tablebodycopy"/>
              <w:rPr>
                <w:vertAlign w:val="superscript"/>
              </w:rPr>
            </w:pPr>
            <w:r>
              <w:fldChar w:fldCharType="begin"/>
            </w:r>
            <w:r>
              <w:instrText xml:space="preserve"> ADDIN ZOTERO_ITEM CSL_CITATION {"citationID":"krhIMoww","properties":{"formattedCitation":"(Mahdi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Tr="003E42B4">
        <w:tc>
          <w:tcPr>
            <w:tcW w:w="999" w:type="dxa"/>
          </w:tcPr>
          <w:p w:rsidR="003E42B4" w:rsidRDefault="003E42B4" w:rsidP="003E42B4">
            <w:pPr>
              <w:pStyle w:val="Tablebodycopy"/>
            </w:pPr>
            <w:r>
              <w:t>JC12334</w:t>
            </w:r>
          </w:p>
        </w:tc>
        <w:tc>
          <w:tcPr>
            <w:tcW w:w="4683" w:type="dxa"/>
          </w:tcPr>
          <w:p w:rsidR="003E42B4" w:rsidRPr="00D65B41" w:rsidRDefault="003E42B4" w:rsidP="003E42B4">
            <w:pPr>
              <w:pStyle w:val="Tablebodycopy"/>
            </w:pPr>
            <w:proofErr w:type="spellStart"/>
            <w:r w:rsidRPr="003F330A">
              <w:rPr>
                <w:i/>
              </w:rPr>
              <w:t>tnaA</w:t>
            </w:r>
            <w:proofErr w:type="spellEnd"/>
            <w:r w:rsidRPr="003F330A">
              <w:rPr>
                <w:i/>
              </w:rPr>
              <w:t>::</w:t>
            </w:r>
            <w:r w:rsidRPr="003F330A">
              <w:t>Tn</w:t>
            </w:r>
            <w:r w:rsidRPr="003F330A">
              <w:rPr>
                <w:i/>
              </w:rPr>
              <w:t>10 recF143</w:t>
            </w:r>
          </w:p>
        </w:tc>
        <w:tc>
          <w:tcPr>
            <w:tcW w:w="3357" w:type="dxa"/>
          </w:tcPr>
          <w:p w:rsidR="003E42B4" w:rsidRDefault="003E42B4" w:rsidP="003E42B4">
            <w:pPr>
              <w:pStyle w:val="Tablebodycopy"/>
            </w:pPr>
            <w:r>
              <w:t>J.C. Clark</w:t>
            </w:r>
          </w:p>
        </w:tc>
      </w:tr>
      <w:tr w:rsidR="003E42B4" w:rsidRPr="00201264" w:rsidTr="003E42B4">
        <w:tc>
          <w:tcPr>
            <w:tcW w:w="999" w:type="dxa"/>
          </w:tcPr>
          <w:p w:rsidR="003E42B4" w:rsidRDefault="003E42B4" w:rsidP="003E42B4">
            <w:pPr>
              <w:pStyle w:val="Tablebodycopy"/>
            </w:pPr>
            <w:r>
              <w:t>N2446</w:t>
            </w:r>
          </w:p>
        </w:tc>
        <w:tc>
          <w:tcPr>
            <w:tcW w:w="4683" w:type="dxa"/>
          </w:tcPr>
          <w:p w:rsidR="003E42B4" w:rsidRPr="00D65B41" w:rsidRDefault="003E42B4" w:rsidP="003E42B4">
            <w:pPr>
              <w:pStyle w:val="Tablebodycopy"/>
            </w:pPr>
            <w:r>
              <w:rPr>
                <w:i/>
              </w:rPr>
              <w:t>recJ284::</w:t>
            </w:r>
            <w:r>
              <w:t>Tn</w:t>
            </w:r>
            <w:r>
              <w:rPr>
                <w:i/>
              </w:rPr>
              <w:t>10</w:t>
            </w:r>
          </w:p>
        </w:tc>
        <w:tc>
          <w:tcPr>
            <w:tcW w:w="3357" w:type="dxa"/>
          </w:tcPr>
          <w:p w:rsidR="003E42B4" w:rsidRPr="00201264" w:rsidRDefault="003E42B4" w:rsidP="003E42B4">
            <w:pPr>
              <w:pStyle w:val="Tablebodycopy"/>
              <w:rPr>
                <w:vertAlign w:val="superscript"/>
              </w:rPr>
            </w:pPr>
            <w:r>
              <w:fldChar w:fldCharType="begin"/>
            </w:r>
            <w:r>
              <w:instrText xml:space="preserve"> ADDIN ZOTERO_ITEM CSL_CITATION {"citationID":"rmUmHMKy","properties":{"formattedCitation":"(Mahdi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Tr="003E42B4">
        <w:tc>
          <w:tcPr>
            <w:tcW w:w="999" w:type="dxa"/>
          </w:tcPr>
          <w:p w:rsidR="003E42B4" w:rsidRDefault="003E42B4" w:rsidP="003E42B4">
            <w:pPr>
              <w:pStyle w:val="Tablebodycopy"/>
            </w:pPr>
            <w:r>
              <w:t>N3005</w:t>
            </w:r>
          </w:p>
        </w:tc>
        <w:tc>
          <w:tcPr>
            <w:tcW w:w="4683" w:type="dxa"/>
          </w:tcPr>
          <w:p w:rsidR="003E42B4" w:rsidRPr="00201264" w:rsidRDefault="003E42B4" w:rsidP="003E42B4">
            <w:pPr>
              <w:pStyle w:val="Tablebodycopy"/>
              <w:rPr>
                <w:i/>
              </w:rPr>
            </w:pPr>
            <w:r w:rsidRPr="00B94498">
              <w:t>W3110</w:t>
            </w:r>
            <w:r>
              <w:rPr>
                <w:i/>
              </w:rPr>
              <w:t xml:space="preserve"> purE85::</w:t>
            </w:r>
            <w:r>
              <w:t>Tn</w:t>
            </w:r>
            <w:r>
              <w:rPr>
                <w:i/>
              </w:rPr>
              <w:t>10</w:t>
            </w:r>
          </w:p>
        </w:tc>
        <w:tc>
          <w:tcPr>
            <w:tcW w:w="3357" w:type="dxa"/>
          </w:tcPr>
          <w:p w:rsidR="003E42B4" w:rsidRDefault="003E42B4" w:rsidP="003E42B4">
            <w:pPr>
              <w:pStyle w:val="Tablebodycopy"/>
            </w:pPr>
            <w:r>
              <w:fldChar w:fldCharType="begin"/>
            </w:r>
            <w:r>
              <w:instrText xml:space="preserve"> ADDIN ZOTERO_ITEM CSL_CITATION {"citationID":"aj2k0h943","properties":{"formattedCitation":"(Lloyd and Buckman 1985)","plainCitation":"(Lloyd and Buckman 1985)"},"citationItems":[{"id":314,"uris":["http://zotero.org/users/1841541/items/UPVZ3KRU"],"uri":["http://zotero.org/users/1841541/items/UPVZ3KRU"],"itemData":{"id":314,"type":"article-journal","title":"Identification and genetic analysis of sbcC mutations in commonly used recBC sbcB strains of Escherichia coli K-12","container-title":"Journal of Bacteriology","page":"836-844","volume":"164","issue":"2","source":"PubMed","abstract":"Evidence is presented to show that Escherichia coli JC7618, JC7621, and JC7623, previously regarded as having a recB recC sbcB genotype, carry an additional mutation in a new gene designated sbcC at minute 9 on the standard genetic map. In the absence of the sbcC mutation these strains are sensitive to mitomycin C and have a reduced efficiency of recombination. Cultures of recBC sbcB (sbcC+) strains grow slowly, contain many inviable cells, and rapidly accumulate fast-growing variants due to mutation of sbcC. sbcC has been identified on recombinant plasmids and tentatively located by Tn1000 mutagenesis to a 0.9-kilobase DNA section between proC and phoR.","ISSN":"0021-9193","note":"PMID: 3932331\nPMCID: PMC214327","journalAbbreviation":"J. Bacteriol.","language":"eng","author":[{"family":"Lloyd","given":"R. G."},{"family":"Buckman","given":"C."}],"issued":{"date-parts":[["1985",11]]},"PMID":"3932331","PMCID":"PMC214327"}}],"schema":"https://github.com/citation-style-language/schema/raw/master/csl-citation.json"} </w:instrText>
            </w:r>
            <w:r>
              <w:fldChar w:fldCharType="separate"/>
            </w:r>
            <w:r w:rsidRPr="003E42B4">
              <w:t>(Lloyd and Buckman 1985)</w:t>
            </w:r>
            <w:r>
              <w:fldChar w:fldCharType="end"/>
            </w:r>
          </w:p>
        </w:tc>
      </w:tr>
      <w:tr w:rsidR="003E42B4" w:rsidRPr="00201264" w:rsidTr="003E42B4">
        <w:tc>
          <w:tcPr>
            <w:tcW w:w="999" w:type="dxa"/>
          </w:tcPr>
          <w:p w:rsidR="003E42B4" w:rsidRPr="00201264" w:rsidRDefault="003E42B4" w:rsidP="003E42B4">
            <w:pPr>
              <w:pStyle w:val="Tablebodycopy"/>
            </w:pPr>
            <w:r>
              <w:t>N3793</w:t>
            </w:r>
          </w:p>
        </w:tc>
        <w:tc>
          <w:tcPr>
            <w:tcW w:w="4683" w:type="dxa"/>
          </w:tcPr>
          <w:p w:rsidR="003E42B4" w:rsidRPr="00201264" w:rsidRDefault="003E42B4" w:rsidP="003E42B4">
            <w:pPr>
              <w:pStyle w:val="Tablebodycopy"/>
            </w:pPr>
            <w:r>
              <w:rPr>
                <w:i/>
              </w:rPr>
              <w:t>ΔrecG263::</w:t>
            </w:r>
            <w:proofErr w:type="spellStart"/>
            <w:r>
              <w:rPr>
                <w:i/>
              </w:rPr>
              <w:t>kan</w:t>
            </w:r>
            <w:proofErr w:type="spellEnd"/>
          </w:p>
        </w:tc>
        <w:tc>
          <w:tcPr>
            <w:tcW w:w="3357" w:type="dxa"/>
          </w:tcPr>
          <w:p w:rsidR="003E42B4" w:rsidRPr="00201264" w:rsidRDefault="003E42B4" w:rsidP="003E42B4">
            <w:pPr>
              <w:pStyle w:val="Tablebodycopy"/>
            </w:pPr>
            <w:r>
              <w:fldChar w:fldCharType="begin"/>
            </w:r>
            <w:r>
              <w:instrText xml:space="preserve"> ADDIN ZOTERO_ITEM CSL_CITATION {"citationID":"297l1hml1p","properties":{"formattedCitation":"(Mahdi et al. 1996)","plainCitation":"(Mahdi et al. 1996)"},"citationItems":[{"id":409,"uris":["http://zotero.org/users/1841541/items/F2JQ26R5"],"uri":["http://zotero.org/users/1841541/items/F2JQ26R5"],"itemData":{"id":409,"type":"article-journal","title":"Holliday junction resolvases encoded by homologous rusA genes in Escherichia coli K-12 and phage 82","container-title":"Journal of Molecular Biology","page":"561-573","volume":"257","issue":"3","source":"PubMed","abstract":"The RusA protein of Escherichia coli is an endonuclease that can resolve Holliday intermediates and correct the defects in genetic recombination and DNA repair associated with inactivation of RuvAB or RuvC. The structure of the rusA gene, its organisation in the genome, and its interaction with the Ruv and RecG proteins have been investigated. Recombinant plasmids carrying rusA were identified by their ability to make ruv mutants resistant to UV light. The gene was located to an open reading frame encoding a polypeptide of 120 amino acids. It forms the fifth gene in an operon containing a chain of short, interlinked open reading frames. A similar arrangement was found in the genome of the lambdoid bacteriophage, 82. The two rusA genes show 95% sequence identity. The E. coli operon forms part of the defective lambdoid prophage, DLP12, and is probably derived from a phage related to 82 and PA-2. rusA appears to be very poorly expressed in E. coli, but can be activated by insertion of IS2 or IS10 upstream of the coding sequence to promote transcription. These insertions arise spontaneously in ruv strains as suppressors of the mutant phenotype. Deletion of rusA from the chromosome of either wild-type or ruv mutant strains has no obvious effect on recombination or sensitivity to UV light. Multicopy plasmids expressing RusA alone make ruvA, ruvB, and ruvC mutants resistant to UV light. Suppression depends critically on RecG.","DOI":"10.1006/jmbi.1996.0185","ISSN":"0022-2836","note":"PMID: 8648624","journalAbbreviation":"J. Mol. Biol.","language":"eng","author":[{"family":"Mahdi","given":"A. A."},{"family":"Sharples","given":"G. J."},{"family":"Mandal","given":"T. N."},{"family":"Lloyd","given":"R. G."}],"issued":{"date-parts":[["1996",4,5]]},"PMID":"8648624"}}],"schema":"https://github.com/citation-style-language/schema/raw/master/csl-citation.json"} </w:instrText>
            </w:r>
            <w:r>
              <w:fldChar w:fldCharType="separate"/>
            </w:r>
            <w:r w:rsidRPr="003E42B4">
              <w:t>(Mahdi et al. 1996)</w:t>
            </w:r>
            <w:r>
              <w:fldChar w:fldCharType="end"/>
            </w:r>
          </w:p>
        </w:tc>
      </w:tr>
      <w:tr w:rsidR="003E42B4" w:rsidRPr="00201264" w:rsidTr="003E42B4">
        <w:tc>
          <w:tcPr>
            <w:tcW w:w="999" w:type="dxa"/>
          </w:tcPr>
          <w:p w:rsidR="003E42B4" w:rsidRPr="00201264" w:rsidRDefault="003E42B4" w:rsidP="003E42B4">
            <w:pPr>
              <w:pStyle w:val="Tablebodycopy"/>
              <w:rPr>
                <w:lang w:val="de-DE"/>
              </w:rPr>
            </w:pPr>
            <w:r>
              <w:rPr>
                <w:lang w:val="de-DE"/>
              </w:rPr>
              <w:t>N4361</w:t>
            </w:r>
          </w:p>
        </w:tc>
        <w:tc>
          <w:tcPr>
            <w:tcW w:w="4683" w:type="dxa"/>
          </w:tcPr>
          <w:p w:rsidR="003E42B4" w:rsidRPr="00201264" w:rsidRDefault="003E42B4" w:rsidP="003E42B4">
            <w:pPr>
              <w:pStyle w:val="Tablebodycopy"/>
              <w:rPr>
                <w:lang w:val="de-DE"/>
              </w:rPr>
            </w:pPr>
            <w:proofErr w:type="spellStart"/>
            <w:r w:rsidRPr="003F330A">
              <w:rPr>
                <w:i/>
              </w:rPr>
              <w:t>tnaA</w:t>
            </w:r>
            <w:proofErr w:type="spellEnd"/>
            <w:r w:rsidRPr="003F330A">
              <w:rPr>
                <w:i/>
              </w:rPr>
              <w:t>::</w:t>
            </w:r>
            <w:r w:rsidRPr="003F330A">
              <w:t>Tn</w:t>
            </w:r>
            <w:r w:rsidRPr="003F330A">
              <w:rPr>
                <w:i/>
              </w:rPr>
              <w:t>10 recF143</w:t>
            </w:r>
          </w:p>
        </w:tc>
        <w:tc>
          <w:tcPr>
            <w:tcW w:w="3357" w:type="dxa"/>
          </w:tcPr>
          <w:p w:rsidR="003E42B4" w:rsidRPr="00201264" w:rsidRDefault="003E42B4" w:rsidP="003E42B4">
            <w:pPr>
              <w:pStyle w:val="Tablebodycopy"/>
              <w:rPr>
                <w:vertAlign w:val="superscript"/>
              </w:rPr>
            </w:pPr>
            <w:r>
              <w:fldChar w:fldCharType="begin"/>
            </w:r>
            <w:r>
              <w:instrText xml:space="preserve"> ADDIN ZOTERO_ITEM CSL_CITATION {"citationID":"cmnQk8yL","properties":{"formattedCitation":"(Mahdi et al. 2012)","plainCitation":"(Mahdi et al. 2012)"},"citationItems":[{"id":71,"uris":["http://zotero.org/users/1841541/items/SHAXSRFF"],"uri":["http://zotero.org/users/1841541/items/SHAXSRFF"],"itemData":{"id":71,"type":"article-journal","title":"Modulation of DNA damage tolerance in Escherichia coli recG and ruv strains by mutations affecting PriB, the ribosome and RNA polymerase","container-title":"Molecular microbiology","page":"675-691","volume":"86","issue":"3","source":"NCBI PubMed","abstract":"RecG is a DNA translocase that helps to maintain genomic integrity. Initial studies suggested a role in promoting recombination, a possibility consistent with synergism between recG and ruv null alleles and reinforced when the protein was shown to unwind Holliday junctions. In this article we describe novel suppressors of recG and show that the pathology seen without RecG is suppressed on reducing or eliminating PriB, a component of the PriA system for replisome assembly and replication restart. Suppression is conditional, depending on additional mutations that modify ribosomal subunit S6 or one of three subunits of RNA polymerase. The latter suppress phenotypes associated with deletion of priB, enabling the deletion to suppress recG. They include alleles likely to disrupt interactions with transcription anti-terminator, NusA. Deleting priB has a different effect in ruv strains. It provokes abortive recombination and compromises DNA repair in a manner consistent with PriB being required to limit exposure of recombinogenic ssDNA. This synergism is reduced by the RNA polymerase mutations identified. Taken together, the results reveal that RecG curbs a potentially negative effect of proteins that direct replication fork assembly at sites removed from the normal origin, a facility needed to resolve conflicts between replication and transcription.","DOI":"10.1111/mmi.12010","ISSN":"1365-2958","note":"PMID: 22957744 \nPMCID: PMC3533792","journalAbbreviation":"Mol. Microbiol.","language":"eng","author":[{"family":"Mahdi","given":"Akeel A"},{"family":"Briggs","given":"Geoffrey S"},{"family":"Lloyd","given":"Robert G"}],"issued":{"date-parts":[["2012",11]]},"PMID":"22957744","PMCID":"PMC3533792"}}],"schema":"https://github.com/citation-style-language/schema/raw/master/csl-citation.json"} </w:instrText>
            </w:r>
            <w:r>
              <w:fldChar w:fldCharType="separate"/>
            </w:r>
            <w:r w:rsidRPr="003E42B4">
              <w:t>(Mahdi et al. 2012)</w:t>
            </w:r>
            <w:r>
              <w:fldChar w:fldCharType="end"/>
            </w:r>
          </w:p>
        </w:tc>
      </w:tr>
      <w:tr w:rsidR="003E42B4" w:rsidTr="003E42B4">
        <w:tc>
          <w:tcPr>
            <w:tcW w:w="999" w:type="dxa"/>
          </w:tcPr>
          <w:p w:rsidR="003E42B4" w:rsidRDefault="003E42B4" w:rsidP="003E42B4">
            <w:pPr>
              <w:pStyle w:val="Tablebodycopy"/>
            </w:pPr>
            <w:r>
              <w:t>N4454</w:t>
            </w:r>
          </w:p>
        </w:tc>
        <w:tc>
          <w:tcPr>
            <w:tcW w:w="4683" w:type="dxa"/>
          </w:tcPr>
          <w:p w:rsidR="003E42B4" w:rsidRPr="00D65B41" w:rsidRDefault="003E42B4" w:rsidP="003E42B4">
            <w:pPr>
              <w:pStyle w:val="Tablebodycopy"/>
            </w:pPr>
            <w:proofErr w:type="spellStart"/>
            <w:r>
              <w:rPr>
                <w:i/>
              </w:rPr>
              <w:t>ΔruvABC</w:t>
            </w:r>
            <w:proofErr w:type="spellEnd"/>
            <w:r>
              <w:rPr>
                <w:i/>
              </w:rPr>
              <w:t>::cat</w:t>
            </w:r>
          </w:p>
        </w:tc>
        <w:tc>
          <w:tcPr>
            <w:tcW w:w="3357" w:type="dxa"/>
          </w:tcPr>
          <w:p w:rsidR="003E42B4" w:rsidRDefault="003E42B4" w:rsidP="003E42B4">
            <w:pPr>
              <w:pStyle w:val="Tablebodycopy"/>
            </w:pPr>
            <w:r>
              <w:fldChar w:fldCharType="begin"/>
            </w:r>
            <w:r>
              <w:instrText xml:space="preserve"> ADDIN ZOTERO_ITEM CSL_CITATION {"citationID":"13fllsor6d","properties":{"formattedCitation":"(Jaktaji and Lloyd 2003)","plainCitation":"(Jaktaji and Lloyd 2003)"},"citationItems":[{"id":114,"uris":["http://zotero.org/users/1841541/items/A93U6526"],"uri":["http://zotero.org/users/1841541/items/A93U6526"],"itemData":{"id":114,"type":"article-journal","title":"PriA supports two distinct pathways for replication restart in UV-irradiated Escherichia coli cells","container-title":"Molecular microbiology","page":"1091-1100","volume":"47","issue":"4","source":"NCBI PubMed","abstract":"The Escherichia coli PriA protein loads the DnaB replicative helicase at branched DNA structures independently of the replication initiator protein, DnaA, and thereby facilitates assembly of functional replisomes at sites removed from oriC. It is therefore a critical factor in the rescue of replication forks stalled at DNA lesions. It is also a DNA helicase. We describe insertions near the 3' end of priA that interfere with PriA activity. These insertions and the previously described priA300 encoding helicase-defective PriA K230R are shown to be effective suppressors of the DNA repair defect in recG strains, but substantially reduce the ability of ruv mutants to survive DNA damage. The data presented suggest that PriA helicase in conjunction with RecG can promote direct rescue of stalled forks independently of the recombinational pathway promoted by the combined activities of the RuvABC, RecBCD and RecA proteins, which requires only the primosome assembly activity of PriA to load DnaB at D loops. In cells lacking the helicase activity of PriA, we propose that stalled forks can be redirected to the recombination pathway via a Holliday junction intermediate common to both pathways, thus explaining the resistance of these cells to DNA damage.","ISSN":"0950-382X","note":"PMID: 12581361","journalAbbreviation":"Mol. Microbiol.","language":"eng","author":[{"family":"Jaktaji","given":"Razieh P"},{"family":"Lloyd","given":"Robert G"}],"issued":{"date-parts":[["2003",2]]},"PMID":"12581361"}}],"schema":"https://github.com/citation-style-language/schema/raw/master/csl-citation.json"} </w:instrText>
            </w:r>
            <w:r>
              <w:fldChar w:fldCharType="separate"/>
            </w:r>
            <w:r w:rsidRPr="003E42B4">
              <w:t>(Jaktaji and Lloyd 2003)</w:t>
            </w:r>
            <w:r>
              <w:fldChar w:fldCharType="end"/>
            </w:r>
          </w:p>
        </w:tc>
      </w:tr>
      <w:tr w:rsidR="003E42B4" w:rsidRPr="00201264" w:rsidTr="003E42B4">
        <w:tc>
          <w:tcPr>
            <w:tcW w:w="999" w:type="dxa"/>
          </w:tcPr>
          <w:p w:rsidR="003E42B4" w:rsidRPr="00201264" w:rsidRDefault="003E42B4" w:rsidP="003E42B4">
            <w:pPr>
              <w:pStyle w:val="Tablebodycopy"/>
            </w:pPr>
            <w:r>
              <w:t>N4549</w:t>
            </w:r>
          </w:p>
        </w:tc>
        <w:tc>
          <w:tcPr>
            <w:tcW w:w="4683" w:type="dxa"/>
          </w:tcPr>
          <w:p w:rsidR="003E42B4" w:rsidRPr="00201264" w:rsidRDefault="003E42B4" w:rsidP="003E42B4">
            <w:pPr>
              <w:pStyle w:val="Tablebodycopy"/>
            </w:pPr>
            <w:proofErr w:type="spellStart"/>
            <w:r>
              <w:rPr>
                <w:i/>
              </w:rPr>
              <w:t>ΔruvABC</w:t>
            </w:r>
            <w:proofErr w:type="spellEnd"/>
            <w:r>
              <w:rPr>
                <w:i/>
              </w:rPr>
              <w:t>::cat ΔrecG263::</w:t>
            </w:r>
            <w:proofErr w:type="spellStart"/>
            <w:r>
              <w:rPr>
                <w:i/>
              </w:rPr>
              <w:t>kan</w:t>
            </w:r>
            <w:proofErr w:type="spellEnd"/>
          </w:p>
        </w:tc>
        <w:tc>
          <w:tcPr>
            <w:tcW w:w="3357" w:type="dxa"/>
          </w:tcPr>
          <w:p w:rsidR="003E42B4" w:rsidRPr="00201264" w:rsidRDefault="003E42B4" w:rsidP="003E42B4">
            <w:pPr>
              <w:pStyle w:val="Tablebodycopy"/>
              <w:rPr>
                <w:vertAlign w:val="superscript"/>
              </w:rPr>
            </w:pPr>
            <w:r>
              <w:t xml:space="preserve">N4454 × P1.N3793 to </w:t>
            </w:r>
            <w:proofErr w:type="spellStart"/>
            <w:r>
              <w:t>Km</w:t>
            </w:r>
            <w:r>
              <w:rPr>
                <w:vertAlign w:val="superscript"/>
              </w:rPr>
              <w:t>r</w:t>
            </w:r>
            <w:proofErr w:type="spellEnd"/>
          </w:p>
        </w:tc>
      </w:tr>
      <w:tr w:rsidR="003E42B4" w:rsidTr="003E42B4">
        <w:tc>
          <w:tcPr>
            <w:tcW w:w="999" w:type="dxa"/>
          </w:tcPr>
          <w:p w:rsidR="003E42B4" w:rsidRDefault="003E42B4" w:rsidP="003E42B4">
            <w:pPr>
              <w:pStyle w:val="Tablebodycopy"/>
            </w:pPr>
            <w:r>
              <w:t>N4574</w:t>
            </w:r>
          </w:p>
        </w:tc>
        <w:tc>
          <w:tcPr>
            <w:tcW w:w="4683" w:type="dxa"/>
          </w:tcPr>
          <w:p w:rsidR="003E42B4" w:rsidRPr="0087654E" w:rsidRDefault="003E42B4" w:rsidP="003E42B4">
            <w:pPr>
              <w:pStyle w:val="Tablebodycopy"/>
              <w:rPr>
                <w:i/>
              </w:rPr>
            </w:pPr>
            <w:r>
              <w:rPr>
                <w:i/>
              </w:rPr>
              <w:t xml:space="preserve">relA1 ΔspoT207::cat </w:t>
            </w:r>
            <w:proofErr w:type="spellStart"/>
            <w:r>
              <w:rPr>
                <w:i/>
              </w:rPr>
              <w:t>rpoB</w:t>
            </w:r>
            <w:proofErr w:type="spellEnd"/>
            <w:r>
              <w:rPr>
                <w:i/>
              </w:rPr>
              <w:t>*35 ΔruvC65 eda-51::</w:t>
            </w:r>
            <w:r>
              <w:t>Tn</w:t>
            </w:r>
            <w:r>
              <w:rPr>
                <w:i/>
              </w:rPr>
              <w:t xml:space="preserve">10 </w:t>
            </w:r>
            <w:r>
              <w:rPr>
                <w:i/>
              </w:rPr>
              <w:br/>
              <w:t>rus-2 (orf-56::IS10)</w:t>
            </w:r>
          </w:p>
        </w:tc>
        <w:tc>
          <w:tcPr>
            <w:tcW w:w="3357" w:type="dxa"/>
          </w:tcPr>
          <w:p w:rsidR="003E42B4" w:rsidRDefault="003E42B4" w:rsidP="003E42B4">
            <w:pPr>
              <w:pStyle w:val="Tablebodycopy"/>
            </w:pPr>
            <w:r>
              <w:fldChar w:fldCharType="begin"/>
            </w:r>
            <w:r>
              <w:instrText xml:space="preserve"> ADDIN ZOTERO_ITEM CSL_CITATION {"citationID":"2evq122q5t","properties":{"formattedCitation":"(Mahdi et al. 2006)","plainCitation":"(Mahdi et al. 2006)"},"citationItems":[{"id":65,"uris":["http://zotero.org/users/1841541/items/VVJ9K4R5"],"uri":["http://zotero.org/users/1841541/items/VVJ9K4R5"],"itemData":{"id":65,"type":"article-journal","title":"Rep and PriA helicase activities prevent RecA from provoking unnecessary recombination during replication fork repair","container-title":"Genes &amp; development","page":"2135-2147","volume":"20","issue":"15","source":"NCBI PubMed","abstract":"The rescue of replication forks stalled on the template DNA was investigated using an assay for synthetic lethality that provides a visual readout of cell viability and permits investigation of why certain mutations are lethal when combined. The results presented show that RecA and other recombination proteins are often engaged during replication because RecA is present and provokes recombination rather than because recombination is necessary. This occurs particularly frequently in cells lacking the helicase activities of Rep and PriA. We propose that these two proteins normally limit the loading of RecA on ssDNA regions exposed on the leading strand template of damaged forks, and do so by unwinding the nascent lagging strand, thus facilitating reannealing of the parental strands. Gap closure followed by loading of the DnaB replicative helicase enables synthesis of the leading strand to continue. Without either activity, RecA loads more frequently on the DNA and drives fork reversal, which creates a chickenfoot structure and a requirement for other recombination proteins to re-establish a viable fork. The assay also reveals that stalled transcription complexes are common impediments to fork progression, and that damaged forks often reverse independently of RecA.","DOI":"10.1101/gad.382306","ISSN":"0890-9369","note":"PMID: 16882986 \nPMCID: PMC1536063","journalAbbreviation":"Genes Dev.","language":"eng","author":[{"family":"Mahdi","given":"Akeel A"},{"family":"Buckman","given":"Carol"},{"family":"Harris","given":"Lynda"},{"family":"Lloyd","given":"Robert G"}],"issued":{"date-parts":[["2006",8,1]]},"PMID":"16882986","PMCID":"PMC1536063"}}],"schema":"https://github.com/citation-style-language/schema/raw/master/csl-citation.json"} </w:instrText>
            </w:r>
            <w:r>
              <w:fldChar w:fldCharType="separate"/>
            </w:r>
            <w:r w:rsidRPr="003E42B4">
              <w:t>(Mahdi et al. 2006)</w:t>
            </w:r>
            <w:r>
              <w:fldChar w:fldCharType="end"/>
            </w:r>
          </w:p>
        </w:tc>
      </w:tr>
      <w:tr w:rsidR="003E42B4" w:rsidTr="003E42B4">
        <w:tc>
          <w:tcPr>
            <w:tcW w:w="999" w:type="dxa"/>
          </w:tcPr>
          <w:p w:rsidR="003E42B4" w:rsidRDefault="003E42B4" w:rsidP="003E42B4">
            <w:pPr>
              <w:pStyle w:val="Tablebodycopy"/>
            </w:pPr>
            <w:r>
              <w:t>N4884</w:t>
            </w:r>
          </w:p>
        </w:tc>
        <w:tc>
          <w:tcPr>
            <w:tcW w:w="4683" w:type="dxa"/>
          </w:tcPr>
          <w:p w:rsidR="003E42B4" w:rsidRPr="00201264" w:rsidRDefault="003E42B4" w:rsidP="003E42B4">
            <w:pPr>
              <w:pStyle w:val="Tablebodycopy"/>
              <w:rPr>
                <w:i/>
              </w:rPr>
            </w:pPr>
            <w:proofErr w:type="spellStart"/>
            <w:r>
              <w:rPr>
                <w:i/>
              </w:rPr>
              <w:t>rpoB</w:t>
            </w:r>
            <w:proofErr w:type="spellEnd"/>
            <w:r>
              <w:rPr>
                <w:i/>
              </w:rPr>
              <w:t xml:space="preserve">*35 </w:t>
            </w:r>
            <w:proofErr w:type="spellStart"/>
            <w:r>
              <w:rPr>
                <w:i/>
              </w:rPr>
              <w:t>ΔruvABC</w:t>
            </w:r>
            <w:proofErr w:type="spellEnd"/>
            <w:r>
              <w:rPr>
                <w:i/>
              </w:rPr>
              <w:t>::cat</w:t>
            </w:r>
          </w:p>
        </w:tc>
        <w:tc>
          <w:tcPr>
            <w:tcW w:w="3357" w:type="dxa"/>
          </w:tcPr>
          <w:p w:rsidR="003E42B4" w:rsidRDefault="003E42B4" w:rsidP="003E42B4">
            <w:pPr>
              <w:pStyle w:val="Tablebodycopy"/>
            </w:pPr>
            <w:r>
              <w:fldChar w:fldCharType="begin"/>
            </w:r>
            <w:r>
              <w:instrText xml:space="preserve"> ADDIN ZOTERO_ITEM CSL_CITATION {"citationID":"1siflnli67","properties":{"formattedCitation":"(Mahdi et al. 2006)","plainCitation":"(Mahdi et al. 2006)"},"citationItems":[{"id":65,"uris":["http://zotero.org/users/1841541/items/VVJ9K4R5"],"uri":["http://zotero.org/users/1841541/items/VVJ9K4R5"],"itemData":{"id":65,"type":"article-journal","title":"Rep and PriA helicase activities prevent RecA from provoking unnecessary recombination during replication fork repair","container-title":"Genes &amp; development","page":"2135-2147","volume":"20","issue":"15","source":"NCBI PubMed","abstract":"The rescue of replication forks stalled on the template DNA was investigated using an assay for synthetic lethality that provides a visual readout of cell viability and permits investigation of why certain mutations are lethal when combined. The results presented show that RecA and other recombination proteins are often engaged during replication because RecA is present and provokes recombination rather than because recombination is necessary. This occurs particularly frequently in cells lacking the helicase activities of Rep and PriA. We propose that these two proteins normally limit the loading of RecA on ssDNA regions exposed on the leading strand template of damaged forks, and do so by unwinding the nascent lagging strand, thus facilitating reannealing of the parental strands. Gap closure followed by loading of the DnaB replicative helicase enables synthesis of the leading strand to continue. Without either activity, RecA loads more frequently on the DNA and drives fork reversal, which creates a chickenfoot structure and a requirement for other recombination proteins to re-establish a viable fork. The assay also reveals that stalled transcription complexes are common impediments to fork progression, and that damaged forks often reverse independently of RecA.","DOI":"10.1101/gad.382306","ISSN":"0890-9369","note":"PMID: 16882986 \nPMCID: PMC1536063","journalAbbreviation":"Genes Dev.","language":"eng","author":[{"family":"Mahdi","given":"Akeel A"},{"family":"Buckman","given":"Carol"},{"family":"Harris","given":"Lynda"},{"family":"Lloyd","given":"Robert G"}],"issued":{"date-parts":[["2006",8,1]]},"PMID":"16882986","PMCID":"PMC1536063"}}],"schema":"https://github.com/citation-style-language/schema/raw/master/csl-citation.json"} </w:instrText>
            </w:r>
            <w:r>
              <w:fldChar w:fldCharType="separate"/>
            </w:r>
            <w:r w:rsidRPr="003E42B4">
              <w:t>(Mahdi et al. 2006)</w:t>
            </w:r>
            <w:r>
              <w:fldChar w:fldCharType="end"/>
            </w:r>
          </w:p>
        </w:tc>
      </w:tr>
      <w:tr w:rsidR="003E42B4" w:rsidRPr="00201264" w:rsidTr="003E42B4">
        <w:tc>
          <w:tcPr>
            <w:tcW w:w="999" w:type="dxa"/>
          </w:tcPr>
          <w:p w:rsidR="003E42B4" w:rsidRPr="00201264" w:rsidRDefault="003E42B4" w:rsidP="003E42B4">
            <w:pPr>
              <w:pStyle w:val="Tablebodycopy"/>
            </w:pPr>
            <w:r>
              <w:t>N5501</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p>
        </w:tc>
        <w:tc>
          <w:tcPr>
            <w:tcW w:w="3357" w:type="dxa"/>
          </w:tcPr>
          <w:p w:rsidR="003E42B4" w:rsidRPr="00201264" w:rsidRDefault="003E42B4" w:rsidP="003E42B4">
            <w:pPr>
              <w:pStyle w:val="Tablebodycopy"/>
            </w:pPr>
            <w:r>
              <w:fldChar w:fldCharType="begin"/>
            </w:r>
            <w:r>
              <w:instrText xml:space="preserve"> ADDIN ZOTERO_ITEM CSL_CITATION {"citationID":"q6ooakk4j","properties":{"formattedCitation":"(Jaktaji and Lloyd 2003)","plainCitation":"(Jaktaji and Lloyd 2003)"},"citationItems":[{"id":114,"uris":["http://zotero.org/users/1841541/items/A93U6526"],"uri":["http://zotero.org/users/1841541/items/A93U6526"],"itemData":{"id":114,"type":"article-journal","title":"PriA supports two distinct pathways for replication restart in UV-irradiated Escherichia coli cells","container-title":"Molecular microbiology","page":"1091-1100","volume":"47","issue":"4","source":"NCBI PubMed","abstract":"The Escherichia coli PriA protein loads the DnaB replicative helicase at branched DNA structures independently of the replication initiator protein, DnaA, and thereby facilitates assembly of functional replisomes at sites removed from oriC. It is therefore a critical factor in the rescue of replication forks stalled at DNA lesions. It is also a DNA helicase. We describe insertions near the 3' end of priA that interfere with PriA activity. These insertions and the previously described priA300 encoding helicase-defective PriA K230R are shown to be effective suppressors of the DNA repair defect in recG strains, but substantially reduce the ability of ruv mutants to survive DNA damage. The data presented suggest that PriA helicase in conjunction with RecG can promote direct rescue of stalled forks independently of the recombinational pathway promoted by the combined activities of the RuvABC, RecBCD and RecA proteins, which requires only the primosome assembly activity of PriA to load DnaB at D loops. In cells lacking the helicase activity of PriA, we propose that stalled forks can be redirected to the recombination pathway via a Holliday junction intermediate common to both pathways, thus explaining the resistance of these cells to DNA damage.","ISSN":"0950-382X","note":"PMID: 12581361","journalAbbreviation":"Mol. Microbiol.","language":"eng","author":[{"family":"Jaktaji","given":"Razieh P"},{"family":"Lloyd","given":"Robert G"}],"issued":{"date-parts":[["2003",2]]},"PMID":"12581361"}}],"schema":"https://github.com/citation-style-language/schema/raw/master/csl-citation.json"} </w:instrText>
            </w:r>
            <w:r>
              <w:fldChar w:fldCharType="separate"/>
            </w:r>
            <w:r w:rsidRPr="003E42B4">
              <w:t>(Jaktaji and Lloyd 2003)</w:t>
            </w:r>
            <w:r>
              <w:fldChar w:fldCharType="end"/>
            </w:r>
          </w:p>
        </w:tc>
      </w:tr>
      <w:tr w:rsidR="003E42B4" w:rsidRPr="00440469" w:rsidTr="003E42B4">
        <w:tc>
          <w:tcPr>
            <w:tcW w:w="999" w:type="dxa"/>
          </w:tcPr>
          <w:p w:rsidR="003E42B4" w:rsidRPr="00201264" w:rsidRDefault="003E42B4" w:rsidP="003E42B4">
            <w:pPr>
              <w:pStyle w:val="Tablebodycopy"/>
            </w:pPr>
            <w:r>
              <w:t>N5510</w:t>
            </w:r>
          </w:p>
        </w:tc>
        <w:tc>
          <w:tcPr>
            <w:tcW w:w="4683" w:type="dxa"/>
          </w:tcPr>
          <w:p w:rsidR="003E42B4" w:rsidRPr="00201264" w:rsidRDefault="003E42B4" w:rsidP="003E42B4">
            <w:pPr>
              <w:pStyle w:val="Tablebodycopy"/>
            </w:pPr>
            <w:proofErr w:type="spellStart"/>
            <w:r w:rsidRPr="00201264">
              <w:rPr>
                <w:i/>
              </w:rPr>
              <w:t>argE</w:t>
            </w:r>
            <w:proofErr w:type="spellEnd"/>
            <w:r w:rsidRPr="00201264">
              <w:rPr>
                <w:i/>
                <w:vertAlign w:val="superscript"/>
              </w:rPr>
              <w:t>+</w:t>
            </w:r>
            <w:r w:rsidRPr="00201264">
              <w:rPr>
                <w:i/>
              </w:rPr>
              <w:t xml:space="preserve"> priA300</w:t>
            </w:r>
            <w:r>
              <w:rPr>
                <w:i/>
              </w:rPr>
              <w:t xml:space="preserve"> </w:t>
            </w:r>
            <w:proofErr w:type="spellStart"/>
            <w:r>
              <w:rPr>
                <w:i/>
              </w:rPr>
              <w:t>ΔruvABC</w:t>
            </w:r>
            <w:proofErr w:type="spellEnd"/>
            <w:r>
              <w:rPr>
                <w:i/>
              </w:rPr>
              <w:t>::cat</w:t>
            </w:r>
          </w:p>
        </w:tc>
        <w:tc>
          <w:tcPr>
            <w:tcW w:w="3357" w:type="dxa"/>
          </w:tcPr>
          <w:p w:rsidR="003E42B4" w:rsidRPr="00440469" w:rsidRDefault="003E42B4" w:rsidP="003E42B4">
            <w:pPr>
              <w:pStyle w:val="Tablebodycopy"/>
              <w:rPr>
                <w:vertAlign w:val="superscript"/>
              </w:rPr>
            </w:pPr>
            <w:r>
              <w:t xml:space="preserve">N5501 × P1.N4454 to </w:t>
            </w:r>
            <w:proofErr w:type="spellStart"/>
            <w:r>
              <w:t>Cm</w:t>
            </w:r>
            <w:r>
              <w:rPr>
                <w:vertAlign w:val="superscript"/>
              </w:rPr>
              <w:t>r</w:t>
            </w:r>
            <w:proofErr w:type="spellEnd"/>
          </w:p>
        </w:tc>
      </w:tr>
      <w:tr w:rsidR="003E42B4" w:rsidRPr="00440469" w:rsidTr="003E42B4">
        <w:tc>
          <w:tcPr>
            <w:tcW w:w="999" w:type="dxa"/>
          </w:tcPr>
          <w:p w:rsidR="003E42B4" w:rsidRPr="00201264" w:rsidRDefault="003E42B4" w:rsidP="003E42B4">
            <w:pPr>
              <w:pStyle w:val="Tablebodycopy"/>
            </w:pPr>
            <w:r>
              <w:t>N5512</w:t>
            </w:r>
          </w:p>
        </w:tc>
        <w:tc>
          <w:tcPr>
            <w:tcW w:w="4683" w:type="dxa"/>
          </w:tcPr>
          <w:p w:rsidR="003E42B4" w:rsidRPr="00201264" w:rsidRDefault="003E42B4" w:rsidP="003E42B4">
            <w:pPr>
              <w:pStyle w:val="Tablebodycopy"/>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p>
        </w:tc>
        <w:tc>
          <w:tcPr>
            <w:tcW w:w="3357" w:type="dxa"/>
          </w:tcPr>
          <w:p w:rsidR="003E42B4" w:rsidRPr="00440469" w:rsidRDefault="003E42B4" w:rsidP="003E42B4">
            <w:pPr>
              <w:pStyle w:val="Tablebodycopy"/>
              <w:rPr>
                <w:vertAlign w:val="superscript"/>
              </w:rPr>
            </w:pPr>
            <w:r>
              <w:t xml:space="preserve">N5501 × P1.N3793 to </w:t>
            </w:r>
            <w:proofErr w:type="spellStart"/>
            <w:r>
              <w:t>Km</w:t>
            </w:r>
            <w:r>
              <w:rPr>
                <w:vertAlign w:val="superscript"/>
              </w:rPr>
              <w:t>r</w:t>
            </w:r>
            <w:proofErr w:type="spellEnd"/>
          </w:p>
        </w:tc>
      </w:tr>
      <w:tr w:rsidR="003E42B4" w:rsidRPr="00440469" w:rsidTr="003E42B4">
        <w:tc>
          <w:tcPr>
            <w:tcW w:w="999" w:type="dxa"/>
          </w:tcPr>
          <w:p w:rsidR="003E42B4" w:rsidRDefault="003E42B4" w:rsidP="003E42B4">
            <w:pPr>
              <w:pStyle w:val="Tablebodycopy"/>
            </w:pPr>
            <w:r>
              <w:t>N5516</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w:t>
            </w:r>
            <w:proofErr w:type="spellStart"/>
            <w:r>
              <w:rPr>
                <w:i/>
              </w:rPr>
              <w:t>ΔruvABC</w:t>
            </w:r>
            <w:proofErr w:type="spellEnd"/>
            <w:r>
              <w:rPr>
                <w:i/>
              </w:rPr>
              <w:t>::cat ΔrecG263::</w:t>
            </w:r>
            <w:proofErr w:type="spellStart"/>
            <w:r>
              <w:rPr>
                <w:i/>
              </w:rPr>
              <w:t>kan</w:t>
            </w:r>
            <w:proofErr w:type="spellEnd"/>
          </w:p>
        </w:tc>
        <w:tc>
          <w:tcPr>
            <w:tcW w:w="3357" w:type="dxa"/>
          </w:tcPr>
          <w:p w:rsidR="003E42B4" w:rsidRPr="00440469" w:rsidRDefault="003E42B4" w:rsidP="003E42B4">
            <w:pPr>
              <w:pStyle w:val="Tablebodycopy"/>
              <w:rPr>
                <w:vertAlign w:val="superscript"/>
              </w:rPr>
            </w:pPr>
            <w:r>
              <w:t xml:space="preserve">N5510 × P1.N3793 to </w:t>
            </w:r>
            <w:proofErr w:type="spellStart"/>
            <w:r>
              <w:t>Km</w:t>
            </w:r>
            <w:r>
              <w:rPr>
                <w:vertAlign w:val="superscript"/>
              </w:rPr>
              <w:t>r</w:t>
            </w:r>
            <w:proofErr w:type="spellEnd"/>
          </w:p>
        </w:tc>
      </w:tr>
      <w:tr w:rsidR="003E42B4" w:rsidTr="003E42B4">
        <w:tc>
          <w:tcPr>
            <w:tcW w:w="999" w:type="dxa"/>
          </w:tcPr>
          <w:p w:rsidR="003E42B4" w:rsidRDefault="003E42B4" w:rsidP="003E42B4">
            <w:pPr>
              <w:pStyle w:val="Tablebodycopy"/>
            </w:pPr>
            <w:r>
              <w:t>N5602</w:t>
            </w:r>
          </w:p>
        </w:tc>
        <w:tc>
          <w:tcPr>
            <w:tcW w:w="4683" w:type="dxa"/>
          </w:tcPr>
          <w:p w:rsidR="003E42B4" w:rsidRPr="00201264" w:rsidRDefault="003E42B4" w:rsidP="003E42B4">
            <w:pPr>
              <w:pStyle w:val="Tablebodycopy"/>
              <w:rPr>
                <w:i/>
              </w:rPr>
            </w:pPr>
            <w:proofErr w:type="spellStart"/>
            <w:r>
              <w:rPr>
                <w:i/>
              </w:rPr>
              <w:t>ΔrecQ</w:t>
            </w:r>
            <w:proofErr w:type="spellEnd"/>
            <w:r>
              <w:rPr>
                <w:i/>
              </w:rPr>
              <w:t>::</w:t>
            </w:r>
            <w:proofErr w:type="spellStart"/>
            <w:r>
              <w:rPr>
                <w:i/>
              </w:rPr>
              <w:t>kan</w:t>
            </w:r>
            <w:proofErr w:type="spellEnd"/>
          </w:p>
        </w:tc>
        <w:tc>
          <w:tcPr>
            <w:tcW w:w="3357" w:type="dxa"/>
          </w:tcPr>
          <w:p w:rsidR="003E42B4" w:rsidRDefault="003E42B4" w:rsidP="003E42B4">
            <w:pPr>
              <w:pStyle w:val="Tablebodycopy"/>
            </w:pPr>
            <w:r>
              <w:fldChar w:fldCharType="begin"/>
            </w:r>
            <w:r>
              <w:instrText xml:space="preserve"> ADDIN ZOTERO_ITEM CSL_CITATION {"citationID":"t7i3brncd","properties":{"formattedCitation":"(Mahdi et al. 2006)","plainCitation":"(Mahdi et al. 2006)"},"citationItems":[{"id":65,"uris":["http://zotero.org/users/1841541/items/VVJ9K4R5"],"uri":["http://zotero.org/users/1841541/items/VVJ9K4R5"],"itemData":{"id":65,"type":"article-journal","title":"Rep and PriA helicase activities prevent RecA from provoking unnecessary recombination during replication fork repair","container-title":"Genes &amp; development","page":"2135-2147","volume":"20","issue":"15","source":"NCBI PubMed","abstract":"The rescue of replication forks stalled on the template DNA was investigated using an assay for synthetic lethality that provides a visual readout of cell viability and permits investigation of why certain mutations are lethal when combined. The results presented show that RecA and other recombination proteins are often engaged during replication because RecA is present and provokes recombination rather than because recombination is necessary. This occurs particularly frequently in cells lacking the helicase activities of Rep and PriA. We propose that these two proteins normally limit the loading of RecA on ssDNA regions exposed on the leading strand template of damaged forks, and do so by unwinding the nascent lagging strand, thus facilitating reannealing of the parental strands. Gap closure followed by loading of the DnaB replicative helicase enables synthesis of the leading strand to continue. Without either activity, RecA loads more frequently on the DNA and drives fork reversal, which creates a chickenfoot structure and a requirement for other recombination proteins to re-establish a viable fork. The assay also reveals that stalled transcription complexes are common impediments to fork progression, and that damaged forks often reverse independently of RecA.","DOI":"10.1101/gad.382306","ISSN":"0890-9369","note":"PMID: 16882986 \nPMCID: PMC1536063","journalAbbreviation":"Genes Dev.","language":"eng","author":[{"family":"Mahdi","given":"Akeel A"},{"family":"Buckman","given":"Carol"},{"family":"Harris","given":"Lynda"},{"family":"Lloyd","given":"Robert G"}],"issued":{"date-parts":[["2006",8,1]]},"PMID":"16882986","PMCID":"PMC1536063"}}],"schema":"https://github.com/citation-style-language/schema/raw/master/csl-citation.json"} </w:instrText>
            </w:r>
            <w:r>
              <w:fldChar w:fldCharType="separate"/>
            </w:r>
            <w:r w:rsidRPr="003E42B4">
              <w:t>(Mahdi et al. 2006)</w:t>
            </w:r>
            <w:r>
              <w:fldChar w:fldCharType="end"/>
            </w:r>
          </w:p>
        </w:tc>
      </w:tr>
    </w:tbl>
    <w:p w:rsidR="00BF4C58" w:rsidRDefault="00BF4C58">
      <w:r>
        <w:br w:type="page"/>
      </w:r>
    </w:p>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683"/>
        <w:gridCol w:w="3357"/>
      </w:tblGrid>
      <w:tr w:rsidR="003E42B4" w:rsidTr="003E42B4">
        <w:tc>
          <w:tcPr>
            <w:tcW w:w="999" w:type="dxa"/>
          </w:tcPr>
          <w:p w:rsidR="003E42B4" w:rsidRDefault="003E42B4" w:rsidP="003E42B4">
            <w:pPr>
              <w:pStyle w:val="Tablebodycopy"/>
            </w:pPr>
            <w:r>
              <w:lastRenderedPageBreak/>
              <w:t>N6822</w:t>
            </w:r>
          </w:p>
        </w:tc>
        <w:tc>
          <w:tcPr>
            <w:tcW w:w="4683" w:type="dxa"/>
          </w:tcPr>
          <w:p w:rsidR="003E42B4" w:rsidRPr="00201264" w:rsidRDefault="003E42B4" w:rsidP="003E42B4">
            <w:pPr>
              <w:pStyle w:val="Tablebodycopy"/>
              <w:rPr>
                <w:i/>
              </w:rPr>
            </w:pPr>
            <w:r>
              <w:rPr>
                <w:i/>
              </w:rPr>
              <w:t xml:space="preserve">ΔlacIZYA </w:t>
            </w:r>
            <w:proofErr w:type="spellStart"/>
            <w:r>
              <w:rPr>
                <w:i/>
              </w:rPr>
              <w:t>Δrep</w:t>
            </w:r>
            <w:proofErr w:type="spellEnd"/>
            <w:r>
              <w:rPr>
                <w:i/>
              </w:rPr>
              <w:t>::cat dnaC809,820 zji-202::</w:t>
            </w:r>
            <w:r>
              <w:t>Tn</w:t>
            </w:r>
            <w:r>
              <w:rPr>
                <w:i/>
              </w:rPr>
              <w:t xml:space="preserve">10 </w:t>
            </w:r>
            <w:proofErr w:type="spellStart"/>
            <w:r>
              <w:rPr>
                <w:i/>
              </w:rPr>
              <w:t>ΔpriA</w:t>
            </w:r>
            <w:proofErr w:type="spellEnd"/>
            <w:r>
              <w:rPr>
                <w:i/>
              </w:rPr>
              <w:t>::</w:t>
            </w:r>
            <w:proofErr w:type="spellStart"/>
            <w:r>
              <w:rPr>
                <w:i/>
              </w:rPr>
              <w:t>apra</w:t>
            </w:r>
            <w:proofErr w:type="spellEnd"/>
            <w:r>
              <w:rPr>
                <w:i/>
              </w:rPr>
              <w:t xml:space="preserve"> recR1::</w:t>
            </w:r>
            <w:proofErr w:type="spellStart"/>
            <w:r>
              <w:rPr>
                <w:i/>
              </w:rPr>
              <w:t>EZdhfr</w:t>
            </w:r>
            <w:proofErr w:type="spellEnd"/>
          </w:p>
        </w:tc>
        <w:tc>
          <w:tcPr>
            <w:tcW w:w="3357" w:type="dxa"/>
          </w:tcPr>
          <w:p w:rsidR="003E42B4" w:rsidRDefault="003E42B4" w:rsidP="003E42B4">
            <w:pPr>
              <w:pStyle w:val="Tablebodycopy"/>
            </w:pPr>
            <w:r>
              <w:t>R.G. Lloyd, unpublished</w:t>
            </w:r>
          </w:p>
        </w:tc>
      </w:tr>
      <w:tr w:rsidR="003E42B4" w:rsidTr="003E42B4">
        <w:tc>
          <w:tcPr>
            <w:tcW w:w="999" w:type="dxa"/>
          </w:tcPr>
          <w:p w:rsidR="003E42B4" w:rsidRDefault="003E42B4" w:rsidP="003E42B4">
            <w:pPr>
              <w:pStyle w:val="Tablebodycopy"/>
            </w:pPr>
            <w:r>
              <w:t>N7079</w:t>
            </w:r>
          </w:p>
        </w:tc>
        <w:tc>
          <w:tcPr>
            <w:tcW w:w="4683" w:type="dxa"/>
          </w:tcPr>
          <w:p w:rsidR="003E42B4" w:rsidRPr="00201264" w:rsidRDefault="003E42B4" w:rsidP="003E42B4">
            <w:pPr>
              <w:pStyle w:val="Tablebodycopy"/>
              <w:rPr>
                <w:i/>
              </w:rPr>
            </w:pPr>
            <w:proofErr w:type="spellStart"/>
            <w:r>
              <w:rPr>
                <w:i/>
              </w:rPr>
              <w:t>ΔrecQ</w:t>
            </w:r>
            <w:proofErr w:type="spellEnd"/>
            <w:r>
              <w:rPr>
                <w:i/>
              </w:rPr>
              <w:t>::</w:t>
            </w:r>
            <w:proofErr w:type="spellStart"/>
            <w:r>
              <w:rPr>
                <w:i/>
              </w:rPr>
              <w:t>kan</w:t>
            </w:r>
            <w:proofErr w:type="spellEnd"/>
          </w:p>
        </w:tc>
        <w:tc>
          <w:tcPr>
            <w:tcW w:w="3357" w:type="dxa"/>
          </w:tcPr>
          <w:p w:rsidR="003E42B4" w:rsidRDefault="003E42B4" w:rsidP="003E42B4">
            <w:pPr>
              <w:pStyle w:val="Tablebodycopy"/>
            </w:pPr>
            <w:r>
              <w:fldChar w:fldCharType="begin"/>
            </w:r>
            <w:r>
              <w:instrText xml:space="preserve"> ADDIN ZOTERO_ITEM CSL_CITATION {"citationID":"1r7sf4l585","properties":{"formattedCitation":"(Zhang et al. 2010)","plainCitation":"(Zhang et al. 2010)"},"citationItems":[{"id":126,"uris":["http://zotero.org/users/1841541/items/Z98GJNRA"],"uri":["http://zotero.org/users/1841541/items/Z98GJNRA"],"itemData":{"id":126,"type":"article-journal","title":"Promoting and avoiding recombination: contrasting activities of the Escherichia coli RuvABC Holliday junction resolvase and RecG DNA translocase","container-title":"Genetics","page":"23-37","volume":"185","issue":"1","source":"NCBI PubMed","abstract":"RuvABC and RecG are thought to provide alternative pathways for the late stages of recombination in Escherichia coli. Inactivation of both blocks the recovery of recombinants in genetic crosses. RuvABC resolves Holliday junctions, with RuvAB driving branch migration and RuvC catalyzing junction cleavage. RecG also drives branch migration, but no nuclease has been identified that might act with RecG to cleave junctions, apart from RusA, which is not normally expressed. We searched for an alternative nuclease using a synthetic lethality assay to screen for mutations causing inviability in the absence of RuvC, on the premise that a strain without any ability to cut junctions might be inviable. All the mutations identified mapped to polA, dam, or uvrD. None of these genes encodes a nuclease that cleaves Holliday junctions. Probing the reason for the inviability using the RusA Holliday junction resolvase provided strong evidence in each case that the RecG pathway is very ineffective at removing junctions and indicated that a nuclease component most probably does not exist. It also revealed new suppressors of recG, which were located to the ssb gene. Taken together with the results from the synthetic lethality assays, the properties of the mutant SSB proteins provide evidence that, rather than promoting recombination, a major function of RecG is to curb potentially pathological replication initiated via PriA protein at sites remote from oriC.","DOI":"10.1534/genetics.110.114413","ISSN":"1943-2631","note":"PMID: 20157002 \nPMCID: PMC2870958","shortTitle":"Promoting and avoiding recombination","journalAbbreviation":"Genetics","language":"eng","author":[{"family":"Zhang","given":"Jing"},{"family":"Mahdi","given":"Akeel A."},{"family":"Briggs","given":"Geoffrey S."},{"family":"Lloyd","given":"Robert G."}],"issued":{"date-parts":[["2010",5]]},"PMID":"20157002","PMCID":"PMC2870958"}}],"schema":"https://github.com/citation-style-language/schema/raw/master/csl-citation.json"} </w:instrText>
            </w:r>
            <w:r>
              <w:fldChar w:fldCharType="separate"/>
            </w:r>
            <w:r w:rsidRPr="003E42B4">
              <w:t>(Zhang et al. 2010)</w:t>
            </w:r>
            <w:r>
              <w:fldChar w:fldCharType="end"/>
            </w:r>
          </w:p>
        </w:tc>
      </w:tr>
      <w:tr w:rsidR="003E42B4" w:rsidTr="003E42B4">
        <w:tc>
          <w:tcPr>
            <w:tcW w:w="999" w:type="dxa"/>
          </w:tcPr>
          <w:p w:rsidR="003E42B4" w:rsidRDefault="003E42B4" w:rsidP="003E42B4">
            <w:pPr>
              <w:pStyle w:val="Tablebodycopy"/>
            </w:pPr>
            <w:r>
              <w:t>N7082</w:t>
            </w:r>
          </w:p>
        </w:tc>
        <w:tc>
          <w:tcPr>
            <w:tcW w:w="4683" w:type="dxa"/>
          </w:tcPr>
          <w:p w:rsidR="003E42B4" w:rsidRPr="00201264" w:rsidRDefault="003E42B4" w:rsidP="003E42B4">
            <w:pPr>
              <w:pStyle w:val="Tablebodycopy"/>
              <w:rPr>
                <w:i/>
              </w:rPr>
            </w:pPr>
            <w:proofErr w:type="spellStart"/>
            <w:r>
              <w:rPr>
                <w:i/>
              </w:rPr>
              <w:t>ΔruvABC</w:t>
            </w:r>
            <w:proofErr w:type="spellEnd"/>
            <w:r>
              <w:rPr>
                <w:i/>
              </w:rPr>
              <w:t xml:space="preserve">::cat </w:t>
            </w:r>
            <w:proofErr w:type="spellStart"/>
            <w:r>
              <w:rPr>
                <w:i/>
              </w:rPr>
              <w:t>ΔrecQ</w:t>
            </w:r>
            <w:proofErr w:type="spellEnd"/>
            <w:r>
              <w:rPr>
                <w:i/>
              </w:rPr>
              <w:t>::</w:t>
            </w:r>
            <w:proofErr w:type="spellStart"/>
            <w:r>
              <w:rPr>
                <w:i/>
              </w:rPr>
              <w:t>kan</w:t>
            </w:r>
            <w:proofErr w:type="spellEnd"/>
          </w:p>
        </w:tc>
        <w:tc>
          <w:tcPr>
            <w:tcW w:w="3357" w:type="dxa"/>
          </w:tcPr>
          <w:p w:rsidR="003E42B4" w:rsidRDefault="003E42B4" w:rsidP="003E42B4">
            <w:pPr>
              <w:pStyle w:val="Tablebodycopy"/>
            </w:pPr>
            <w:r>
              <w:fldChar w:fldCharType="begin"/>
            </w:r>
            <w:r>
              <w:instrText xml:space="preserve"> ADDIN ZOTERO_ITEM CSL_CITATION {"citationID":"uol5bnc5b","properties":{"formattedCitation":"(Zhang et al. 2010)","plainCitation":"(Zhang et al. 2010)"},"citationItems":[{"id":126,"uris":["http://zotero.org/users/1841541/items/Z98GJNRA"],"uri":["http://zotero.org/users/1841541/items/Z98GJNRA"],"itemData":{"id":126,"type":"article-journal","title":"Promoting and avoiding recombination: contrasting activities of the Escherichia coli RuvABC Holliday junction resolvase and RecG DNA translocase","container-title":"Genetics","page":"23-37","volume":"185","issue":"1","source":"NCBI PubMed","abstract":"RuvABC and RecG are thought to provide alternative pathways for the late stages of recombination in Escherichia coli. Inactivation of both blocks the recovery of recombinants in genetic crosses. RuvABC resolves Holliday junctions, with RuvAB driving branch migration and RuvC catalyzing junction cleavage. RecG also drives branch migration, but no nuclease has been identified that might act with RecG to cleave junctions, apart from RusA, which is not normally expressed. We searched for an alternative nuclease using a synthetic lethality assay to screen for mutations causing inviability in the absence of RuvC, on the premise that a strain without any ability to cut junctions might be inviable. All the mutations identified mapped to polA, dam, or uvrD. None of these genes encodes a nuclease that cleaves Holliday junctions. Probing the reason for the inviability using the RusA Holliday junction resolvase provided strong evidence in each case that the RecG pathway is very ineffective at removing junctions and indicated that a nuclease component most probably does not exist. It also revealed new suppressors of recG, which were located to the ssb gene. Taken together with the results from the synthetic lethality assays, the properties of the mutant SSB proteins provide evidence that, rather than promoting recombination, a major function of RecG is to curb potentially pathological replication initiated via PriA protein at sites remote from oriC.","DOI":"10.1534/genetics.110.114413","ISSN":"1943-2631","note":"PMID: 20157002 \nPMCID: PMC2870958","shortTitle":"Promoting and avoiding recombination","journalAbbreviation":"Genetics","language":"eng","author":[{"family":"Zhang","given":"Jing"},{"family":"Mahdi","given":"Akeel A."},{"family":"Briggs","given":"Geoffrey S."},{"family":"Lloyd","given":"Robert G."}],"issued":{"date-parts":[["2010",5]]},"PMID":"20157002","PMCID":"PMC2870958"}}],"schema":"https://github.com/citation-style-language/schema/raw/master/csl-citation.json"} </w:instrText>
            </w:r>
            <w:r>
              <w:fldChar w:fldCharType="separate"/>
            </w:r>
            <w:r w:rsidRPr="003E42B4">
              <w:t>(Zhang et al. 2010)</w:t>
            </w:r>
            <w:r>
              <w:fldChar w:fldCharType="end"/>
            </w:r>
          </w:p>
        </w:tc>
      </w:tr>
      <w:tr w:rsidR="003E42B4" w:rsidRPr="00A53E49" w:rsidTr="003E42B4">
        <w:tc>
          <w:tcPr>
            <w:tcW w:w="999" w:type="dxa"/>
          </w:tcPr>
          <w:p w:rsidR="003E42B4" w:rsidRDefault="003E42B4" w:rsidP="003E42B4">
            <w:pPr>
              <w:pStyle w:val="Tablebodycopy"/>
            </w:pPr>
            <w:r>
              <w:t>N7753</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w:t>
            </w:r>
            <w:proofErr w:type="spellStart"/>
            <w:r w:rsidRPr="003F330A">
              <w:rPr>
                <w:i/>
              </w:rPr>
              <w:t>tnaA</w:t>
            </w:r>
            <w:proofErr w:type="spellEnd"/>
            <w:r w:rsidRPr="003F330A">
              <w:rPr>
                <w:i/>
              </w:rPr>
              <w:t>::</w:t>
            </w:r>
            <w:r w:rsidRPr="003F330A">
              <w:t>Tn</w:t>
            </w:r>
            <w:r w:rsidRPr="003F330A">
              <w:rPr>
                <w:i/>
              </w:rPr>
              <w:t>10 recF143</w:t>
            </w:r>
          </w:p>
        </w:tc>
        <w:tc>
          <w:tcPr>
            <w:tcW w:w="3357" w:type="dxa"/>
          </w:tcPr>
          <w:p w:rsidR="003E42B4" w:rsidRPr="00A53E49" w:rsidRDefault="003E42B4" w:rsidP="003E42B4">
            <w:pPr>
              <w:pStyle w:val="Tablebodycopy"/>
              <w:rPr>
                <w:vertAlign w:val="superscript"/>
              </w:rPr>
            </w:pPr>
            <w:r>
              <w:t xml:space="preserve">N5501 × P1.JC12334 to </w:t>
            </w:r>
            <w:proofErr w:type="spellStart"/>
            <w:r>
              <w:t>Tc</w:t>
            </w:r>
            <w:r>
              <w:rPr>
                <w:vertAlign w:val="superscript"/>
              </w:rPr>
              <w:t>r</w:t>
            </w:r>
            <w:proofErr w:type="spellEnd"/>
          </w:p>
        </w:tc>
      </w:tr>
      <w:tr w:rsidR="003E42B4" w:rsidRPr="00A53E49" w:rsidTr="003E42B4">
        <w:tc>
          <w:tcPr>
            <w:tcW w:w="999" w:type="dxa"/>
          </w:tcPr>
          <w:p w:rsidR="003E42B4" w:rsidRDefault="003E42B4" w:rsidP="003E42B4">
            <w:pPr>
              <w:pStyle w:val="Tablebodycopy"/>
            </w:pPr>
            <w:r>
              <w:t>N7754</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w:t>
            </w:r>
            <w:proofErr w:type="spellStart"/>
            <w:r w:rsidRPr="003F330A">
              <w:rPr>
                <w:i/>
              </w:rPr>
              <w:t>tnaA</w:t>
            </w:r>
            <w:proofErr w:type="spellEnd"/>
            <w:r w:rsidRPr="003F330A">
              <w:rPr>
                <w:i/>
              </w:rPr>
              <w:t>::</w:t>
            </w:r>
            <w:r w:rsidRPr="003F330A">
              <w:t>Tn</w:t>
            </w:r>
            <w:r w:rsidRPr="003F330A">
              <w:rPr>
                <w:i/>
              </w:rPr>
              <w:t>10 recF143</w:t>
            </w:r>
          </w:p>
        </w:tc>
        <w:tc>
          <w:tcPr>
            <w:tcW w:w="3357" w:type="dxa"/>
          </w:tcPr>
          <w:p w:rsidR="003E42B4" w:rsidRPr="00A53E49" w:rsidRDefault="003E42B4" w:rsidP="003E42B4">
            <w:pPr>
              <w:pStyle w:val="Tablebodycopy"/>
              <w:rPr>
                <w:vertAlign w:val="superscript"/>
              </w:rPr>
            </w:pPr>
            <w:r>
              <w:t xml:space="preserve">N5512 × P1.JC12334 to </w:t>
            </w:r>
            <w:proofErr w:type="spellStart"/>
            <w:r>
              <w:t>Tc</w:t>
            </w:r>
            <w:r>
              <w:rPr>
                <w:vertAlign w:val="superscript"/>
              </w:rPr>
              <w:t>r</w:t>
            </w:r>
            <w:proofErr w:type="spellEnd"/>
          </w:p>
        </w:tc>
      </w:tr>
      <w:tr w:rsidR="003E42B4" w:rsidRPr="00A53E49" w:rsidTr="003E42B4">
        <w:tc>
          <w:tcPr>
            <w:tcW w:w="999" w:type="dxa"/>
          </w:tcPr>
          <w:p w:rsidR="003E42B4" w:rsidRDefault="003E42B4" w:rsidP="003E42B4">
            <w:pPr>
              <w:pStyle w:val="Tablebodycopy"/>
            </w:pPr>
            <w:r>
              <w:t>N7755</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w:t>
            </w:r>
            <w:proofErr w:type="spellStart"/>
            <w:r w:rsidRPr="003F330A">
              <w:rPr>
                <w:i/>
              </w:rPr>
              <w:t>tnaA</w:t>
            </w:r>
            <w:proofErr w:type="spellEnd"/>
            <w:r w:rsidRPr="003F330A">
              <w:rPr>
                <w:i/>
              </w:rPr>
              <w:t>::</w:t>
            </w:r>
            <w:r w:rsidRPr="003F330A">
              <w:t>Tn</w:t>
            </w:r>
            <w:r w:rsidRPr="003F330A">
              <w:rPr>
                <w:i/>
              </w:rPr>
              <w:t>10 recF143</w:t>
            </w:r>
            <w:r>
              <w:rPr>
                <w:i/>
              </w:rPr>
              <w:t xml:space="preserve"> </w:t>
            </w:r>
            <w:proofErr w:type="spellStart"/>
            <w:r>
              <w:rPr>
                <w:i/>
              </w:rPr>
              <w:t>ΔruvABC</w:t>
            </w:r>
            <w:proofErr w:type="spellEnd"/>
            <w:r>
              <w:rPr>
                <w:i/>
              </w:rPr>
              <w:t>::cat</w:t>
            </w:r>
          </w:p>
        </w:tc>
        <w:tc>
          <w:tcPr>
            <w:tcW w:w="3357" w:type="dxa"/>
          </w:tcPr>
          <w:p w:rsidR="003E42B4" w:rsidRPr="00A53E49" w:rsidRDefault="003E42B4" w:rsidP="003E42B4">
            <w:pPr>
              <w:pStyle w:val="Tablebodycopy"/>
              <w:rPr>
                <w:vertAlign w:val="superscript"/>
              </w:rPr>
            </w:pPr>
            <w:r>
              <w:t xml:space="preserve">N7754 × P1.N4884 to </w:t>
            </w:r>
            <w:proofErr w:type="spellStart"/>
            <w:r>
              <w:t>Cm</w:t>
            </w:r>
            <w:r>
              <w:rPr>
                <w:vertAlign w:val="superscript"/>
              </w:rPr>
              <w:t>r</w:t>
            </w:r>
            <w:proofErr w:type="spellEnd"/>
          </w:p>
        </w:tc>
      </w:tr>
      <w:tr w:rsidR="003E42B4" w:rsidRPr="00775386" w:rsidTr="003E42B4">
        <w:tc>
          <w:tcPr>
            <w:tcW w:w="999" w:type="dxa"/>
          </w:tcPr>
          <w:p w:rsidR="003E42B4" w:rsidRDefault="003E42B4" w:rsidP="003E42B4">
            <w:pPr>
              <w:pStyle w:val="Tablebodycopy"/>
            </w:pPr>
            <w:r>
              <w:t>N7759</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w:t>
            </w:r>
            <w:proofErr w:type="spellStart"/>
            <w:r w:rsidRPr="003F330A">
              <w:rPr>
                <w:i/>
              </w:rPr>
              <w:t>tnaA</w:t>
            </w:r>
            <w:proofErr w:type="spellEnd"/>
            <w:r w:rsidRPr="003F330A">
              <w:rPr>
                <w:i/>
              </w:rPr>
              <w:t>::</w:t>
            </w:r>
            <w:r w:rsidRPr="003F330A">
              <w:t>Tn</w:t>
            </w:r>
            <w:r w:rsidRPr="003F330A">
              <w:rPr>
                <w:i/>
              </w:rPr>
              <w:t>10 recF143</w:t>
            </w:r>
            <w:r>
              <w:rPr>
                <w:i/>
              </w:rPr>
              <w:t xml:space="preserve"> ΔrecG263::</w:t>
            </w:r>
            <w:proofErr w:type="spellStart"/>
            <w:r>
              <w:rPr>
                <w:i/>
              </w:rPr>
              <w:t>kan</w:t>
            </w:r>
            <w:proofErr w:type="spellEnd"/>
          </w:p>
        </w:tc>
        <w:tc>
          <w:tcPr>
            <w:tcW w:w="3357" w:type="dxa"/>
          </w:tcPr>
          <w:p w:rsidR="003E42B4" w:rsidRPr="00775386" w:rsidRDefault="003E42B4" w:rsidP="003E42B4">
            <w:pPr>
              <w:pStyle w:val="Tablebodycopy"/>
              <w:rPr>
                <w:vertAlign w:val="superscript"/>
              </w:rPr>
            </w:pPr>
            <w:r>
              <w:t xml:space="preserve">N7753 × P1.N3793 to </w:t>
            </w:r>
            <w:proofErr w:type="spellStart"/>
            <w:r>
              <w:t>Km</w:t>
            </w:r>
            <w:r>
              <w:rPr>
                <w:vertAlign w:val="superscript"/>
              </w:rPr>
              <w:t>r</w:t>
            </w:r>
            <w:proofErr w:type="spellEnd"/>
          </w:p>
        </w:tc>
      </w:tr>
      <w:tr w:rsidR="003E42B4" w:rsidRPr="00775386" w:rsidTr="003E42B4">
        <w:tc>
          <w:tcPr>
            <w:tcW w:w="999" w:type="dxa"/>
          </w:tcPr>
          <w:p w:rsidR="003E42B4" w:rsidRDefault="003E42B4" w:rsidP="003E42B4">
            <w:pPr>
              <w:pStyle w:val="Tablebodycopy"/>
            </w:pPr>
            <w:r>
              <w:t>N7772</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w:t>
            </w:r>
            <w:proofErr w:type="spellStart"/>
            <w:r>
              <w:rPr>
                <w:i/>
              </w:rPr>
              <w:t>ΔrecO</w:t>
            </w:r>
            <w:proofErr w:type="spellEnd"/>
            <w:r>
              <w:rPr>
                <w:i/>
              </w:rPr>
              <w:t>::dhfr</w:t>
            </w:r>
          </w:p>
        </w:tc>
        <w:tc>
          <w:tcPr>
            <w:tcW w:w="3357" w:type="dxa"/>
          </w:tcPr>
          <w:p w:rsidR="003E42B4" w:rsidRPr="00775386" w:rsidRDefault="003E42B4" w:rsidP="003E42B4">
            <w:pPr>
              <w:pStyle w:val="Tablebodycopy"/>
              <w:rPr>
                <w:vertAlign w:val="superscript"/>
              </w:rPr>
            </w:pPr>
            <w:r>
              <w:t xml:space="preserve">N5512 × P1.AM1662 to </w:t>
            </w:r>
            <w:proofErr w:type="spellStart"/>
            <w:r>
              <w:t>Tm</w:t>
            </w:r>
            <w:r>
              <w:rPr>
                <w:vertAlign w:val="superscript"/>
              </w:rPr>
              <w:t>r</w:t>
            </w:r>
            <w:proofErr w:type="spellEnd"/>
          </w:p>
        </w:tc>
      </w:tr>
      <w:tr w:rsidR="003E42B4" w:rsidRPr="00775386" w:rsidTr="003E42B4">
        <w:tc>
          <w:tcPr>
            <w:tcW w:w="999" w:type="dxa"/>
          </w:tcPr>
          <w:p w:rsidR="003E42B4" w:rsidRDefault="003E42B4" w:rsidP="003E42B4">
            <w:pPr>
              <w:pStyle w:val="Tablebodycopy"/>
            </w:pPr>
            <w:r>
              <w:t>N7773</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recR1::</w:t>
            </w:r>
            <w:proofErr w:type="spellStart"/>
            <w:r>
              <w:rPr>
                <w:i/>
              </w:rPr>
              <w:t>EZdhfr</w:t>
            </w:r>
            <w:proofErr w:type="spellEnd"/>
          </w:p>
        </w:tc>
        <w:tc>
          <w:tcPr>
            <w:tcW w:w="3357" w:type="dxa"/>
          </w:tcPr>
          <w:p w:rsidR="003E42B4" w:rsidRPr="00775386" w:rsidRDefault="003E42B4" w:rsidP="003E42B4">
            <w:pPr>
              <w:pStyle w:val="Tablebodycopy"/>
              <w:rPr>
                <w:vertAlign w:val="superscript"/>
              </w:rPr>
            </w:pPr>
            <w:r>
              <w:t xml:space="preserve">N5512 × P1.N6822 to </w:t>
            </w:r>
            <w:proofErr w:type="spellStart"/>
            <w:r>
              <w:t>Tm</w:t>
            </w:r>
            <w:r>
              <w:rPr>
                <w:vertAlign w:val="superscript"/>
              </w:rPr>
              <w:t>r</w:t>
            </w:r>
            <w:proofErr w:type="spellEnd"/>
          </w:p>
        </w:tc>
      </w:tr>
      <w:tr w:rsidR="003E42B4" w:rsidRPr="00775386" w:rsidTr="003E42B4">
        <w:tc>
          <w:tcPr>
            <w:tcW w:w="999" w:type="dxa"/>
          </w:tcPr>
          <w:p w:rsidR="003E42B4" w:rsidRDefault="003E42B4" w:rsidP="003E42B4">
            <w:pPr>
              <w:pStyle w:val="Tablebodycopy"/>
            </w:pPr>
            <w:r>
              <w:t>N7774</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w:t>
            </w:r>
            <w:proofErr w:type="spellStart"/>
            <w:r>
              <w:rPr>
                <w:i/>
              </w:rPr>
              <w:t>ΔrecO</w:t>
            </w:r>
            <w:proofErr w:type="spellEnd"/>
            <w:r>
              <w:rPr>
                <w:i/>
              </w:rPr>
              <w:t xml:space="preserve">::dhfr </w:t>
            </w:r>
            <w:proofErr w:type="spellStart"/>
            <w:r>
              <w:rPr>
                <w:i/>
              </w:rPr>
              <w:t>ΔruvABC</w:t>
            </w:r>
            <w:proofErr w:type="spellEnd"/>
            <w:r>
              <w:rPr>
                <w:i/>
              </w:rPr>
              <w:t>::cat</w:t>
            </w:r>
          </w:p>
        </w:tc>
        <w:tc>
          <w:tcPr>
            <w:tcW w:w="3357" w:type="dxa"/>
          </w:tcPr>
          <w:p w:rsidR="003E42B4" w:rsidRPr="00775386" w:rsidRDefault="003E42B4" w:rsidP="003E42B4">
            <w:pPr>
              <w:pStyle w:val="Tablebodycopy"/>
              <w:rPr>
                <w:vertAlign w:val="superscript"/>
              </w:rPr>
            </w:pPr>
            <w:r>
              <w:t xml:space="preserve">N7772 × P1.N4884 to </w:t>
            </w:r>
            <w:proofErr w:type="spellStart"/>
            <w:r>
              <w:t>Cm</w:t>
            </w:r>
            <w:r>
              <w:rPr>
                <w:vertAlign w:val="superscript"/>
              </w:rPr>
              <w:t>r</w:t>
            </w:r>
            <w:proofErr w:type="spellEnd"/>
          </w:p>
        </w:tc>
      </w:tr>
      <w:tr w:rsidR="003E42B4" w:rsidRPr="00775386" w:rsidTr="003E42B4">
        <w:tc>
          <w:tcPr>
            <w:tcW w:w="999" w:type="dxa"/>
          </w:tcPr>
          <w:p w:rsidR="003E42B4" w:rsidRDefault="003E42B4" w:rsidP="003E42B4">
            <w:pPr>
              <w:pStyle w:val="Tablebodycopy"/>
            </w:pPr>
            <w:r>
              <w:t>N7775</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recR1::</w:t>
            </w:r>
            <w:proofErr w:type="spellStart"/>
            <w:r>
              <w:rPr>
                <w:i/>
              </w:rPr>
              <w:t>EZdhfr</w:t>
            </w:r>
            <w:proofErr w:type="spellEnd"/>
            <w:r>
              <w:rPr>
                <w:i/>
              </w:rPr>
              <w:t xml:space="preserve"> </w:t>
            </w:r>
            <w:proofErr w:type="spellStart"/>
            <w:r>
              <w:rPr>
                <w:i/>
              </w:rPr>
              <w:t>ΔruvABC</w:t>
            </w:r>
            <w:proofErr w:type="spellEnd"/>
            <w:r>
              <w:rPr>
                <w:i/>
              </w:rPr>
              <w:t>::cat</w:t>
            </w:r>
          </w:p>
        </w:tc>
        <w:tc>
          <w:tcPr>
            <w:tcW w:w="3357" w:type="dxa"/>
          </w:tcPr>
          <w:p w:rsidR="003E42B4" w:rsidRPr="00775386" w:rsidRDefault="003E42B4" w:rsidP="003E42B4">
            <w:pPr>
              <w:pStyle w:val="Tablebodycopy"/>
              <w:rPr>
                <w:vertAlign w:val="superscript"/>
              </w:rPr>
            </w:pPr>
            <w:r>
              <w:t xml:space="preserve">N7773 × P1.N4884 to </w:t>
            </w:r>
            <w:proofErr w:type="spellStart"/>
            <w:r>
              <w:t>Cm</w:t>
            </w:r>
            <w:r>
              <w:rPr>
                <w:vertAlign w:val="superscript"/>
              </w:rPr>
              <w:t>r</w:t>
            </w:r>
            <w:proofErr w:type="spellEnd"/>
          </w:p>
        </w:tc>
      </w:tr>
      <w:tr w:rsidR="003E42B4" w:rsidRPr="00A71B59" w:rsidTr="003E42B4">
        <w:tc>
          <w:tcPr>
            <w:tcW w:w="999" w:type="dxa"/>
          </w:tcPr>
          <w:p w:rsidR="003E42B4" w:rsidRDefault="003E42B4" w:rsidP="003E42B4">
            <w:pPr>
              <w:pStyle w:val="Tablebodycopy"/>
            </w:pPr>
            <w:r>
              <w:t>N7777</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w:t>
            </w:r>
            <w:proofErr w:type="spellStart"/>
            <w:r>
              <w:rPr>
                <w:i/>
              </w:rPr>
              <w:t>apra</w:t>
            </w:r>
            <w:proofErr w:type="spellEnd"/>
          </w:p>
        </w:tc>
        <w:tc>
          <w:tcPr>
            <w:tcW w:w="3357" w:type="dxa"/>
          </w:tcPr>
          <w:p w:rsidR="003E42B4" w:rsidRPr="00A71B59" w:rsidRDefault="003E42B4" w:rsidP="003E42B4">
            <w:pPr>
              <w:pStyle w:val="Tablebodycopy"/>
              <w:rPr>
                <w:vertAlign w:val="superscript"/>
              </w:rPr>
            </w:pPr>
            <w:r>
              <w:t xml:space="preserve">N5512 × P1.AM2123 to </w:t>
            </w:r>
            <w:proofErr w:type="spellStart"/>
            <w:r>
              <w:t>Apra</w:t>
            </w:r>
            <w:r>
              <w:rPr>
                <w:vertAlign w:val="superscript"/>
              </w:rPr>
              <w:t>r</w:t>
            </w:r>
            <w:proofErr w:type="spellEnd"/>
            <w:r>
              <w:rPr>
                <w:vertAlign w:val="superscript"/>
              </w:rPr>
              <w:t xml:space="preserve"> </w:t>
            </w:r>
            <w:proofErr w:type="spellStart"/>
            <w:r>
              <w:t>Km</w:t>
            </w:r>
            <w:r>
              <w:rPr>
                <w:vertAlign w:val="superscript"/>
              </w:rPr>
              <w:t>s</w:t>
            </w:r>
            <w:proofErr w:type="spellEnd"/>
          </w:p>
        </w:tc>
      </w:tr>
      <w:tr w:rsidR="003E42B4" w:rsidRPr="00A71B59" w:rsidTr="003E42B4">
        <w:tc>
          <w:tcPr>
            <w:tcW w:w="999" w:type="dxa"/>
          </w:tcPr>
          <w:p w:rsidR="003E42B4" w:rsidRDefault="003E42B4" w:rsidP="003E42B4">
            <w:pPr>
              <w:pStyle w:val="Tablebodycopy"/>
            </w:pPr>
            <w:r>
              <w:t>N7778</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recJ284::</w:t>
            </w:r>
            <w:r>
              <w:t>Tn</w:t>
            </w:r>
            <w:r>
              <w:rPr>
                <w:i/>
              </w:rPr>
              <w:t>10</w:t>
            </w:r>
          </w:p>
        </w:tc>
        <w:tc>
          <w:tcPr>
            <w:tcW w:w="3357" w:type="dxa"/>
          </w:tcPr>
          <w:p w:rsidR="003E42B4" w:rsidRPr="00A71B59" w:rsidRDefault="003E42B4" w:rsidP="003E42B4">
            <w:pPr>
              <w:pStyle w:val="Tablebodycopy"/>
              <w:rPr>
                <w:vertAlign w:val="superscript"/>
              </w:rPr>
            </w:pPr>
            <w:r>
              <w:t xml:space="preserve">N5512 × P1.N4934 to </w:t>
            </w:r>
            <w:proofErr w:type="spellStart"/>
            <w:r>
              <w:t>Tc</w:t>
            </w:r>
            <w:r>
              <w:rPr>
                <w:vertAlign w:val="superscript"/>
              </w:rPr>
              <w:t>r</w:t>
            </w:r>
            <w:proofErr w:type="spellEnd"/>
          </w:p>
        </w:tc>
      </w:tr>
      <w:tr w:rsidR="003E42B4" w:rsidRPr="00A71B59" w:rsidTr="003E42B4">
        <w:tc>
          <w:tcPr>
            <w:tcW w:w="999" w:type="dxa"/>
          </w:tcPr>
          <w:p w:rsidR="003E42B4" w:rsidRDefault="003E42B4" w:rsidP="003E42B4">
            <w:pPr>
              <w:pStyle w:val="Tablebodycopy"/>
            </w:pPr>
            <w:r>
              <w:t>N7779</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w:t>
            </w:r>
            <w:proofErr w:type="spellStart"/>
            <w:r>
              <w:rPr>
                <w:i/>
              </w:rPr>
              <w:t>apra</w:t>
            </w:r>
            <w:proofErr w:type="spellEnd"/>
            <w:r>
              <w:rPr>
                <w:i/>
              </w:rPr>
              <w:t xml:space="preserve"> </w:t>
            </w:r>
            <w:proofErr w:type="spellStart"/>
            <w:r>
              <w:rPr>
                <w:i/>
              </w:rPr>
              <w:t>ΔrecQ</w:t>
            </w:r>
            <w:proofErr w:type="spellEnd"/>
            <w:r>
              <w:rPr>
                <w:i/>
              </w:rPr>
              <w:t>::</w:t>
            </w:r>
            <w:proofErr w:type="spellStart"/>
            <w:r>
              <w:rPr>
                <w:i/>
              </w:rPr>
              <w:t>kan</w:t>
            </w:r>
            <w:proofErr w:type="spellEnd"/>
          </w:p>
        </w:tc>
        <w:tc>
          <w:tcPr>
            <w:tcW w:w="3357" w:type="dxa"/>
          </w:tcPr>
          <w:p w:rsidR="003E42B4" w:rsidRPr="00A71B59" w:rsidRDefault="003E42B4" w:rsidP="003E42B4">
            <w:pPr>
              <w:pStyle w:val="Tablebodycopy"/>
              <w:rPr>
                <w:vertAlign w:val="superscript"/>
              </w:rPr>
            </w:pPr>
            <w:r>
              <w:t xml:space="preserve">N7777 × P1.N5602 to </w:t>
            </w:r>
            <w:proofErr w:type="spellStart"/>
            <w:r>
              <w:t>Km</w:t>
            </w:r>
            <w:r>
              <w:rPr>
                <w:vertAlign w:val="superscript"/>
              </w:rPr>
              <w:t>r</w:t>
            </w:r>
            <w:proofErr w:type="spellEnd"/>
          </w:p>
        </w:tc>
      </w:tr>
      <w:tr w:rsidR="003E42B4" w:rsidRPr="00A71B59" w:rsidTr="003E42B4">
        <w:tc>
          <w:tcPr>
            <w:tcW w:w="999" w:type="dxa"/>
          </w:tcPr>
          <w:p w:rsidR="003E42B4" w:rsidRDefault="003E42B4" w:rsidP="003E42B4">
            <w:pPr>
              <w:pStyle w:val="Tablebodycopy"/>
            </w:pPr>
            <w:r>
              <w:t>N7780</w:t>
            </w:r>
          </w:p>
        </w:tc>
        <w:tc>
          <w:tcPr>
            <w:tcW w:w="4683" w:type="dxa"/>
          </w:tcPr>
          <w:p w:rsidR="003E42B4" w:rsidRPr="00775386"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recJ284::</w:t>
            </w:r>
            <w:r>
              <w:t>Tn</w:t>
            </w:r>
            <w:r>
              <w:rPr>
                <w:i/>
              </w:rPr>
              <w:t xml:space="preserve">10 </w:t>
            </w:r>
            <w:proofErr w:type="spellStart"/>
            <w:r>
              <w:rPr>
                <w:i/>
              </w:rPr>
              <w:t>ΔruvABC</w:t>
            </w:r>
            <w:proofErr w:type="spellEnd"/>
            <w:r>
              <w:rPr>
                <w:i/>
              </w:rPr>
              <w:t>::cat</w:t>
            </w:r>
          </w:p>
        </w:tc>
        <w:tc>
          <w:tcPr>
            <w:tcW w:w="3357" w:type="dxa"/>
          </w:tcPr>
          <w:p w:rsidR="003E42B4" w:rsidRPr="00A71B59" w:rsidRDefault="003E42B4" w:rsidP="003E42B4">
            <w:pPr>
              <w:pStyle w:val="Tablebodycopy"/>
              <w:rPr>
                <w:vertAlign w:val="superscript"/>
              </w:rPr>
            </w:pPr>
            <w:r>
              <w:t xml:space="preserve">N7778 × P1.N4884 to </w:t>
            </w:r>
            <w:proofErr w:type="spellStart"/>
            <w:r>
              <w:t>Cm</w:t>
            </w:r>
            <w:r>
              <w:rPr>
                <w:vertAlign w:val="superscript"/>
              </w:rPr>
              <w:t>r</w:t>
            </w:r>
            <w:proofErr w:type="spellEnd"/>
          </w:p>
        </w:tc>
      </w:tr>
      <w:tr w:rsidR="003E42B4" w:rsidRPr="00A71B59" w:rsidTr="003E42B4">
        <w:tc>
          <w:tcPr>
            <w:tcW w:w="999" w:type="dxa"/>
          </w:tcPr>
          <w:p w:rsidR="003E42B4" w:rsidRDefault="003E42B4" w:rsidP="003E42B4">
            <w:pPr>
              <w:pStyle w:val="Tablebodycopy"/>
            </w:pPr>
            <w:r>
              <w:t>N7781</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w:t>
            </w:r>
            <w:proofErr w:type="spellStart"/>
            <w:r>
              <w:rPr>
                <w:i/>
              </w:rPr>
              <w:t>apra</w:t>
            </w:r>
            <w:proofErr w:type="spellEnd"/>
            <w:r>
              <w:rPr>
                <w:i/>
              </w:rPr>
              <w:t xml:space="preserve"> </w:t>
            </w:r>
            <w:proofErr w:type="spellStart"/>
            <w:r>
              <w:rPr>
                <w:i/>
              </w:rPr>
              <w:t>ΔrecQ</w:t>
            </w:r>
            <w:proofErr w:type="spellEnd"/>
            <w:r>
              <w:rPr>
                <w:i/>
              </w:rPr>
              <w:t>::</w:t>
            </w:r>
            <w:proofErr w:type="spellStart"/>
            <w:r>
              <w:rPr>
                <w:i/>
              </w:rPr>
              <w:t>kan</w:t>
            </w:r>
            <w:proofErr w:type="spellEnd"/>
            <w:r>
              <w:rPr>
                <w:i/>
              </w:rPr>
              <w:t xml:space="preserve"> </w:t>
            </w:r>
            <w:proofErr w:type="spellStart"/>
            <w:r>
              <w:rPr>
                <w:i/>
              </w:rPr>
              <w:t>ΔruvABC</w:t>
            </w:r>
            <w:proofErr w:type="spellEnd"/>
            <w:r>
              <w:rPr>
                <w:i/>
              </w:rPr>
              <w:t>::cat</w:t>
            </w:r>
          </w:p>
        </w:tc>
        <w:tc>
          <w:tcPr>
            <w:tcW w:w="3357" w:type="dxa"/>
          </w:tcPr>
          <w:p w:rsidR="003E42B4" w:rsidRPr="00A71B59" w:rsidRDefault="003E42B4" w:rsidP="003E42B4">
            <w:pPr>
              <w:pStyle w:val="Tablebodycopy"/>
              <w:rPr>
                <w:vertAlign w:val="superscript"/>
              </w:rPr>
            </w:pPr>
            <w:r>
              <w:t xml:space="preserve">N7779 × P1.N4884 to </w:t>
            </w:r>
            <w:proofErr w:type="spellStart"/>
            <w:r>
              <w:t>Cm</w:t>
            </w:r>
            <w:r>
              <w:rPr>
                <w:vertAlign w:val="superscript"/>
              </w:rPr>
              <w:t>r</w:t>
            </w:r>
            <w:proofErr w:type="spellEnd"/>
          </w:p>
        </w:tc>
      </w:tr>
      <w:tr w:rsidR="003E42B4" w:rsidRPr="00A71B59" w:rsidTr="003E42B4">
        <w:tc>
          <w:tcPr>
            <w:tcW w:w="999" w:type="dxa"/>
          </w:tcPr>
          <w:p w:rsidR="003E42B4" w:rsidRDefault="003E42B4" w:rsidP="003E42B4">
            <w:pPr>
              <w:pStyle w:val="Tablebodycopy"/>
            </w:pPr>
            <w:r>
              <w:t>N7782</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w:t>
            </w:r>
            <w:proofErr w:type="spellStart"/>
            <w:r w:rsidRPr="003F330A">
              <w:rPr>
                <w:i/>
              </w:rPr>
              <w:t>tnaA</w:t>
            </w:r>
            <w:proofErr w:type="spellEnd"/>
            <w:r w:rsidRPr="003F330A">
              <w:rPr>
                <w:i/>
              </w:rPr>
              <w:t>::</w:t>
            </w:r>
            <w:r w:rsidRPr="003F330A">
              <w:t>Tn</w:t>
            </w:r>
            <w:r w:rsidRPr="003F330A">
              <w:rPr>
                <w:i/>
              </w:rPr>
              <w:t>10 recF143</w:t>
            </w:r>
            <w:r>
              <w:rPr>
                <w:i/>
              </w:rPr>
              <w:t xml:space="preserve"> </w:t>
            </w:r>
            <w:proofErr w:type="spellStart"/>
            <w:r>
              <w:rPr>
                <w:i/>
              </w:rPr>
              <w:t>ΔruvABC</w:t>
            </w:r>
            <w:proofErr w:type="spellEnd"/>
            <w:r>
              <w:rPr>
                <w:i/>
              </w:rPr>
              <w:t>::cat</w:t>
            </w:r>
          </w:p>
        </w:tc>
        <w:tc>
          <w:tcPr>
            <w:tcW w:w="3357" w:type="dxa"/>
          </w:tcPr>
          <w:p w:rsidR="003E42B4" w:rsidRPr="00A71B59" w:rsidRDefault="003E42B4" w:rsidP="003E42B4">
            <w:pPr>
              <w:pStyle w:val="Tablebodycopy"/>
              <w:rPr>
                <w:vertAlign w:val="superscript"/>
              </w:rPr>
            </w:pPr>
            <w:r>
              <w:t xml:space="preserve">N7753 × P1.N4884 to </w:t>
            </w:r>
            <w:proofErr w:type="spellStart"/>
            <w:r>
              <w:t>Cm</w:t>
            </w:r>
            <w:r>
              <w:rPr>
                <w:vertAlign w:val="superscript"/>
              </w:rPr>
              <w:t>r</w:t>
            </w:r>
            <w:proofErr w:type="spellEnd"/>
          </w:p>
        </w:tc>
      </w:tr>
      <w:tr w:rsidR="003E42B4" w:rsidRPr="00A71B59" w:rsidTr="003E42B4">
        <w:tc>
          <w:tcPr>
            <w:tcW w:w="999" w:type="dxa"/>
          </w:tcPr>
          <w:p w:rsidR="003E42B4" w:rsidRDefault="003E42B4" w:rsidP="003E42B4">
            <w:pPr>
              <w:pStyle w:val="Tablebodycopy"/>
            </w:pPr>
            <w:r>
              <w:t>N7875</w:t>
            </w:r>
          </w:p>
        </w:tc>
        <w:tc>
          <w:tcPr>
            <w:tcW w:w="4683" w:type="dxa"/>
          </w:tcPr>
          <w:p w:rsidR="003E42B4" w:rsidRPr="00A71B59"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w:t>
            </w:r>
            <w:proofErr w:type="spellStart"/>
            <w:r>
              <w:rPr>
                <w:i/>
              </w:rPr>
              <w:t>ΔrecO</w:t>
            </w:r>
            <w:proofErr w:type="spellEnd"/>
            <w:r>
              <w:rPr>
                <w:i/>
              </w:rPr>
              <w:t xml:space="preserve">::dhfr </w:t>
            </w:r>
            <w:proofErr w:type="spellStart"/>
            <w:r>
              <w:rPr>
                <w:i/>
              </w:rPr>
              <w:t>ΔruvABC</w:t>
            </w:r>
            <w:proofErr w:type="spellEnd"/>
            <w:r>
              <w:rPr>
                <w:i/>
              </w:rPr>
              <w:t>::cat recB268::</w:t>
            </w:r>
            <w:r>
              <w:t>Tn</w:t>
            </w:r>
            <w:r>
              <w:rPr>
                <w:i/>
              </w:rPr>
              <w:t>10</w:t>
            </w:r>
          </w:p>
        </w:tc>
        <w:tc>
          <w:tcPr>
            <w:tcW w:w="3357" w:type="dxa"/>
          </w:tcPr>
          <w:p w:rsidR="003E42B4" w:rsidRPr="00A71B59" w:rsidRDefault="003E42B4" w:rsidP="003E42B4">
            <w:pPr>
              <w:pStyle w:val="Tablebodycopy"/>
              <w:rPr>
                <w:vertAlign w:val="superscript"/>
              </w:rPr>
            </w:pPr>
            <w:r>
              <w:t xml:space="preserve">N7774 × P1.TRM308 to </w:t>
            </w:r>
            <w:proofErr w:type="spellStart"/>
            <w:r>
              <w:t>Tc</w:t>
            </w:r>
            <w:r>
              <w:rPr>
                <w:vertAlign w:val="superscript"/>
              </w:rPr>
              <w:t>r</w:t>
            </w:r>
            <w:proofErr w:type="spellEnd"/>
          </w:p>
        </w:tc>
      </w:tr>
      <w:tr w:rsidR="003E42B4" w:rsidRPr="0087654E" w:rsidTr="003E42B4">
        <w:tc>
          <w:tcPr>
            <w:tcW w:w="999" w:type="dxa"/>
          </w:tcPr>
          <w:p w:rsidR="003E42B4" w:rsidRDefault="003E42B4" w:rsidP="003E42B4">
            <w:pPr>
              <w:pStyle w:val="Tablebodycopy"/>
            </w:pPr>
            <w:r>
              <w:t>N7876</w:t>
            </w:r>
          </w:p>
        </w:tc>
        <w:tc>
          <w:tcPr>
            <w:tcW w:w="4683" w:type="dxa"/>
          </w:tcPr>
          <w:p w:rsidR="003E42B4" w:rsidRPr="00201264" w:rsidRDefault="003E42B4" w:rsidP="003E42B4">
            <w:pPr>
              <w:pStyle w:val="Tablebodycopy"/>
              <w:rPr>
                <w:i/>
              </w:rPr>
            </w:pPr>
            <w:proofErr w:type="spellStart"/>
            <w:r w:rsidRPr="00201264">
              <w:rPr>
                <w:i/>
              </w:rPr>
              <w:t>argE</w:t>
            </w:r>
            <w:proofErr w:type="spellEnd"/>
            <w:r w:rsidRPr="00201264">
              <w:rPr>
                <w:i/>
                <w:vertAlign w:val="superscript"/>
              </w:rPr>
              <w:t>+</w:t>
            </w:r>
            <w:r w:rsidRPr="00201264">
              <w:rPr>
                <w:i/>
              </w:rPr>
              <w:t xml:space="preserve"> priA300</w:t>
            </w:r>
            <w:r>
              <w:rPr>
                <w:i/>
              </w:rPr>
              <w:t xml:space="preserve"> ΔrecG263::</w:t>
            </w:r>
            <w:proofErr w:type="spellStart"/>
            <w:r>
              <w:rPr>
                <w:i/>
              </w:rPr>
              <w:t>kan</w:t>
            </w:r>
            <w:proofErr w:type="spellEnd"/>
            <w:r>
              <w:rPr>
                <w:i/>
              </w:rPr>
              <w:t xml:space="preserve"> recR1::dhfr </w:t>
            </w:r>
            <w:proofErr w:type="spellStart"/>
            <w:r>
              <w:rPr>
                <w:i/>
              </w:rPr>
              <w:t>ΔruvABC</w:t>
            </w:r>
            <w:proofErr w:type="spellEnd"/>
            <w:r>
              <w:rPr>
                <w:i/>
              </w:rPr>
              <w:t>::cat recB268::</w:t>
            </w:r>
            <w:r>
              <w:t>Tn</w:t>
            </w:r>
            <w:r>
              <w:rPr>
                <w:i/>
              </w:rPr>
              <w:t>10</w:t>
            </w:r>
          </w:p>
        </w:tc>
        <w:tc>
          <w:tcPr>
            <w:tcW w:w="3357" w:type="dxa"/>
          </w:tcPr>
          <w:p w:rsidR="003E42B4" w:rsidRPr="0087654E" w:rsidRDefault="003E42B4" w:rsidP="003E42B4">
            <w:pPr>
              <w:pStyle w:val="Tablebodycopy"/>
              <w:rPr>
                <w:vertAlign w:val="superscript"/>
              </w:rPr>
            </w:pPr>
            <w:r>
              <w:t xml:space="preserve">N7775 × P1.TRM308 to </w:t>
            </w:r>
            <w:proofErr w:type="spellStart"/>
            <w:r>
              <w:t>Tc</w:t>
            </w:r>
            <w:r>
              <w:rPr>
                <w:vertAlign w:val="superscript"/>
              </w:rPr>
              <w:t>r</w:t>
            </w:r>
            <w:proofErr w:type="spellEnd"/>
          </w:p>
        </w:tc>
      </w:tr>
      <w:tr w:rsidR="003E42B4" w:rsidRPr="0087654E" w:rsidTr="003E42B4">
        <w:tc>
          <w:tcPr>
            <w:tcW w:w="999" w:type="dxa"/>
          </w:tcPr>
          <w:p w:rsidR="003E42B4" w:rsidRDefault="003E42B4" w:rsidP="003E42B4">
            <w:pPr>
              <w:pStyle w:val="Tablebodycopy"/>
            </w:pPr>
            <w:r>
              <w:t>N7944</w:t>
            </w:r>
          </w:p>
        </w:tc>
        <w:tc>
          <w:tcPr>
            <w:tcW w:w="4683" w:type="dxa"/>
          </w:tcPr>
          <w:p w:rsidR="003E42B4" w:rsidRPr="0087654E" w:rsidRDefault="003E42B4" w:rsidP="003E42B4">
            <w:pPr>
              <w:pStyle w:val="Tablebodycopy"/>
              <w:rPr>
                <w:i/>
              </w:rPr>
            </w:pPr>
            <w:proofErr w:type="spellStart"/>
            <w:r>
              <w:rPr>
                <w:i/>
              </w:rPr>
              <w:t>ΔruvABC</w:t>
            </w:r>
            <w:proofErr w:type="spellEnd"/>
            <w:r>
              <w:rPr>
                <w:i/>
              </w:rPr>
              <w:t>::cat purE85::</w:t>
            </w:r>
            <w:r>
              <w:t>Tn</w:t>
            </w:r>
            <w:r>
              <w:rPr>
                <w:i/>
              </w:rPr>
              <w:t>10</w:t>
            </w:r>
          </w:p>
        </w:tc>
        <w:tc>
          <w:tcPr>
            <w:tcW w:w="3357" w:type="dxa"/>
          </w:tcPr>
          <w:p w:rsidR="003E42B4" w:rsidRPr="0087654E" w:rsidRDefault="003E42B4" w:rsidP="003E42B4">
            <w:pPr>
              <w:pStyle w:val="Tablebodycopy"/>
              <w:rPr>
                <w:vertAlign w:val="superscript"/>
              </w:rPr>
            </w:pPr>
            <w:r>
              <w:t xml:space="preserve">N4454 × P1.N3005 to </w:t>
            </w:r>
            <w:proofErr w:type="spellStart"/>
            <w:r>
              <w:t>Tc</w:t>
            </w:r>
            <w:r>
              <w:rPr>
                <w:vertAlign w:val="superscript"/>
              </w:rPr>
              <w:t>r</w:t>
            </w:r>
            <w:proofErr w:type="spellEnd"/>
          </w:p>
        </w:tc>
      </w:tr>
      <w:tr w:rsidR="003E42B4" w:rsidTr="003E42B4">
        <w:tc>
          <w:tcPr>
            <w:tcW w:w="999" w:type="dxa"/>
          </w:tcPr>
          <w:p w:rsidR="003E42B4" w:rsidRDefault="003E42B4" w:rsidP="003E42B4">
            <w:pPr>
              <w:pStyle w:val="Tablebodycopy"/>
            </w:pPr>
            <w:r>
              <w:t>N7945</w:t>
            </w:r>
          </w:p>
        </w:tc>
        <w:tc>
          <w:tcPr>
            <w:tcW w:w="4683" w:type="dxa"/>
          </w:tcPr>
          <w:p w:rsidR="003E42B4" w:rsidRPr="00201264" w:rsidRDefault="003E42B4" w:rsidP="003E42B4">
            <w:pPr>
              <w:pStyle w:val="Tablebodycopy"/>
              <w:rPr>
                <w:i/>
              </w:rPr>
            </w:pPr>
            <w:proofErr w:type="spellStart"/>
            <w:r>
              <w:rPr>
                <w:i/>
              </w:rPr>
              <w:t>ΔruvABC</w:t>
            </w:r>
            <w:proofErr w:type="spellEnd"/>
            <w:r>
              <w:rPr>
                <w:i/>
              </w:rPr>
              <w:t>::cat rus-2 (orf-56::IS10)</w:t>
            </w:r>
          </w:p>
        </w:tc>
        <w:tc>
          <w:tcPr>
            <w:tcW w:w="3357" w:type="dxa"/>
          </w:tcPr>
          <w:p w:rsidR="003E42B4" w:rsidRDefault="003E42B4" w:rsidP="003E42B4">
            <w:pPr>
              <w:pStyle w:val="Tablebodycopy"/>
            </w:pPr>
            <w:r>
              <w:t xml:space="preserve">N7944 × P1.N4574 to </w:t>
            </w:r>
            <w:proofErr w:type="spellStart"/>
            <w:r w:rsidRPr="0087654E">
              <w:rPr>
                <w:i/>
              </w:rPr>
              <w:t>purE</w:t>
            </w:r>
            <w:proofErr w:type="spellEnd"/>
            <w:r w:rsidRPr="0087654E">
              <w:rPr>
                <w:i/>
                <w:vertAlign w:val="superscript"/>
              </w:rPr>
              <w:t>+</w:t>
            </w:r>
          </w:p>
        </w:tc>
      </w:tr>
      <w:tr w:rsidR="003E42B4" w:rsidTr="003E42B4">
        <w:tc>
          <w:tcPr>
            <w:tcW w:w="999" w:type="dxa"/>
          </w:tcPr>
          <w:p w:rsidR="003E42B4" w:rsidRDefault="003E42B4" w:rsidP="003E42B4">
            <w:pPr>
              <w:pStyle w:val="Tablebodycopy"/>
            </w:pPr>
            <w:r>
              <w:t>N7959</w:t>
            </w:r>
          </w:p>
        </w:tc>
        <w:tc>
          <w:tcPr>
            <w:tcW w:w="4683" w:type="dxa"/>
          </w:tcPr>
          <w:p w:rsidR="003E42B4" w:rsidRDefault="003E42B4" w:rsidP="003E42B4">
            <w:pPr>
              <w:pStyle w:val="Tablebodycopy"/>
              <w:rPr>
                <w:i/>
              </w:rPr>
            </w:pPr>
            <w:proofErr w:type="spellStart"/>
            <w:r>
              <w:rPr>
                <w:i/>
              </w:rPr>
              <w:t>ΔruvABC</w:t>
            </w:r>
            <w:proofErr w:type="spellEnd"/>
            <w:r>
              <w:rPr>
                <w:i/>
              </w:rPr>
              <w:t>::cat rus-1 (orf-151::IS2)</w:t>
            </w:r>
          </w:p>
        </w:tc>
        <w:tc>
          <w:tcPr>
            <w:tcW w:w="3357" w:type="dxa"/>
          </w:tcPr>
          <w:p w:rsidR="003E42B4" w:rsidRDefault="003E42B4" w:rsidP="003E42B4">
            <w:pPr>
              <w:pStyle w:val="Tablebodycopy"/>
            </w:pPr>
            <w:r>
              <w:t>R.G. Lloyd, unpublished</w:t>
            </w:r>
          </w:p>
        </w:tc>
      </w:tr>
      <w:tr w:rsidR="003E42B4" w:rsidRPr="004658E5" w:rsidTr="003E42B4">
        <w:tc>
          <w:tcPr>
            <w:tcW w:w="999" w:type="dxa"/>
          </w:tcPr>
          <w:p w:rsidR="003E42B4" w:rsidRPr="004658E5" w:rsidRDefault="003E42B4" w:rsidP="003E42B4">
            <w:pPr>
              <w:pStyle w:val="Tablebodycopy"/>
            </w:pPr>
            <w:r>
              <w:t>RRL190</w:t>
            </w:r>
          </w:p>
        </w:tc>
        <w:tc>
          <w:tcPr>
            <w:tcW w:w="4683" w:type="dxa"/>
          </w:tcPr>
          <w:p w:rsidR="003E42B4" w:rsidRPr="004658E5" w:rsidRDefault="003E42B4" w:rsidP="003E42B4">
            <w:pPr>
              <w:pStyle w:val="Tablebodycopy"/>
              <w:rPr>
                <w:i/>
              </w:rPr>
            </w:pPr>
            <w:proofErr w:type="spellStart"/>
            <w:r>
              <w:rPr>
                <w:i/>
              </w:rPr>
              <w:t>kan-ypet-dnaN</w:t>
            </w:r>
            <w:proofErr w:type="spellEnd"/>
          </w:p>
        </w:tc>
        <w:tc>
          <w:tcPr>
            <w:tcW w:w="3357" w:type="dxa"/>
          </w:tcPr>
          <w:p w:rsidR="003E42B4" w:rsidRPr="004658E5" w:rsidRDefault="003E42B4" w:rsidP="003E42B4">
            <w:pPr>
              <w:pStyle w:val="Tablebodycopy"/>
            </w:pPr>
            <w:r>
              <w:t xml:space="preserve">David </w:t>
            </w:r>
            <w:proofErr w:type="spellStart"/>
            <w:r>
              <w:t>Sherratt</w:t>
            </w:r>
            <w:proofErr w:type="spellEnd"/>
          </w:p>
        </w:tc>
      </w:tr>
      <w:tr w:rsidR="003E42B4" w:rsidTr="003E42B4">
        <w:tc>
          <w:tcPr>
            <w:tcW w:w="999" w:type="dxa"/>
          </w:tcPr>
          <w:p w:rsidR="003E42B4" w:rsidRDefault="003E42B4" w:rsidP="003E42B4">
            <w:pPr>
              <w:pStyle w:val="Tablebodycopy"/>
            </w:pPr>
            <w:r>
              <w:t>TRM308</w:t>
            </w:r>
          </w:p>
        </w:tc>
        <w:tc>
          <w:tcPr>
            <w:tcW w:w="4683" w:type="dxa"/>
          </w:tcPr>
          <w:p w:rsidR="003E42B4" w:rsidRPr="00A71B59" w:rsidRDefault="003E42B4" w:rsidP="003E42B4">
            <w:pPr>
              <w:pStyle w:val="Tablebodycopy"/>
              <w:rPr>
                <w:i/>
              </w:rPr>
            </w:pPr>
            <w:proofErr w:type="spellStart"/>
            <w:r>
              <w:rPr>
                <w:i/>
              </w:rPr>
              <w:t>ΔargE</w:t>
            </w:r>
            <w:proofErr w:type="spellEnd"/>
            <w:r>
              <w:rPr>
                <w:i/>
              </w:rPr>
              <w:t>::</w:t>
            </w:r>
            <w:r w:rsidRPr="00A71B59">
              <w:rPr>
                <w:i/>
              </w:rPr>
              <w:t>I-</w:t>
            </w:r>
            <w:proofErr w:type="spellStart"/>
            <w:r>
              <w:rPr>
                <w:i/>
              </w:rPr>
              <w:t>SceIcs</w:t>
            </w:r>
            <w:proofErr w:type="spellEnd"/>
            <w:r>
              <w:rPr>
                <w:i/>
              </w:rPr>
              <w:t>-cat recB268::</w:t>
            </w:r>
            <w:r>
              <w:t>Tn</w:t>
            </w:r>
            <w:r>
              <w:rPr>
                <w:i/>
              </w:rPr>
              <w:t xml:space="preserve">10 </w:t>
            </w:r>
            <w:proofErr w:type="spellStart"/>
            <w:r>
              <w:rPr>
                <w:i/>
              </w:rPr>
              <w:t>sbcA</w:t>
            </w:r>
            <w:proofErr w:type="spellEnd"/>
          </w:p>
        </w:tc>
        <w:tc>
          <w:tcPr>
            <w:tcW w:w="3357" w:type="dxa"/>
          </w:tcPr>
          <w:p w:rsidR="003E42B4" w:rsidRDefault="003E42B4" w:rsidP="003E42B4">
            <w:pPr>
              <w:pStyle w:val="Tablebodycopy"/>
            </w:pPr>
            <w:r>
              <w:fldChar w:fldCharType="begin"/>
            </w:r>
            <w:r>
              <w:instrText xml:space="preserve"> ADDIN ZOTERO_ITEM CSL_CITATION {"citationID":"2006gjq8pa","properties":{"formattedCitation":"(Mahdi et al. 2006)","plainCitation":"(Mahdi et al. 2006)"},"citationItems":[{"id":65,"uris":["http://zotero.org/users/1841541/items/VVJ9K4R5"],"uri":["http://zotero.org/users/1841541/items/VVJ9K4R5"],"itemData":{"id":65,"type":"article-journal","title":"Rep and PriA helicase activities prevent RecA from provoking unnecessary recombination during replication fork repair","container-title":"Genes &amp; development","page":"2135-2147","volume":"20","issue":"15","source":"NCBI PubMed","abstract":"The rescue of replication forks stalled on the template DNA was investigated using an assay for synthetic lethality that provides a visual readout of cell viability and permits investigation of why certain mutations are lethal when combined. The results presented show that RecA and other recombination proteins are often engaged during replication because RecA is present and provokes recombination rather than because recombination is necessary. This occurs particularly frequently in cells lacking the helicase activities of Rep and PriA. We propose that these two proteins normally limit the loading of RecA on ssDNA regions exposed on the leading strand template of damaged forks, and do so by unwinding the nascent lagging strand, thus facilitating reannealing of the parental strands. Gap closure followed by loading of the DnaB replicative helicase enables synthesis of the leading strand to continue. Without either activity, RecA loads more frequently on the DNA and drives fork reversal, which creates a chickenfoot structure and a requirement for other recombination proteins to re-establish a viable fork. The assay also reveals that stalled transcription complexes are common impediments to fork progression, and that damaged forks often reverse independently of RecA.","DOI":"10.1101/gad.382306","ISSN":"0890-9369","note":"PMID: 16882986 \nPMCID: PMC1536063","journalAbbreviation":"Genes Dev.","language":"eng","author":[{"family":"Mahdi","given":"Akeel A"},{"family":"Buckman","given":"Carol"},{"family":"Harris","given":"Lynda"},{"family":"Lloyd","given":"Robert G"}],"issued":{"date-parts":[["2006",8,1]]},"PMID":"16882986","PMCID":"PMC1536063"}}],"schema":"https://github.com/citation-style-language/schema/raw/master/csl-citation.json"} </w:instrText>
            </w:r>
            <w:r>
              <w:fldChar w:fldCharType="separate"/>
            </w:r>
            <w:r w:rsidRPr="003E42B4">
              <w:t>(Mahdi et al. 2006)</w:t>
            </w:r>
            <w:r>
              <w:fldChar w:fldCharType="end"/>
            </w:r>
          </w:p>
        </w:tc>
      </w:tr>
    </w:tbl>
    <w:p w:rsidR="003E42B4" w:rsidRDefault="003E42B4" w:rsidP="003E42B4">
      <w:r>
        <w:br w:type="page"/>
      </w:r>
    </w:p>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683"/>
        <w:gridCol w:w="3357"/>
      </w:tblGrid>
      <w:tr w:rsidR="003E42B4" w:rsidRPr="0087654E" w:rsidTr="003E42B4">
        <w:tc>
          <w:tcPr>
            <w:tcW w:w="9039" w:type="dxa"/>
            <w:gridSpan w:val="3"/>
            <w:tcBorders>
              <w:bottom w:val="single" w:sz="6" w:space="0" w:color="auto"/>
            </w:tcBorders>
          </w:tcPr>
          <w:p w:rsidR="003E42B4" w:rsidRPr="0087654E" w:rsidRDefault="003E42B4" w:rsidP="003E42B4">
            <w:pPr>
              <w:pStyle w:val="Tablebodycopy"/>
              <w:spacing w:before="160"/>
              <w:rPr>
                <w:b/>
                <w:vertAlign w:val="superscript"/>
              </w:rPr>
            </w:pPr>
            <w:r w:rsidRPr="0087654E">
              <w:rPr>
                <w:b/>
              </w:rPr>
              <w:lastRenderedPageBreak/>
              <w:t xml:space="preserve">(b) MG1655 </w:t>
            </w:r>
            <w:proofErr w:type="spellStart"/>
            <w:r w:rsidRPr="0087654E">
              <w:rPr>
                <w:b/>
              </w:rPr>
              <w:t>derivatives</w:t>
            </w:r>
            <w:r w:rsidRPr="0087654E">
              <w:rPr>
                <w:b/>
                <w:vertAlign w:val="superscript"/>
              </w:rPr>
              <w:t>b</w:t>
            </w:r>
            <w:proofErr w:type="spellEnd"/>
          </w:p>
        </w:tc>
      </w:tr>
      <w:tr w:rsidR="003E42B4" w:rsidRPr="004658E5" w:rsidTr="003E42B4">
        <w:tc>
          <w:tcPr>
            <w:tcW w:w="999" w:type="dxa"/>
          </w:tcPr>
          <w:p w:rsidR="003E42B4" w:rsidRPr="0087654E" w:rsidRDefault="003E42B4" w:rsidP="003E42B4">
            <w:pPr>
              <w:pStyle w:val="Tablebodycopy"/>
            </w:pPr>
            <w:r w:rsidRPr="0087654E">
              <w:t>MG1655</w:t>
            </w:r>
            <w:r w:rsidRPr="0087654E">
              <w:tab/>
            </w:r>
          </w:p>
        </w:tc>
        <w:tc>
          <w:tcPr>
            <w:tcW w:w="4683" w:type="dxa"/>
          </w:tcPr>
          <w:p w:rsidR="003E42B4" w:rsidRPr="0087654E" w:rsidRDefault="003E42B4" w:rsidP="003E42B4">
            <w:pPr>
              <w:pStyle w:val="Tablebodycopy"/>
              <w:rPr>
                <w:i/>
              </w:rPr>
            </w:pPr>
            <w:r w:rsidRPr="0087654E">
              <w:t xml:space="preserve">F– </w:t>
            </w:r>
            <w:r w:rsidRPr="0087654E">
              <w:rPr>
                <w:i/>
              </w:rPr>
              <w:t>rph-1</w:t>
            </w:r>
          </w:p>
        </w:tc>
        <w:tc>
          <w:tcPr>
            <w:tcW w:w="3357" w:type="dxa"/>
          </w:tcPr>
          <w:p w:rsidR="003E42B4" w:rsidRPr="004658E5" w:rsidRDefault="003E42B4" w:rsidP="003E42B4">
            <w:pPr>
              <w:pStyle w:val="Tablebodycopy"/>
            </w:pPr>
            <w:r>
              <w:fldChar w:fldCharType="begin"/>
            </w:r>
            <w:r>
              <w:instrText xml:space="preserve"> ADDIN ZOTERO_ITEM CSL_CITATION {"citationID":"4rtv3vlit","properties":{"formattedCitation":"(Bachmann, B J 1996)","plainCitation":"(Bachmann, B J 1996)"},"citationItems":[{"id":133,"uris":["http://zotero.org/users/1841541/items/RN2TQVGQ"],"uri":["http://zotero.org/users/1841541/items/RN2TQVGQ"],"itemData":{"id":133,"type":"chapter","title":"Derivations and Genotypes of Some Mutant Derivatives of Escherichia coli K-12","container-title":"Escherichia coli and Salmonella Cellular and Molecular Biology","publisher":"ASM Press","edition":"Second Edition","author":[{"literal":"Bachmann, B J"}],"issued":{"date-parts":[["1996"]]}}}],"schema":"https://github.com/citation-style-language/schema/raw/master/csl-citation.json"} </w:instrText>
            </w:r>
            <w:r>
              <w:fldChar w:fldCharType="separate"/>
            </w:r>
            <w:r w:rsidRPr="003E42B4">
              <w:t>(Bachmann, B J 1996)</w:t>
            </w:r>
            <w:r>
              <w:fldChar w:fldCharType="end"/>
            </w:r>
          </w:p>
        </w:tc>
      </w:tr>
      <w:tr w:rsidR="003E42B4" w:rsidTr="003E42B4">
        <w:tc>
          <w:tcPr>
            <w:tcW w:w="999" w:type="dxa"/>
          </w:tcPr>
          <w:p w:rsidR="003E42B4" w:rsidRDefault="003E42B4" w:rsidP="003E42B4">
            <w:pPr>
              <w:pStyle w:val="Tablebodycopy"/>
            </w:pPr>
            <w:r>
              <w:t>AM1655</w:t>
            </w:r>
          </w:p>
        </w:tc>
        <w:tc>
          <w:tcPr>
            <w:tcW w:w="4683" w:type="dxa"/>
          </w:tcPr>
          <w:p w:rsidR="003E42B4" w:rsidRPr="003F330A" w:rsidRDefault="003E42B4" w:rsidP="003E42B4">
            <w:pPr>
              <w:pStyle w:val="Tablebodycopy"/>
              <w:rPr>
                <w:i/>
              </w:rPr>
            </w:pPr>
            <w:r>
              <w:rPr>
                <w:i/>
              </w:rPr>
              <w:t>ΔrecG::</w:t>
            </w:r>
            <w:proofErr w:type="spellStart"/>
            <w:r>
              <w:rPr>
                <w:i/>
              </w:rPr>
              <w:t>apra</w:t>
            </w:r>
            <w:proofErr w:type="spellEnd"/>
          </w:p>
        </w:tc>
        <w:tc>
          <w:tcPr>
            <w:tcW w:w="3357" w:type="dxa"/>
          </w:tcPr>
          <w:p w:rsidR="003E42B4" w:rsidRDefault="003E42B4" w:rsidP="003E42B4">
            <w:pPr>
              <w:pStyle w:val="Tablebodycopy"/>
            </w:pPr>
            <w:r>
              <w:fldChar w:fldCharType="begin"/>
            </w:r>
            <w:r>
              <w:instrText xml:space="preserve"> ADDIN ZOTERO_ITEM CSL_CITATION {"citationID":"21khp99pmi","properties":{"formattedCitation":"(Mahdi et al. 2006)","plainCitation":"(Mahdi et al. 2006)"},"citationItems":[{"id":65,"uris":["http://zotero.org/users/1841541/items/VVJ9K4R5"],"uri":["http://zotero.org/users/1841541/items/VVJ9K4R5"],"itemData":{"id":65,"type":"article-journal","title":"Rep and PriA helicase activities prevent RecA from provoking unnecessary recombination during replication fork repair","container-title":"Genes &amp; development","page":"2135-2147","volume":"20","issue":"15","source":"NCBI PubMed","abstract":"The rescue of replication forks stalled on the template DNA was investigated using an assay for synthetic lethality that provides a visual readout of cell viability and permits investigation of why certain mutations are lethal when combined. The results presented show that RecA and other recombination proteins are often engaged during replication because RecA is present and provokes recombination rather than because recombination is necessary. This occurs particularly frequently in cells lacking the helicase activities of Rep and PriA. We propose that these two proteins normally limit the loading of RecA on ssDNA regions exposed on the leading strand template of damaged forks, and do so by unwinding the nascent lagging strand, thus facilitating reannealing of the parental strands. Gap closure followed by loading of the DnaB replicative helicase enables synthesis of the leading strand to continue. Without either activity, RecA loads more frequently on the DNA and drives fork reversal, which creates a chickenfoot structure and a requirement for other recombination proteins to re-establish a viable fork. The assay also reveals that stalled transcription complexes are common impediments to fork progression, and that damaged forks often reverse independently of RecA.","DOI":"10.1101/gad.382306","ISSN":"0890-9369","note":"PMID: 16882986 \nPMCID: PMC1536063","journalAbbreviation":"Genes Dev.","language":"eng","author":[{"family":"Mahdi","given":"Akeel A"},{"family":"Buckman","given":"Carol"},{"family":"Harris","given":"Lynda"},{"family":"Lloyd","given":"Robert G"}],"issued":{"date-parts":[["2006",8,1]]},"PMID":"16882986","PMCID":"PMC1536063"}}],"schema":"https://github.com/citation-style-language/schema/raw/master/csl-citation.json"} </w:instrText>
            </w:r>
            <w:r>
              <w:fldChar w:fldCharType="separate"/>
            </w:r>
            <w:r w:rsidRPr="003E42B4">
              <w:t>(Mahdi et al. 2006)</w:t>
            </w:r>
            <w:r>
              <w:fldChar w:fldCharType="end"/>
            </w:r>
          </w:p>
        </w:tc>
      </w:tr>
      <w:tr w:rsidR="003E42B4" w:rsidRPr="00D65B41" w:rsidTr="003E42B4">
        <w:tc>
          <w:tcPr>
            <w:tcW w:w="999" w:type="dxa"/>
          </w:tcPr>
          <w:p w:rsidR="003E42B4" w:rsidRPr="004658E5" w:rsidRDefault="003E42B4" w:rsidP="003E42B4">
            <w:pPr>
              <w:pStyle w:val="Tablebodycopy"/>
            </w:pPr>
            <w:r>
              <w:t>AS1062</w:t>
            </w:r>
          </w:p>
        </w:tc>
        <w:tc>
          <w:tcPr>
            <w:tcW w:w="4683" w:type="dxa"/>
          </w:tcPr>
          <w:p w:rsidR="003E42B4" w:rsidRPr="004658E5" w:rsidRDefault="003E42B4" w:rsidP="003E42B4">
            <w:pPr>
              <w:pStyle w:val="Tablebodycopy"/>
              <w:rPr>
                <w:i/>
              </w:rPr>
            </w:pPr>
            <w:proofErr w:type="spellStart"/>
            <w:r>
              <w:rPr>
                <w:i/>
              </w:rPr>
              <w:t>kan-ypet-dnaN</w:t>
            </w:r>
            <w:proofErr w:type="spellEnd"/>
          </w:p>
        </w:tc>
        <w:tc>
          <w:tcPr>
            <w:tcW w:w="3357" w:type="dxa"/>
          </w:tcPr>
          <w:p w:rsidR="003E42B4" w:rsidRPr="00D65B41" w:rsidRDefault="003E42B4" w:rsidP="003E42B4">
            <w:pPr>
              <w:pStyle w:val="Tablebodycopy"/>
              <w:rPr>
                <w:vertAlign w:val="superscript"/>
              </w:rPr>
            </w:pPr>
            <w:r>
              <w:t xml:space="preserve">MG1655 × P1.RRL190 to </w:t>
            </w:r>
            <w:proofErr w:type="spellStart"/>
            <w:r>
              <w:t>Km</w:t>
            </w:r>
            <w:r>
              <w:rPr>
                <w:vertAlign w:val="superscript"/>
              </w:rPr>
              <w:t>r</w:t>
            </w:r>
            <w:proofErr w:type="spellEnd"/>
          </w:p>
        </w:tc>
      </w:tr>
      <w:tr w:rsidR="003E42B4" w:rsidRPr="00D07EBA" w:rsidTr="003E42B4">
        <w:tc>
          <w:tcPr>
            <w:tcW w:w="999" w:type="dxa"/>
          </w:tcPr>
          <w:p w:rsidR="003E42B4" w:rsidRPr="004658E5" w:rsidRDefault="003E42B4" w:rsidP="003E42B4">
            <w:pPr>
              <w:pStyle w:val="Tablebodycopy"/>
            </w:pPr>
            <w:r>
              <w:t>AS1103</w:t>
            </w:r>
          </w:p>
        </w:tc>
        <w:tc>
          <w:tcPr>
            <w:tcW w:w="4683" w:type="dxa"/>
          </w:tcPr>
          <w:p w:rsidR="003E42B4" w:rsidRPr="004658E5" w:rsidRDefault="003E42B4" w:rsidP="003E42B4">
            <w:pPr>
              <w:pStyle w:val="Tablebodycopy"/>
              <w:rPr>
                <w:i/>
              </w:rPr>
            </w:pPr>
            <w:r w:rsidRPr="0042678F">
              <w:rPr>
                <w:i/>
              </w:rPr>
              <w:t>ΔlacIZYA</w:t>
            </w:r>
            <w:r>
              <w:rPr>
                <w:i/>
              </w:rPr>
              <w:t xml:space="preserve"> </w:t>
            </w:r>
            <w:proofErr w:type="spellStart"/>
            <w:r>
              <w:rPr>
                <w:i/>
              </w:rPr>
              <w:t>ΔsbcCD</w:t>
            </w:r>
            <w:proofErr w:type="spellEnd"/>
            <w:r>
              <w:rPr>
                <w:i/>
              </w:rPr>
              <w:t>::</w:t>
            </w:r>
            <w:proofErr w:type="spellStart"/>
            <w:r>
              <w:rPr>
                <w:i/>
              </w:rPr>
              <w:t>spc</w:t>
            </w:r>
            <w:proofErr w:type="spellEnd"/>
            <w:r>
              <w:rPr>
                <w:i/>
              </w:rPr>
              <w:t xml:space="preserve"> </w:t>
            </w:r>
            <w:proofErr w:type="spellStart"/>
            <w:r>
              <w:rPr>
                <w:i/>
              </w:rPr>
              <w:t>ΔxseA</w:t>
            </w:r>
            <w:proofErr w:type="spellEnd"/>
            <w:r>
              <w:rPr>
                <w:i/>
              </w:rPr>
              <w:t xml:space="preserve">::dhfr </w:t>
            </w:r>
            <w:proofErr w:type="spellStart"/>
            <w:r>
              <w:rPr>
                <w:i/>
              </w:rPr>
              <w:t>ΔxonA</w:t>
            </w:r>
            <w:proofErr w:type="spellEnd"/>
            <w:r>
              <w:rPr>
                <w:i/>
              </w:rPr>
              <w:t>::</w:t>
            </w:r>
            <w:proofErr w:type="spellStart"/>
            <w:r>
              <w:rPr>
                <w:i/>
              </w:rPr>
              <w:t>apra</w:t>
            </w:r>
            <w:proofErr w:type="spellEnd"/>
            <w:r>
              <w:rPr>
                <w:i/>
              </w:rPr>
              <w:t xml:space="preserve"> </w:t>
            </w:r>
            <w:r>
              <w:rPr>
                <w:i/>
              </w:rPr>
              <w:br/>
            </w:r>
            <w:r>
              <w:t>pAM401 pAST116</w:t>
            </w:r>
          </w:p>
        </w:tc>
        <w:tc>
          <w:tcPr>
            <w:tcW w:w="3357" w:type="dxa"/>
          </w:tcPr>
          <w:p w:rsidR="003E42B4" w:rsidRPr="00D07EBA" w:rsidRDefault="003E42B4" w:rsidP="003E42B4">
            <w:pPr>
              <w:pStyle w:val="Tablebodycopy"/>
              <w:rPr>
                <w:vertAlign w:val="superscript"/>
              </w:rPr>
            </w:pPr>
            <w:r>
              <w:t xml:space="preserve">N7684 × pAST116 to </w:t>
            </w:r>
            <w:proofErr w:type="spellStart"/>
            <w:r>
              <w:t>Km</w:t>
            </w:r>
            <w:r>
              <w:rPr>
                <w:vertAlign w:val="superscript"/>
              </w:rPr>
              <w:t>r</w:t>
            </w:r>
            <w:proofErr w:type="spellEnd"/>
          </w:p>
        </w:tc>
      </w:tr>
      <w:tr w:rsidR="003E42B4" w:rsidRPr="00D07EBA" w:rsidTr="003E42B4">
        <w:tc>
          <w:tcPr>
            <w:tcW w:w="999" w:type="dxa"/>
          </w:tcPr>
          <w:p w:rsidR="003E42B4" w:rsidRPr="004658E5" w:rsidRDefault="003E42B4" w:rsidP="003E42B4">
            <w:pPr>
              <w:pStyle w:val="Tablebodycopy"/>
            </w:pPr>
            <w:r>
              <w:t>JD1099</w:t>
            </w:r>
          </w:p>
        </w:tc>
        <w:tc>
          <w:tcPr>
            <w:tcW w:w="4683" w:type="dxa"/>
          </w:tcPr>
          <w:p w:rsidR="003E42B4" w:rsidRPr="004658E5" w:rsidRDefault="003E42B4" w:rsidP="003E42B4">
            <w:pPr>
              <w:pStyle w:val="Tablebodycopy"/>
              <w:rPr>
                <w:i/>
              </w:rPr>
            </w:pPr>
            <w:proofErr w:type="spellStart"/>
            <w:r>
              <w:rPr>
                <w:i/>
              </w:rPr>
              <w:t>ΔxseA</w:t>
            </w:r>
            <w:proofErr w:type="spellEnd"/>
            <w:r>
              <w:rPr>
                <w:i/>
              </w:rPr>
              <w:t xml:space="preserve">::dhfr </w:t>
            </w:r>
            <w:proofErr w:type="spellStart"/>
            <w:r>
              <w:rPr>
                <w:i/>
              </w:rPr>
              <w:t>ΔsbcCD</w:t>
            </w:r>
            <w:proofErr w:type="spellEnd"/>
            <w:r>
              <w:rPr>
                <w:i/>
              </w:rPr>
              <w:t>::</w:t>
            </w:r>
            <w:proofErr w:type="spellStart"/>
            <w:r>
              <w:rPr>
                <w:i/>
              </w:rPr>
              <w:t>kan</w:t>
            </w:r>
            <w:proofErr w:type="spellEnd"/>
            <w:r>
              <w:rPr>
                <w:i/>
              </w:rPr>
              <w:t xml:space="preserve"> </w:t>
            </w:r>
            <w:proofErr w:type="spellStart"/>
            <w:r>
              <w:rPr>
                <w:i/>
              </w:rPr>
              <w:t>ΔxonA</w:t>
            </w:r>
            <w:proofErr w:type="spellEnd"/>
            <w:r>
              <w:rPr>
                <w:i/>
              </w:rPr>
              <w:t>::</w:t>
            </w:r>
            <w:proofErr w:type="spellStart"/>
            <w:r>
              <w:rPr>
                <w:i/>
              </w:rPr>
              <w:t>apra</w:t>
            </w:r>
            <w:proofErr w:type="spellEnd"/>
          </w:p>
        </w:tc>
        <w:tc>
          <w:tcPr>
            <w:tcW w:w="3357" w:type="dxa"/>
          </w:tcPr>
          <w:p w:rsidR="003E42B4" w:rsidRPr="00D07EBA" w:rsidRDefault="003E42B4" w:rsidP="003E42B4">
            <w:pPr>
              <w:pStyle w:val="Tablebodycopy"/>
              <w:rPr>
                <w:vertAlign w:val="superscript"/>
              </w:rPr>
            </w:pPr>
            <w:r>
              <w:t xml:space="preserve">RCe570 × P1.AS1103 to </w:t>
            </w:r>
            <w:proofErr w:type="spellStart"/>
            <w:r>
              <w:t>Apra</w:t>
            </w:r>
            <w:r>
              <w:rPr>
                <w:vertAlign w:val="superscript"/>
              </w:rPr>
              <w:t>r</w:t>
            </w:r>
            <w:proofErr w:type="spellEnd"/>
          </w:p>
        </w:tc>
      </w:tr>
      <w:tr w:rsidR="003E42B4" w:rsidRPr="004658E5" w:rsidTr="003E42B4">
        <w:tc>
          <w:tcPr>
            <w:tcW w:w="999" w:type="dxa"/>
          </w:tcPr>
          <w:p w:rsidR="003E42B4" w:rsidRPr="004658E5" w:rsidRDefault="003E42B4" w:rsidP="003E42B4">
            <w:pPr>
              <w:pStyle w:val="Tablebodycopy"/>
            </w:pPr>
            <w:r>
              <w:t>N4239</w:t>
            </w:r>
          </w:p>
        </w:tc>
        <w:tc>
          <w:tcPr>
            <w:tcW w:w="4683" w:type="dxa"/>
          </w:tcPr>
          <w:p w:rsidR="003E42B4" w:rsidRPr="004658E5" w:rsidRDefault="003E42B4" w:rsidP="003E42B4">
            <w:pPr>
              <w:pStyle w:val="Tablebodycopy"/>
              <w:rPr>
                <w:i/>
              </w:rPr>
            </w:pPr>
            <w:r>
              <w:rPr>
                <w:i/>
              </w:rPr>
              <w:t>ruvA60::</w:t>
            </w:r>
            <w:r>
              <w:t>Tn</w:t>
            </w:r>
            <w:r>
              <w:rPr>
                <w:i/>
              </w:rPr>
              <w:t>10</w:t>
            </w:r>
          </w:p>
        </w:tc>
        <w:tc>
          <w:tcPr>
            <w:tcW w:w="3357" w:type="dxa"/>
          </w:tcPr>
          <w:p w:rsidR="003E42B4" w:rsidRPr="004658E5" w:rsidRDefault="003E42B4" w:rsidP="003E42B4">
            <w:pPr>
              <w:pStyle w:val="Tablebodycopy"/>
            </w:pPr>
            <w:r>
              <w:fldChar w:fldCharType="begin"/>
            </w:r>
            <w:r>
              <w:instrText xml:space="preserve"> ADDIN ZOTERO_ITEM CSL_CITATION {"citationID":"277n27o47p","properties":{"formattedCitation":"(Meddows et al. 2004)","plainCitation":"(Meddows et al. 2004)"},"citationItems":[{"id":353,"uris":["http://zotero.org/users/1841541/items/UP4EVCTQ"],"uri":["http://zotero.org/users/1841541/items/UP4EVCTQ"],"itemData":{"id":353,"type":"article-journal","title":"RecG helicase promotes DNA double-strand break repair","container-title":"Molecular Microbiology","page":"119-132","volume":"52","issue":"1","source":"PubMed","abstract":"Double-strand breaks pose a major threat to the genome and must be repaired accurately if structural and functional integrity are to be preserved. This is usually achieved via homologous recombination, which enables the ends of a broken DNA molecule to engage an intact duplex and prime synthesis of the DNA needed for repair. In Escherichia coli, repair relies on the RecBCD and RecA proteins, the combined ability of which to initiate recombination and form joint-molecule intermediates is well understood. To shed light on subsequent events, we exploited the I-SceI homing endonuclease of yeast to make breaks at I-SceI cleavage sites engineered into the chromosome. We show that survival depends on RecA and RecBCD, and that subsequent events can proceed via either of two pathways, one dependent on the RuvABC Holliday junction resolvase and the other on RecG helicase. Both pathways rely on PriA, presumably to facilitate DNA replication. We discuss the possibility that classical Holliday junctions may not be essential intermediates in repair and consider alternative pathways for RecG-dependent separation of joint molecules formed by RecA.","DOI":"10.1111/j.1365-2958.2003.03970.x","ISSN":"0950-382X","note":"PMID: 15049815","journalAbbreviation":"Mol. Microbiol.","language":"eng","author":[{"family":"Meddows","given":"Tom R."},{"family":"Savory","given":"Andrew P."},{"family":"Lloyd","given":"Robert G."}],"issued":{"date-parts":[["2004",4]]},"PMID":"15049815"}}],"schema":"https://github.com/citation-style-language/schema/raw/master/csl-citation.json"} </w:instrText>
            </w:r>
            <w:r>
              <w:fldChar w:fldCharType="separate"/>
            </w:r>
            <w:r w:rsidRPr="003E42B4">
              <w:t>(Meddows et al. 2004)</w:t>
            </w:r>
            <w:r>
              <w:fldChar w:fldCharType="end"/>
            </w:r>
          </w:p>
        </w:tc>
      </w:tr>
      <w:tr w:rsidR="003E42B4" w:rsidRPr="004658E5" w:rsidTr="003E42B4">
        <w:tc>
          <w:tcPr>
            <w:tcW w:w="999" w:type="dxa"/>
          </w:tcPr>
          <w:p w:rsidR="003E42B4" w:rsidRPr="004658E5" w:rsidRDefault="003E42B4" w:rsidP="003E42B4">
            <w:pPr>
              <w:pStyle w:val="Tablebodycopy"/>
            </w:pPr>
            <w:r>
              <w:t>N4278</w:t>
            </w:r>
          </w:p>
        </w:tc>
        <w:tc>
          <w:tcPr>
            <w:tcW w:w="4683" w:type="dxa"/>
          </w:tcPr>
          <w:p w:rsidR="003E42B4" w:rsidRPr="004658E5" w:rsidRDefault="003E42B4" w:rsidP="003E42B4">
            <w:pPr>
              <w:pStyle w:val="Tablebodycopy"/>
              <w:rPr>
                <w:i/>
              </w:rPr>
            </w:pPr>
            <w:r>
              <w:rPr>
                <w:i/>
              </w:rPr>
              <w:t>recB268::</w:t>
            </w:r>
            <w:r>
              <w:t>Tn</w:t>
            </w:r>
            <w:r>
              <w:rPr>
                <w:i/>
              </w:rPr>
              <w:t>10</w:t>
            </w:r>
          </w:p>
        </w:tc>
        <w:tc>
          <w:tcPr>
            <w:tcW w:w="3357" w:type="dxa"/>
          </w:tcPr>
          <w:p w:rsidR="003E42B4" w:rsidRPr="004658E5" w:rsidRDefault="003E42B4" w:rsidP="003E42B4">
            <w:pPr>
              <w:pStyle w:val="Tablebodycopy"/>
            </w:pPr>
            <w:r>
              <w:fldChar w:fldCharType="begin"/>
            </w:r>
            <w:r>
              <w:instrText xml:space="preserve"> ADDIN ZOTERO_ITEM CSL_CITATION {"citationID":"1eev17h1ka","properties":{"formattedCitation":"(Meddows et al. 2004)","plainCitation":"(Meddows et al. 2004)"},"citationItems":[{"id":353,"uris":["http://zotero.org/users/1841541/items/UP4EVCTQ"],"uri":["http://zotero.org/users/1841541/items/UP4EVCTQ"],"itemData":{"id":353,"type":"article-journal","title":"RecG helicase promotes DNA double-strand break repair","container-title":"Molecular Microbiology","page":"119-132","volume":"52","issue":"1","source":"PubMed","abstract":"Double-strand breaks pose a major threat to the genome and must be repaired accurately if structural and functional integrity are to be preserved. This is usually achieved via homologous recombination, which enables the ends of a broken DNA molecule to engage an intact duplex and prime synthesis of the DNA needed for repair. In Escherichia coli, repair relies on the RecBCD and RecA proteins, the combined ability of which to initiate recombination and form joint-molecule intermediates is well understood. To shed light on subsequent events, we exploited the I-SceI homing endonuclease of yeast to make breaks at I-SceI cleavage sites engineered into the chromosome. We show that survival depends on RecA and RecBCD, and that subsequent events can proceed via either of two pathways, one dependent on the RuvABC Holliday junction resolvase and the other on RecG helicase. Both pathways rely on PriA, presumably to facilitate DNA replication. We discuss the possibility that classical Holliday junctions may not be essential intermediates in repair and consider alternative pathways for RecG-dependent separation of joint molecules formed by RecA.","DOI":"10.1111/j.1365-2958.2003.03970.x","ISSN":"0950-382X","note":"PMID: 15049815","journalAbbreviation":"Mol. Microbiol.","language":"eng","author":[{"family":"Meddows","given":"Tom R."},{"family":"Savory","given":"Andrew P."},{"family":"Lloyd","given":"Robert G."}],"issued":{"date-parts":[["2004",4]]},"PMID":"15049815"}}],"schema":"https://github.com/citation-style-language/schema/raw/master/csl-citation.json"} </w:instrText>
            </w:r>
            <w:r>
              <w:fldChar w:fldCharType="separate"/>
            </w:r>
            <w:r w:rsidRPr="003E42B4">
              <w:t>(Meddows et al. 2004)</w:t>
            </w:r>
            <w:r>
              <w:fldChar w:fldCharType="end"/>
            </w:r>
          </w:p>
        </w:tc>
      </w:tr>
      <w:tr w:rsidR="003E42B4" w:rsidRPr="004658E5" w:rsidTr="003E42B4">
        <w:tc>
          <w:tcPr>
            <w:tcW w:w="999" w:type="dxa"/>
          </w:tcPr>
          <w:p w:rsidR="003E42B4" w:rsidRPr="004658E5" w:rsidRDefault="003E42B4" w:rsidP="003E42B4">
            <w:pPr>
              <w:pStyle w:val="Tablebodycopy"/>
            </w:pPr>
            <w:r>
              <w:t>N4279</w:t>
            </w:r>
          </w:p>
        </w:tc>
        <w:tc>
          <w:tcPr>
            <w:tcW w:w="4683" w:type="dxa"/>
          </w:tcPr>
          <w:p w:rsidR="003E42B4" w:rsidRPr="003F330A" w:rsidRDefault="003E42B4" w:rsidP="003E42B4">
            <w:pPr>
              <w:pStyle w:val="Tablebodycopy"/>
              <w:rPr>
                <w:i/>
              </w:rPr>
            </w:pPr>
            <w:r>
              <w:rPr>
                <w:i/>
              </w:rPr>
              <w:t>recA269::</w:t>
            </w:r>
            <w:r>
              <w:t>Tn</w:t>
            </w:r>
            <w:r>
              <w:rPr>
                <w:i/>
              </w:rPr>
              <w:t>10</w:t>
            </w:r>
          </w:p>
        </w:tc>
        <w:tc>
          <w:tcPr>
            <w:tcW w:w="3357" w:type="dxa"/>
          </w:tcPr>
          <w:p w:rsidR="003E42B4" w:rsidRPr="004658E5" w:rsidRDefault="003E42B4" w:rsidP="003E42B4">
            <w:pPr>
              <w:pStyle w:val="Tablebodycopy"/>
            </w:pPr>
            <w:r>
              <w:fldChar w:fldCharType="begin"/>
            </w:r>
            <w:r>
              <w:instrText xml:space="preserve"> ADDIN ZOTERO_ITEM CSL_CITATION {"citationID":"2cdfgc9953","properties":{"formattedCitation":"(Meddows et al. 2004)","plainCitation":"(Meddows et al. 2004)"},"citationItems":[{"id":353,"uris":["http://zotero.org/users/1841541/items/UP4EVCTQ"],"uri":["http://zotero.org/users/1841541/items/UP4EVCTQ"],"itemData":{"id":353,"type":"article-journal","title":"RecG helicase promotes DNA double-strand break repair","container-title":"Molecular Microbiology","page":"119-132","volume":"52","issue":"1","source":"PubMed","abstract":"Double-strand breaks pose a major threat to the genome and must be repaired accurately if structural and functional integrity are to be preserved. This is usually achieved via homologous recombination, which enables the ends of a broken DNA molecule to engage an intact duplex and prime synthesis of the DNA needed for repair. In Escherichia coli, repair relies on the RecBCD and RecA proteins, the combined ability of which to initiate recombination and form joint-molecule intermediates is well understood. To shed light on subsequent events, we exploited the I-SceI homing endonuclease of yeast to make breaks at I-SceI cleavage sites engineered into the chromosome. We show that survival depends on RecA and RecBCD, and that subsequent events can proceed via either of two pathways, one dependent on the RuvABC Holliday junction resolvase and the other on RecG helicase. Both pathways rely on PriA, presumably to facilitate DNA replication. We discuss the possibility that classical Holliday junctions may not be essential intermediates in repair and consider alternative pathways for RecG-dependent separation of joint molecules formed by RecA.","DOI":"10.1111/j.1365-2958.2003.03970.x","ISSN":"0950-382X","note":"PMID: 15049815","journalAbbreviation":"Mol. Microbiol.","language":"eng","author":[{"family":"Meddows","given":"Tom R."},{"family":"Savory","given":"Andrew P."},{"family":"Lloyd","given":"Robert G."}],"issued":{"date-parts":[["2004",4]]},"PMID":"15049815"}}],"schema":"https://github.com/citation-style-language/schema/raw/master/csl-citation.json"} </w:instrText>
            </w:r>
            <w:r>
              <w:fldChar w:fldCharType="separate"/>
            </w:r>
            <w:r w:rsidRPr="003E42B4">
              <w:t>(Meddows et al. 2004)</w:t>
            </w:r>
            <w:r>
              <w:fldChar w:fldCharType="end"/>
            </w:r>
          </w:p>
        </w:tc>
      </w:tr>
      <w:tr w:rsidR="003E42B4" w:rsidRPr="004658E5" w:rsidTr="003E42B4">
        <w:tc>
          <w:tcPr>
            <w:tcW w:w="999" w:type="dxa"/>
          </w:tcPr>
          <w:p w:rsidR="003E42B4" w:rsidRPr="004658E5" w:rsidRDefault="003E42B4" w:rsidP="003E42B4">
            <w:pPr>
              <w:pStyle w:val="Tablebodycopy"/>
            </w:pPr>
            <w:r w:rsidRPr="004658E5">
              <w:t>N4560</w:t>
            </w:r>
          </w:p>
        </w:tc>
        <w:tc>
          <w:tcPr>
            <w:tcW w:w="4683" w:type="dxa"/>
          </w:tcPr>
          <w:p w:rsidR="003E42B4" w:rsidRPr="004658E5" w:rsidRDefault="003E42B4" w:rsidP="003E42B4">
            <w:pPr>
              <w:pStyle w:val="Tablebodycopy"/>
              <w:rPr>
                <w:i/>
              </w:rPr>
            </w:pPr>
            <w:r w:rsidRPr="004658E5">
              <w:rPr>
                <w:i/>
              </w:rPr>
              <w:t>recG265::cat</w:t>
            </w:r>
          </w:p>
        </w:tc>
        <w:tc>
          <w:tcPr>
            <w:tcW w:w="3357" w:type="dxa"/>
          </w:tcPr>
          <w:p w:rsidR="003E42B4" w:rsidRPr="004658E5" w:rsidRDefault="003E42B4" w:rsidP="003E42B4">
            <w:pPr>
              <w:pStyle w:val="Tablebodycopy"/>
            </w:pPr>
            <w:r w:rsidRPr="004658E5">
              <w:fldChar w:fldCharType="begin"/>
            </w:r>
            <w:r>
              <w:instrText xml:space="preserve"> ADDIN ZOTERO_ITEM CSL_CITATION {"citationID":"m40h7lije","properties":{"formattedCitation":"(Mahdi et al. 2006)","plainCitation":"(Mahdi et al. 2006)"},"citationItems":[{"id":65,"uris":["http://zotero.org/users/1841541/items/VVJ9K4R5"],"uri":["http://zotero.org/users/1841541/items/VVJ9K4R5"],"itemData":{"id":65,"type":"article-journal","title":"Rep and PriA helicase activities prevent RecA from provoking unnecessary recombination during replication fork repair","container-title":"Genes &amp; development","page":"2135-2147","volume":"20","issue":"15","source":"NCBI PubMed","abstract":"The rescue of replication forks stalled on the template DNA was investigated using an assay for synthetic lethality that provides a visual readout of cell viability and permits investigation of why certain mutations are lethal when combined. The results presented show that RecA and other recombination proteins are often engaged during replication because RecA is present and provokes recombination rather than because recombination is necessary. This occurs particularly frequently in cells lacking the helicase activities of Rep and PriA. We propose that these two proteins normally limit the loading of RecA on ssDNA regions exposed on the leading strand template of damaged forks, and do so by unwinding the nascent lagging strand, thus facilitating reannealing of the parental strands. Gap closure followed by loading of the DnaB replicative helicase enables synthesis of the leading strand to continue. Without either activity, RecA loads more frequently on the DNA and drives fork reversal, which creates a chickenfoot structure and a requirement for other recombination proteins to re-establish a viable fork. The assay also reveals that stalled transcription complexes are common impediments to fork progression, and that damaged forks often reverse independently of RecA.","DOI":"10.1101/gad.382306","ISSN":"0890-9369","note":"PMID: 16882986 \nPMCID: PMC1536063","journalAbbreviation":"Genes Dev.","language":"eng","author":[{"family":"Mahdi","given":"Akeel A"},{"family":"Buckman","given":"Carol"},{"family":"Harris","given":"Lynda"},{"family":"Lloyd","given":"Robert G"}],"issued":{"date-parts":[["2006",8,1]]},"PMID":"16882986","PMCID":"PMC1536063"}}],"schema":"https://github.com/citation-style-language/schema/raw/master/csl-citation.json"} </w:instrText>
            </w:r>
            <w:r w:rsidRPr="004658E5">
              <w:fldChar w:fldCharType="separate"/>
            </w:r>
            <w:r w:rsidRPr="003E42B4">
              <w:t>(Mahdi et al. 2006)</w:t>
            </w:r>
            <w:r w:rsidRPr="004658E5">
              <w:fldChar w:fldCharType="end"/>
            </w:r>
          </w:p>
        </w:tc>
      </w:tr>
      <w:tr w:rsidR="003E42B4" w:rsidTr="003E42B4">
        <w:tc>
          <w:tcPr>
            <w:tcW w:w="999" w:type="dxa"/>
          </w:tcPr>
          <w:p w:rsidR="003E42B4" w:rsidRDefault="003E42B4" w:rsidP="003E42B4">
            <w:pPr>
              <w:pStyle w:val="Tablebodycopy"/>
            </w:pPr>
            <w:r>
              <w:t>N4934</w:t>
            </w:r>
          </w:p>
        </w:tc>
        <w:tc>
          <w:tcPr>
            <w:tcW w:w="4683" w:type="dxa"/>
          </w:tcPr>
          <w:p w:rsidR="003E42B4" w:rsidRPr="00201264" w:rsidRDefault="003E42B4" w:rsidP="003E42B4">
            <w:pPr>
              <w:pStyle w:val="Tablebodycopy"/>
              <w:rPr>
                <w:i/>
              </w:rPr>
            </w:pPr>
            <w:r>
              <w:rPr>
                <w:i/>
              </w:rPr>
              <w:t>recJ284::</w:t>
            </w:r>
            <w:r>
              <w:t>Tn</w:t>
            </w:r>
            <w:r>
              <w:rPr>
                <w:i/>
              </w:rPr>
              <w:t>10</w:t>
            </w:r>
          </w:p>
        </w:tc>
        <w:tc>
          <w:tcPr>
            <w:tcW w:w="3357" w:type="dxa"/>
          </w:tcPr>
          <w:p w:rsidR="003E42B4" w:rsidRDefault="003E42B4" w:rsidP="003E42B4">
            <w:pPr>
              <w:pStyle w:val="Tablebodycopy"/>
            </w:pPr>
            <w:r>
              <w:fldChar w:fldCharType="begin"/>
            </w:r>
            <w:r>
              <w:instrText xml:space="preserve"> ADDIN ZOTERO_ITEM CSL_CITATION {"citationID":"nutlglpki","properties":{"formattedCitation":"(Rudolph et al. 2008)","plainCitation":"(Rudolph et al. 2008)"},"citationItems":[{"id":23,"uris":["http://zotero.org/users/1841541/items/PK6HBFDQ"],"uri":["http://zotero.org/users/1841541/items/PK6HBFDQ"],"itemData":{"id":23,"type":"article-journal","title":"Maintaining replication fork integrity in UV-irradiated Escherichia coli cells","container-title":"DNA repair","page":"1589-1602","volume":"7","issue":"9","source":"NCBI PubMed","abstract":"In dividing cells, the stalling of replication fork complexes by impediments to DNA unwinding or by template imperfections that block synthesis by the polymerase subunits is a serious threat to genomic integrity and cell viability. What happens to stalled forks depends on the nature of the offending obstacle. In UV-irradiated Escherichia coli cells DNA synthesis is delayed for a considerable period, during which forks undergo extensive processing before replication can resume. Thus, restart depends on factors needed to load the replicative helicase, indicating that the replisome may have dissociated. It also requires the RecFOR proteins, which are known to load RecA recombinase on single-stranded DNA, implying that template strands are exposed. To gain a further understanding of how UV irradiation affects replication and how replication resumes after a block, we used fluorescence microscopy and BrdU or radioisotope labelling to examine chromosome replication and cell cycle progression. Our studies confirm that RecFOR promote efficient reactivation of stalled forks and demonstrate that they are also needed for productive replication initiated at the origin, or triggered elsewhere by damage to the DNA. Although delayed, all modes of replication do recover in the absence of these proteins, but nascent DNA strands are degraded more extensively by RecJ exonuclease. However, these strands are also degraded in the presence of RecFOR when restart is blocked by other means, indicating that RecA loading is not sufficient to stabilise and protect the fork. This is consistent with the idea that RecA actively promotes restart. Thus, in contrast to eukaryotic cells, there may be no factor in bacterial cells acting specifically to stabilise stalled forks. Instead, nascent strands may be protected by the simple expedient of promoting restart. We also report that the efficiency of fork reactivation is not affected in polB mutants.","DOI":"10.1016/j.dnarep.2008.06.012","ISSN":"1568-7864","note":"PMID: 18644471","journalAbbreviation":"DNA Repair (Amst.)","language":"eng","author":[{"family":"Rudolph","given":"Christian J"},{"family":"Upton","given":"Amy L"},{"family":"Lloyd","given":"Robert G"}],"issued":{"date-parts":[["2008",9,1]]},"PMID":"18644471"}}],"schema":"https://github.com/citation-style-language/schema/raw/master/csl-citation.json"} </w:instrText>
            </w:r>
            <w:r>
              <w:fldChar w:fldCharType="separate"/>
            </w:r>
            <w:r w:rsidRPr="003E42B4">
              <w:t>(Rudolph et al. 2008)</w:t>
            </w:r>
            <w:r>
              <w:fldChar w:fldCharType="end"/>
            </w:r>
          </w:p>
        </w:tc>
      </w:tr>
      <w:tr w:rsidR="003E42B4" w:rsidRPr="004658E5" w:rsidTr="003E42B4">
        <w:tc>
          <w:tcPr>
            <w:tcW w:w="999" w:type="dxa"/>
          </w:tcPr>
          <w:p w:rsidR="003E42B4" w:rsidRPr="004658E5" w:rsidRDefault="003E42B4" w:rsidP="003E42B4">
            <w:pPr>
              <w:pStyle w:val="Tablebodycopy"/>
            </w:pPr>
            <w:r>
              <w:t>N5189</w:t>
            </w:r>
          </w:p>
        </w:tc>
        <w:tc>
          <w:tcPr>
            <w:tcW w:w="4683" w:type="dxa"/>
          </w:tcPr>
          <w:p w:rsidR="003E42B4" w:rsidRPr="004658E5" w:rsidRDefault="003E42B4" w:rsidP="003E42B4">
            <w:pPr>
              <w:pStyle w:val="Tablebodycopy"/>
              <w:rPr>
                <w:i/>
              </w:rPr>
            </w:pPr>
            <w:r>
              <w:rPr>
                <w:i/>
              </w:rPr>
              <w:t>ruvA60::</w:t>
            </w:r>
            <w:r>
              <w:t>Tn</w:t>
            </w:r>
            <w:r>
              <w:rPr>
                <w:i/>
              </w:rPr>
              <w:t xml:space="preserve">10 </w:t>
            </w:r>
            <w:r w:rsidRPr="004658E5">
              <w:rPr>
                <w:i/>
              </w:rPr>
              <w:t>recG265::cat</w:t>
            </w:r>
          </w:p>
        </w:tc>
        <w:tc>
          <w:tcPr>
            <w:tcW w:w="3357" w:type="dxa"/>
          </w:tcPr>
          <w:p w:rsidR="003E42B4" w:rsidRPr="004658E5" w:rsidRDefault="003E42B4" w:rsidP="003E42B4">
            <w:pPr>
              <w:pStyle w:val="Tablebodycopy"/>
            </w:pPr>
            <w:r>
              <w:t>R.G. Lloyd, unpublished</w:t>
            </w:r>
          </w:p>
        </w:tc>
      </w:tr>
      <w:tr w:rsidR="003E42B4" w:rsidRPr="004658E5" w:rsidTr="003E42B4">
        <w:tc>
          <w:tcPr>
            <w:tcW w:w="999" w:type="dxa"/>
          </w:tcPr>
          <w:p w:rsidR="003E42B4" w:rsidRPr="004658E5" w:rsidRDefault="003E42B4" w:rsidP="003E42B4">
            <w:pPr>
              <w:pStyle w:val="Tablebodycopy"/>
            </w:pPr>
            <w:r>
              <w:t>N5296</w:t>
            </w:r>
          </w:p>
        </w:tc>
        <w:tc>
          <w:tcPr>
            <w:tcW w:w="4683" w:type="dxa"/>
          </w:tcPr>
          <w:p w:rsidR="003E42B4" w:rsidRPr="004658E5" w:rsidRDefault="003E42B4" w:rsidP="003E42B4">
            <w:pPr>
              <w:pStyle w:val="Tablebodycopy"/>
              <w:rPr>
                <w:i/>
              </w:rPr>
            </w:pPr>
            <w:r>
              <w:rPr>
                <w:i/>
              </w:rPr>
              <w:t xml:space="preserve">xonAΔ300::cat  </w:t>
            </w:r>
            <w:proofErr w:type="spellStart"/>
            <w:r>
              <w:rPr>
                <w:i/>
              </w:rPr>
              <w:t>ΔsbcCD</w:t>
            </w:r>
            <w:proofErr w:type="spellEnd"/>
            <w:r>
              <w:rPr>
                <w:i/>
              </w:rPr>
              <w:t>::</w:t>
            </w:r>
            <w:proofErr w:type="spellStart"/>
            <w:r>
              <w:rPr>
                <w:i/>
              </w:rPr>
              <w:t>kan</w:t>
            </w:r>
            <w:proofErr w:type="spellEnd"/>
            <w:r>
              <w:rPr>
                <w:i/>
              </w:rPr>
              <w:t xml:space="preserve"> </w:t>
            </w:r>
          </w:p>
        </w:tc>
        <w:tc>
          <w:tcPr>
            <w:tcW w:w="3357" w:type="dxa"/>
          </w:tcPr>
          <w:p w:rsidR="003E42B4" w:rsidRPr="004658E5" w:rsidRDefault="003E42B4" w:rsidP="003E42B4">
            <w:pPr>
              <w:pStyle w:val="Tablebodycopy"/>
            </w:pPr>
            <w:r>
              <w:t>R.G. Lloyd, unpublished</w:t>
            </w:r>
          </w:p>
        </w:tc>
      </w:tr>
      <w:tr w:rsidR="003E42B4" w:rsidRPr="004658E5" w:rsidTr="003E42B4">
        <w:tc>
          <w:tcPr>
            <w:tcW w:w="999" w:type="dxa"/>
          </w:tcPr>
          <w:p w:rsidR="003E42B4" w:rsidRPr="004658E5" w:rsidRDefault="003E42B4" w:rsidP="003E42B4">
            <w:pPr>
              <w:pStyle w:val="Tablebodycopy"/>
            </w:pPr>
            <w:r>
              <w:t>N5500</w:t>
            </w:r>
          </w:p>
        </w:tc>
        <w:tc>
          <w:tcPr>
            <w:tcW w:w="4683" w:type="dxa"/>
          </w:tcPr>
          <w:p w:rsidR="003E42B4" w:rsidRPr="004658E5" w:rsidRDefault="003E42B4" w:rsidP="003E42B4">
            <w:pPr>
              <w:pStyle w:val="Tablebodycopy"/>
              <w:rPr>
                <w:i/>
              </w:rPr>
            </w:pPr>
            <w:r>
              <w:rPr>
                <w:i/>
              </w:rPr>
              <w:t>priA300</w:t>
            </w:r>
          </w:p>
        </w:tc>
        <w:tc>
          <w:tcPr>
            <w:tcW w:w="3357" w:type="dxa"/>
          </w:tcPr>
          <w:p w:rsidR="003E42B4" w:rsidRPr="004658E5" w:rsidRDefault="003E42B4" w:rsidP="003E42B4">
            <w:pPr>
              <w:pStyle w:val="Tablebodycopy"/>
            </w:pPr>
            <w:r>
              <w:fldChar w:fldCharType="begin"/>
            </w:r>
            <w:r>
              <w:instrText xml:space="preserve"> ADDIN ZOTERO_ITEM CSL_CITATION {"citationID":"2k6dqci1pr","properties":{"formattedCitation":"(Jaktaji and Lloyd 2003)","plainCitation":"(Jaktaji and Lloyd 2003)"},"citationItems":[{"id":114,"uris":["http://zotero.org/users/1841541/items/A93U6526"],"uri":["http://zotero.org/users/1841541/items/A93U6526"],"itemData":{"id":114,"type":"article-journal","title":"PriA supports two distinct pathways for replication restart in UV-irradiated Escherichia coli cells","container-title":"Molecular microbiology","page":"1091-1100","volume":"47","issue":"4","source":"NCBI PubMed","abstract":"The Escherichia coli PriA protein loads the DnaB replicative helicase at branched DNA structures independently of the replication initiator protein, DnaA, and thereby facilitates assembly of functional replisomes at sites removed from oriC. It is therefore a critical factor in the rescue of replication forks stalled at DNA lesions. It is also a DNA helicase. We describe insertions near the 3' end of priA that interfere with PriA activity. These insertions and the previously described priA300 encoding helicase-defective PriA K230R are shown to be effective suppressors of the DNA repair defect in recG strains, but substantially reduce the ability of ruv mutants to survive DNA damage. The data presented suggest that PriA helicase in conjunction with RecG can promote direct rescue of stalled forks independently of the recombinational pathway promoted by the combined activities of the RuvABC, RecBCD and RecA proteins, which requires only the primosome assembly activity of PriA to load DnaB at D loops. In cells lacking the helicase activity of PriA, we propose that stalled forks can be redirected to the recombination pathway via a Holliday junction intermediate common to both pathways, thus explaining the resistance of these cells to DNA damage.","ISSN":"0950-382X","note":"PMID: 12581361","journalAbbreviation":"Mol. Microbiol.","language":"eng","author":[{"family":"Jaktaji","given":"Razieh P"},{"family":"Lloyd","given":"Robert G"}],"issued":{"date-parts":[["2003",2]]},"PMID":"12581361"}}],"schema":"https://github.com/citation-style-language/schema/raw/master/csl-citation.json"} </w:instrText>
            </w:r>
            <w:r>
              <w:fldChar w:fldCharType="separate"/>
            </w:r>
            <w:r w:rsidRPr="003E42B4">
              <w:t>(Jaktaji and Lloyd 2003)</w:t>
            </w:r>
            <w:r>
              <w:fldChar w:fldCharType="end"/>
            </w:r>
          </w:p>
        </w:tc>
      </w:tr>
      <w:tr w:rsidR="003E42B4" w:rsidRPr="004658E5" w:rsidTr="003E42B4">
        <w:tc>
          <w:tcPr>
            <w:tcW w:w="999" w:type="dxa"/>
          </w:tcPr>
          <w:p w:rsidR="003E42B4" w:rsidRPr="004658E5" w:rsidRDefault="003E42B4" w:rsidP="003E42B4">
            <w:pPr>
              <w:pStyle w:val="Tablebodycopy"/>
            </w:pPr>
            <w:r>
              <w:t>N5511</w:t>
            </w:r>
          </w:p>
        </w:tc>
        <w:tc>
          <w:tcPr>
            <w:tcW w:w="4683" w:type="dxa"/>
          </w:tcPr>
          <w:p w:rsidR="003E42B4" w:rsidRPr="004658E5" w:rsidRDefault="003E42B4" w:rsidP="003E42B4">
            <w:pPr>
              <w:pStyle w:val="Tablebodycopy"/>
              <w:rPr>
                <w:i/>
              </w:rPr>
            </w:pPr>
            <w:r>
              <w:rPr>
                <w:i/>
              </w:rPr>
              <w:t xml:space="preserve">priA300 </w:t>
            </w:r>
            <w:r w:rsidRPr="004658E5">
              <w:rPr>
                <w:i/>
              </w:rPr>
              <w:t>recG265::cat</w:t>
            </w:r>
          </w:p>
        </w:tc>
        <w:tc>
          <w:tcPr>
            <w:tcW w:w="3357" w:type="dxa"/>
          </w:tcPr>
          <w:p w:rsidR="003E42B4" w:rsidRPr="004658E5" w:rsidRDefault="003E42B4" w:rsidP="003E42B4">
            <w:pPr>
              <w:pStyle w:val="Tablebodycopy"/>
            </w:pPr>
            <w:r>
              <w:fldChar w:fldCharType="begin"/>
            </w:r>
            <w:r>
              <w:instrText xml:space="preserve"> ADDIN ZOTERO_ITEM CSL_CITATION {"citationID":"egj2ecjvr","properties":{"formattedCitation":"(Rudolph et al. 2009)","plainCitation":"(Rudolph et al. 2009)"},"citationItems":[{"id":21,"uris":["http://zotero.org/users/1841541/items/879IXIAS"],"uri":["http://zotero.org/users/1841541/items/879IXIAS"],"itemData":{"id":21,"type":"article-journal","title":"Pathological replication in cells lacking RecG DNA translocase","container-title":"Molecular microbiology","page":"352-366","volume":"73","issue":"3","source":"NCBI PubMed","abstract":"Little is known about what happens when forks meet to complete DNA replication in any organism. In this study we present data suggesting that the collision of replication forks is a potential threat to genomic stability. We demonstrate that Escherichia coli cells lacking RecG helicase suffer major defects in chromosome replication following UV irradiation, and that this is associated with high levels of DNA synthesis initiated independently of the initiator protein DnaA. This UV-induced stable DNA replication is dependent on PriA helicase and continues long after UV-induced lesions have been excised. We suggest UV irradiation triggers the assembly of new replication forks, leading to multiple fork collisions outside the terminus area. Such collisions may generate branched DNAs that serve to establish further new forks, resulting in uncontrolled DNA amplification. We propose that RecG reduces the likelihood of this pathological cascade being set in motion by reducing initiation of replication at D- and R-loops, and other structures generated as a result of fork collisions. Our results shed light on why replication initiation in bacteria is limited to a single origin and why termination is carefully orchestrated to a single event within a restricted area each cell cycle.","DOI":"10.1111/j.1365-2958.2009.06773.x","ISSN":"1365-2958","note":"PMID: 19538444 \nPMCID: PMC2764109","journalAbbreviation":"Mol. Microbiol.","language":"eng","author":[{"family":"Rudolph","given":"Christian J"},{"family":"Upton","given":"Amy L"},{"family":"Harris","given":"Lynda"},{"family":"Lloyd","given":"Robert G"}],"issued":{"date-parts":[["2009",8]]},"PMID":"19538444","PMCID":"PMC2764109"}}],"schema":"https://github.com/citation-style-language/schema/raw/master/csl-citation.json"} </w:instrText>
            </w:r>
            <w:r>
              <w:fldChar w:fldCharType="separate"/>
            </w:r>
            <w:r w:rsidRPr="003E42B4">
              <w:t>(Rudolph et al. 2009)</w:t>
            </w:r>
            <w:r>
              <w:fldChar w:fldCharType="end"/>
            </w:r>
          </w:p>
        </w:tc>
      </w:tr>
      <w:tr w:rsidR="003E42B4" w:rsidRPr="003F330A" w:rsidTr="003E42B4">
        <w:tc>
          <w:tcPr>
            <w:tcW w:w="999" w:type="dxa"/>
          </w:tcPr>
          <w:p w:rsidR="003E42B4" w:rsidRPr="003F330A" w:rsidRDefault="003E42B4" w:rsidP="003E42B4">
            <w:pPr>
              <w:pStyle w:val="Tablebodycopy"/>
            </w:pPr>
            <w:r>
              <w:t>N5540</w:t>
            </w:r>
          </w:p>
        </w:tc>
        <w:tc>
          <w:tcPr>
            <w:tcW w:w="4683" w:type="dxa"/>
          </w:tcPr>
          <w:p w:rsidR="003E42B4" w:rsidRPr="003F330A" w:rsidRDefault="003E42B4" w:rsidP="003E42B4">
            <w:pPr>
              <w:pStyle w:val="Tablebodycopy"/>
              <w:rPr>
                <w:i/>
              </w:rPr>
            </w:pPr>
            <w:r w:rsidRPr="003F330A">
              <w:rPr>
                <w:i/>
                <w:lang w:val="de-DE"/>
              </w:rPr>
              <w:t>tnaA::</w:t>
            </w:r>
            <w:r w:rsidRPr="003F330A">
              <w:rPr>
                <w:lang w:val="de-DE"/>
              </w:rPr>
              <w:t>Tn</w:t>
            </w:r>
            <w:r w:rsidRPr="003F330A">
              <w:rPr>
                <w:i/>
                <w:lang w:val="de-DE"/>
              </w:rPr>
              <w:t>10 recF143</w:t>
            </w:r>
          </w:p>
        </w:tc>
        <w:tc>
          <w:tcPr>
            <w:tcW w:w="3357" w:type="dxa"/>
          </w:tcPr>
          <w:p w:rsidR="003E42B4" w:rsidRPr="003F330A" w:rsidRDefault="003E42B4" w:rsidP="003E42B4">
            <w:pPr>
              <w:pStyle w:val="Tablebodycopy"/>
            </w:pPr>
            <w:r>
              <w:fldChar w:fldCharType="begin"/>
            </w:r>
            <w:r>
              <w:instrText xml:space="preserve"> ADDIN ZOTERO_ITEM CSL_CITATION {"citationID":"1c0trtedf0","properties":{"formattedCitation":"(Rudolph et al. 2008)","plainCitation":"(Rudolph et al. 2008)"},"citationItems":[{"id":23,"uris":["http://zotero.org/users/1841541/items/PK6HBFDQ"],"uri":["http://zotero.org/users/1841541/items/PK6HBFDQ"],"itemData":{"id":23,"type":"article-journal","title":"Maintaining replication fork integrity in UV-irradiated Escherichia coli cells","container-title":"DNA repair","page":"1589-1602","volume":"7","issue":"9","source":"NCBI PubMed","abstract":"In dividing cells, the stalling of replication fork complexes by impediments to DNA unwinding or by template imperfections that block synthesis by the polymerase subunits is a serious threat to genomic integrity and cell viability. What happens to stalled forks depends on the nature of the offending obstacle. In UV-irradiated Escherichia coli cells DNA synthesis is delayed for a considerable period, during which forks undergo extensive processing before replication can resume. Thus, restart depends on factors needed to load the replicative helicase, indicating that the replisome may have dissociated. It also requires the RecFOR proteins, which are known to load RecA recombinase on single-stranded DNA, implying that template strands are exposed. To gain a further understanding of how UV irradiation affects replication and how replication resumes after a block, we used fluorescence microscopy and BrdU or radioisotope labelling to examine chromosome replication and cell cycle progression. Our studies confirm that RecFOR promote efficient reactivation of stalled forks and demonstrate that they are also needed for productive replication initiated at the origin, or triggered elsewhere by damage to the DNA. Although delayed, all modes of replication do recover in the absence of these proteins, but nascent DNA strands are degraded more extensively by RecJ exonuclease. However, these strands are also degraded in the presence of RecFOR when restart is blocked by other means, indicating that RecA loading is not sufficient to stabilise and protect the fork. This is consistent with the idea that RecA actively promotes restart. Thus, in contrast to eukaryotic cells, there may be no factor in bacterial cells acting specifically to stabilise stalled forks. Instead, nascent strands may be protected by the simple expedient of promoting restart. We also report that the efficiency of fork reactivation is not affected in polB mutants.","DOI":"10.1016/j.dnarep.2008.06.012","ISSN":"1568-7864","note":"PMID: 18644471","journalAbbreviation":"DNA Repair (Amst.)","language":"eng","author":[{"family":"Rudolph","given":"Christian J"},{"family":"Upton","given":"Amy L"},{"family":"Lloyd","given":"Robert G"}],"issued":{"date-parts":[["2008",9,1]]},"PMID":"18644471"}}],"schema":"https://github.com/citation-style-language/schema/raw/master/csl-citation.json"} </w:instrText>
            </w:r>
            <w:r>
              <w:fldChar w:fldCharType="separate"/>
            </w:r>
            <w:r w:rsidRPr="003E42B4">
              <w:t>(Rudolph et al. 2008)</w:t>
            </w:r>
            <w:r>
              <w:fldChar w:fldCharType="end"/>
            </w:r>
          </w:p>
        </w:tc>
      </w:tr>
      <w:tr w:rsidR="003E42B4" w:rsidRPr="004658E5" w:rsidTr="003E42B4">
        <w:tc>
          <w:tcPr>
            <w:tcW w:w="999" w:type="dxa"/>
          </w:tcPr>
          <w:p w:rsidR="003E42B4" w:rsidRPr="004658E5" w:rsidRDefault="003E42B4" w:rsidP="003E42B4">
            <w:pPr>
              <w:pStyle w:val="Tablebodycopy"/>
            </w:pPr>
            <w:r>
              <w:t>N7684</w:t>
            </w:r>
          </w:p>
        </w:tc>
        <w:tc>
          <w:tcPr>
            <w:tcW w:w="4683" w:type="dxa"/>
          </w:tcPr>
          <w:p w:rsidR="003E42B4" w:rsidRPr="00D07EBA" w:rsidRDefault="003E42B4" w:rsidP="003E42B4">
            <w:pPr>
              <w:pStyle w:val="Tablebodycopy"/>
            </w:pPr>
            <w:r w:rsidRPr="0042678F">
              <w:rPr>
                <w:i/>
              </w:rPr>
              <w:t>ΔlacIZYA</w:t>
            </w:r>
            <w:r>
              <w:rPr>
                <w:i/>
              </w:rPr>
              <w:t xml:space="preserve"> </w:t>
            </w:r>
            <w:proofErr w:type="spellStart"/>
            <w:r>
              <w:rPr>
                <w:i/>
              </w:rPr>
              <w:t>ΔsbcCD</w:t>
            </w:r>
            <w:proofErr w:type="spellEnd"/>
            <w:r>
              <w:rPr>
                <w:i/>
              </w:rPr>
              <w:t>::</w:t>
            </w:r>
            <w:proofErr w:type="spellStart"/>
            <w:r>
              <w:rPr>
                <w:i/>
              </w:rPr>
              <w:t>spc</w:t>
            </w:r>
            <w:proofErr w:type="spellEnd"/>
            <w:r>
              <w:rPr>
                <w:i/>
              </w:rPr>
              <w:t xml:space="preserve"> </w:t>
            </w:r>
            <w:proofErr w:type="spellStart"/>
            <w:r>
              <w:rPr>
                <w:i/>
              </w:rPr>
              <w:t>ΔxseA</w:t>
            </w:r>
            <w:proofErr w:type="spellEnd"/>
            <w:r>
              <w:rPr>
                <w:i/>
              </w:rPr>
              <w:t xml:space="preserve">::dhfr </w:t>
            </w:r>
            <w:proofErr w:type="spellStart"/>
            <w:r>
              <w:rPr>
                <w:i/>
              </w:rPr>
              <w:t>ΔxonA</w:t>
            </w:r>
            <w:proofErr w:type="spellEnd"/>
            <w:r>
              <w:rPr>
                <w:i/>
              </w:rPr>
              <w:t>::</w:t>
            </w:r>
            <w:proofErr w:type="spellStart"/>
            <w:r>
              <w:rPr>
                <w:i/>
              </w:rPr>
              <w:t>apra</w:t>
            </w:r>
            <w:proofErr w:type="spellEnd"/>
            <w:r>
              <w:rPr>
                <w:i/>
              </w:rPr>
              <w:t xml:space="preserve"> </w:t>
            </w:r>
            <w:r>
              <w:t>pAM401</w:t>
            </w:r>
          </w:p>
        </w:tc>
        <w:tc>
          <w:tcPr>
            <w:tcW w:w="3357" w:type="dxa"/>
          </w:tcPr>
          <w:p w:rsidR="003E42B4" w:rsidRPr="004658E5" w:rsidRDefault="003E42B4" w:rsidP="003E42B4">
            <w:pPr>
              <w:pStyle w:val="Tablebodycopy"/>
            </w:pPr>
            <w:r>
              <w:fldChar w:fldCharType="begin"/>
            </w:r>
            <w:r>
              <w:instrText xml:space="preserve"> ADDIN ZOTERO_ITEM CSL_CITATION {"citationID":"22vofkhdif","properties":{"formattedCitation":"(Rudolph et al. 2010)","plainCitation":"(Rudolph et al. 2010)"},"citationItems":[{"id":13,"uris":["http://zotero.org/users/1841541/items/RJ6Q5G9W"],"uri":["http://zotero.org/users/1841541/items/RJ6Q5G9W"],"itemData":{"id":13,"type":"article-journal","title":"RecG protein and single-strand DNA exonucleases avoid cell lethality associated with PriA helicase activity in Escherichia coli","container-title":"Genetics","page":"473-492","volume":"186","issue":"2","source":"NCBI PubMed","abstract":"Replication of the Escherichia coli chromosome usually initiates at a single origin (oriC) under control of DnaA. Two forks are established and move away in opposite directions. Replication is completed when these meet in a broadly defined terminus area half way around the circular chromosome. RecG appears to consolidate this arrangement by unwinding D-loops and R-loops that PriA might otherwise exploit to initiate replication at other sites. It has been suggested that without RecG such replication generates 3' flaps as the additional forks collide and displace nascent leading strands, providing yet more potential targets for PriA. Here we show that, to stay alive, cells must have either RecG or a 3' single-stranded DNA (ssDNA) exonuclease, which can be exonuclease I, exonuclease VII, or SbcCD. Cells lacking all three nucleases are inviable without RecG. They also need RecA recombinase and a Holliday junction resolvase to survive rapid growth, but SOS induction, although elevated, is not required. Additional requirements for Rep and UvrD are identified and linked with defects in DNA mismatch repair and with the ability to cope with conflicts between replication and transcription, respectively. Eliminating PriA helicase activity removes the requirement for RecG. The data are consistent with RecG and ssDNA exonucleases acting to limit PriA-mediated re-replication of the chromosome and the consequent generation of linear DNA branches that provoke recombination and delay chromosome segregation.","DOI":"10.1534/genetics.110.120691","ISSN":"1943-2631","note":"PMID: 20647503 \nPMCID: PMC2954477","journalAbbreviation":"Genetics","language":"eng","author":[{"family":"Rudolph","given":"Christian J"},{"family":"Mahdi","given":"Akeel A"},{"family":"Upton","given":"Amy L"},{"family":"Lloyd","given":"Robert G"}],"issued":{"date-parts":[["2010",10]]},"PMID":"20647503","PMCID":"PMC2954477"}}],"schema":"https://github.com/citation-style-language/schema/raw/master/csl-citation.json"} </w:instrText>
            </w:r>
            <w:r>
              <w:fldChar w:fldCharType="separate"/>
            </w:r>
            <w:r w:rsidRPr="003E42B4">
              <w:t>(Rudolph et al. 2010)</w:t>
            </w:r>
            <w:r>
              <w:fldChar w:fldCharType="end"/>
            </w:r>
          </w:p>
        </w:tc>
      </w:tr>
      <w:tr w:rsidR="003E42B4" w:rsidRPr="002352DA" w:rsidTr="003E42B4">
        <w:tc>
          <w:tcPr>
            <w:tcW w:w="999" w:type="dxa"/>
          </w:tcPr>
          <w:p w:rsidR="003E42B4" w:rsidRPr="004658E5" w:rsidRDefault="003E42B4" w:rsidP="003E42B4">
            <w:pPr>
              <w:pStyle w:val="Tablebodycopy"/>
            </w:pPr>
            <w:r>
              <w:t>RCe014</w:t>
            </w:r>
          </w:p>
        </w:tc>
        <w:tc>
          <w:tcPr>
            <w:tcW w:w="4683" w:type="dxa"/>
          </w:tcPr>
          <w:p w:rsidR="003E42B4" w:rsidRPr="002352DA" w:rsidRDefault="003E42B4" w:rsidP="003E42B4">
            <w:pPr>
              <w:pStyle w:val="Tablebodycopy"/>
            </w:pPr>
            <w:r>
              <w:t>pRS316-kankanMX4</w:t>
            </w:r>
          </w:p>
        </w:tc>
        <w:tc>
          <w:tcPr>
            <w:tcW w:w="3357" w:type="dxa"/>
          </w:tcPr>
          <w:p w:rsidR="003E42B4" w:rsidRPr="002352DA" w:rsidRDefault="003E42B4" w:rsidP="003E42B4">
            <w:pPr>
              <w:pStyle w:val="Tablebodycopy"/>
              <w:rPr>
                <w:vertAlign w:val="superscript"/>
              </w:rPr>
            </w:pPr>
            <w:r>
              <w:t>MG1655 × pRS316-kankanMX4 to Ap</w:t>
            </w:r>
            <w:r>
              <w:rPr>
                <w:vertAlign w:val="superscript"/>
              </w:rPr>
              <w:t>r</w:t>
            </w:r>
          </w:p>
        </w:tc>
      </w:tr>
      <w:tr w:rsidR="003E42B4" w:rsidRPr="002352DA" w:rsidTr="003E42B4">
        <w:tc>
          <w:tcPr>
            <w:tcW w:w="999" w:type="dxa"/>
          </w:tcPr>
          <w:p w:rsidR="003E42B4" w:rsidRPr="004658E5" w:rsidRDefault="003E42B4" w:rsidP="003E42B4">
            <w:pPr>
              <w:pStyle w:val="Tablebodycopy"/>
            </w:pPr>
            <w:r>
              <w:t>RCe015</w:t>
            </w:r>
          </w:p>
        </w:tc>
        <w:tc>
          <w:tcPr>
            <w:tcW w:w="4683" w:type="dxa"/>
          </w:tcPr>
          <w:p w:rsidR="003E42B4" w:rsidRPr="002352DA" w:rsidRDefault="003E42B4" w:rsidP="003E42B4">
            <w:pPr>
              <w:pStyle w:val="Tablebodycopy"/>
            </w:pPr>
            <w:r w:rsidRPr="004658E5">
              <w:rPr>
                <w:i/>
              </w:rPr>
              <w:t>recG265::cat</w:t>
            </w:r>
            <w:r>
              <w:rPr>
                <w:i/>
              </w:rPr>
              <w:t xml:space="preserve"> </w:t>
            </w:r>
            <w:r>
              <w:t>pRS316-kankanMX4</w:t>
            </w:r>
          </w:p>
        </w:tc>
        <w:tc>
          <w:tcPr>
            <w:tcW w:w="3357" w:type="dxa"/>
          </w:tcPr>
          <w:p w:rsidR="003E42B4" w:rsidRPr="002352DA" w:rsidRDefault="003E42B4" w:rsidP="003E42B4">
            <w:pPr>
              <w:pStyle w:val="Tablebodycopy"/>
              <w:rPr>
                <w:vertAlign w:val="superscript"/>
              </w:rPr>
            </w:pPr>
            <w:r>
              <w:t>N4560 × pRS316-kankanMX4 to Ap</w:t>
            </w:r>
            <w:r>
              <w:rPr>
                <w:vertAlign w:val="superscript"/>
              </w:rPr>
              <w:t>r</w:t>
            </w:r>
          </w:p>
        </w:tc>
      </w:tr>
      <w:tr w:rsidR="003E42B4" w:rsidRPr="003F330A" w:rsidTr="003E42B4">
        <w:tc>
          <w:tcPr>
            <w:tcW w:w="999" w:type="dxa"/>
          </w:tcPr>
          <w:p w:rsidR="003E42B4" w:rsidRPr="004658E5" w:rsidRDefault="003E42B4" w:rsidP="003E42B4">
            <w:pPr>
              <w:pStyle w:val="Tablebodycopy"/>
            </w:pPr>
            <w:r>
              <w:t>RCe027</w:t>
            </w:r>
          </w:p>
        </w:tc>
        <w:tc>
          <w:tcPr>
            <w:tcW w:w="4683" w:type="dxa"/>
          </w:tcPr>
          <w:p w:rsidR="003E42B4" w:rsidRPr="004658E5" w:rsidRDefault="003E42B4" w:rsidP="003E42B4">
            <w:pPr>
              <w:pStyle w:val="Tablebodycopy"/>
              <w:rPr>
                <w:i/>
              </w:rPr>
            </w:pPr>
            <w:r w:rsidRPr="004658E5">
              <w:rPr>
                <w:i/>
              </w:rPr>
              <w:t>recG265::cat</w:t>
            </w:r>
            <w:r>
              <w:rPr>
                <w:i/>
              </w:rPr>
              <w:t xml:space="preserve"> recA269::</w:t>
            </w:r>
            <w:r>
              <w:t>Tn</w:t>
            </w:r>
            <w:r>
              <w:rPr>
                <w:i/>
              </w:rPr>
              <w:t>10</w:t>
            </w:r>
          </w:p>
        </w:tc>
        <w:tc>
          <w:tcPr>
            <w:tcW w:w="3357" w:type="dxa"/>
          </w:tcPr>
          <w:p w:rsidR="003E42B4" w:rsidRPr="003F330A" w:rsidRDefault="003E42B4" w:rsidP="003E42B4">
            <w:pPr>
              <w:pStyle w:val="Tablebodycopy"/>
              <w:rPr>
                <w:vertAlign w:val="superscript"/>
              </w:rPr>
            </w:pPr>
            <w:r>
              <w:t xml:space="preserve">N4560 × P1.N4279 to </w:t>
            </w:r>
            <w:proofErr w:type="spellStart"/>
            <w:r>
              <w:t>Tc</w:t>
            </w:r>
            <w:r>
              <w:rPr>
                <w:vertAlign w:val="superscript"/>
              </w:rPr>
              <w:t>r</w:t>
            </w:r>
            <w:proofErr w:type="spellEnd"/>
          </w:p>
        </w:tc>
      </w:tr>
      <w:tr w:rsidR="003E42B4" w:rsidRPr="004658E5" w:rsidTr="003E42B4">
        <w:tc>
          <w:tcPr>
            <w:tcW w:w="999" w:type="dxa"/>
          </w:tcPr>
          <w:p w:rsidR="003E42B4" w:rsidRPr="004658E5" w:rsidRDefault="003E42B4" w:rsidP="003E42B4">
            <w:pPr>
              <w:pStyle w:val="Tablebodycopy"/>
            </w:pPr>
            <w:r>
              <w:t>RCe030</w:t>
            </w:r>
          </w:p>
        </w:tc>
        <w:tc>
          <w:tcPr>
            <w:tcW w:w="4683" w:type="dxa"/>
          </w:tcPr>
          <w:p w:rsidR="003E42B4" w:rsidRPr="004658E5" w:rsidRDefault="003E42B4" w:rsidP="003E42B4">
            <w:pPr>
              <w:pStyle w:val="Tablebodycopy"/>
              <w:rPr>
                <w:i/>
              </w:rPr>
            </w:pPr>
            <w:r>
              <w:rPr>
                <w:i/>
              </w:rPr>
              <w:t xml:space="preserve">priA300 </w:t>
            </w:r>
            <w:r w:rsidRPr="004658E5">
              <w:rPr>
                <w:i/>
              </w:rPr>
              <w:t>recG265::cat</w:t>
            </w:r>
            <w:r>
              <w:rPr>
                <w:i/>
              </w:rPr>
              <w:t xml:space="preserve"> </w:t>
            </w:r>
            <w:r>
              <w:t>pRS316-kankanMX4</w:t>
            </w:r>
          </w:p>
        </w:tc>
        <w:tc>
          <w:tcPr>
            <w:tcW w:w="3357" w:type="dxa"/>
          </w:tcPr>
          <w:p w:rsidR="003E42B4" w:rsidRPr="004658E5" w:rsidRDefault="003E42B4" w:rsidP="003E42B4">
            <w:pPr>
              <w:pStyle w:val="Tablebodycopy"/>
            </w:pPr>
            <w:r>
              <w:t>N5511 × pRS316-kankanMX4 to Ap</w:t>
            </w:r>
            <w:r>
              <w:rPr>
                <w:vertAlign w:val="superscript"/>
              </w:rPr>
              <w:t>r</w:t>
            </w:r>
          </w:p>
        </w:tc>
      </w:tr>
      <w:tr w:rsidR="003E42B4" w:rsidRPr="004658E5" w:rsidTr="003E42B4">
        <w:tc>
          <w:tcPr>
            <w:tcW w:w="999" w:type="dxa"/>
          </w:tcPr>
          <w:p w:rsidR="003E42B4" w:rsidRPr="004658E5" w:rsidRDefault="003E42B4" w:rsidP="003E42B4">
            <w:pPr>
              <w:pStyle w:val="Tablebodycopy"/>
            </w:pPr>
            <w:r>
              <w:t>RCe031</w:t>
            </w:r>
          </w:p>
        </w:tc>
        <w:tc>
          <w:tcPr>
            <w:tcW w:w="4683" w:type="dxa"/>
          </w:tcPr>
          <w:p w:rsidR="003E42B4" w:rsidRPr="004658E5" w:rsidRDefault="003E42B4" w:rsidP="003E42B4">
            <w:pPr>
              <w:pStyle w:val="Tablebodycopy"/>
              <w:rPr>
                <w:i/>
              </w:rPr>
            </w:pPr>
            <w:r>
              <w:rPr>
                <w:i/>
              </w:rPr>
              <w:t xml:space="preserve">priA300 </w:t>
            </w:r>
            <w:r>
              <w:t>pRS316-kankanMX4</w:t>
            </w:r>
          </w:p>
        </w:tc>
        <w:tc>
          <w:tcPr>
            <w:tcW w:w="3357" w:type="dxa"/>
          </w:tcPr>
          <w:p w:rsidR="003E42B4" w:rsidRPr="004658E5" w:rsidRDefault="003E42B4" w:rsidP="003E42B4">
            <w:pPr>
              <w:pStyle w:val="Tablebodycopy"/>
            </w:pPr>
            <w:r>
              <w:t>N5500 × pRS316-kankanMX4 to Ap</w:t>
            </w:r>
            <w:r>
              <w:rPr>
                <w:vertAlign w:val="superscript"/>
              </w:rPr>
              <w:t>r</w:t>
            </w:r>
          </w:p>
        </w:tc>
      </w:tr>
      <w:tr w:rsidR="003E42B4" w:rsidRPr="004658E5" w:rsidTr="003E42B4">
        <w:tc>
          <w:tcPr>
            <w:tcW w:w="999" w:type="dxa"/>
          </w:tcPr>
          <w:p w:rsidR="003E42B4" w:rsidRPr="004658E5" w:rsidRDefault="003E42B4" w:rsidP="003E42B4">
            <w:pPr>
              <w:pStyle w:val="Tablebodycopy"/>
            </w:pPr>
            <w:r>
              <w:t>RCe032</w:t>
            </w:r>
          </w:p>
        </w:tc>
        <w:tc>
          <w:tcPr>
            <w:tcW w:w="4683" w:type="dxa"/>
          </w:tcPr>
          <w:p w:rsidR="003E42B4" w:rsidRPr="002352DA" w:rsidRDefault="003E42B4" w:rsidP="003E42B4">
            <w:pPr>
              <w:pStyle w:val="Tablebodycopy"/>
              <w:rPr>
                <w:i/>
              </w:rPr>
            </w:pPr>
            <w:r>
              <w:rPr>
                <w:i/>
              </w:rPr>
              <w:t>ruvA60::</w:t>
            </w:r>
            <w:r>
              <w:t>Tn</w:t>
            </w:r>
            <w:r>
              <w:rPr>
                <w:i/>
              </w:rPr>
              <w:t xml:space="preserve">10 </w:t>
            </w:r>
            <w:r w:rsidRPr="004658E5">
              <w:rPr>
                <w:i/>
              </w:rPr>
              <w:t>recG265::cat</w:t>
            </w:r>
            <w:r>
              <w:t xml:space="preserve"> pRS316-kankanMX4</w:t>
            </w:r>
          </w:p>
        </w:tc>
        <w:tc>
          <w:tcPr>
            <w:tcW w:w="3357" w:type="dxa"/>
          </w:tcPr>
          <w:p w:rsidR="003E42B4" w:rsidRPr="004658E5" w:rsidRDefault="003E42B4" w:rsidP="003E42B4">
            <w:pPr>
              <w:pStyle w:val="Tablebodycopy"/>
            </w:pPr>
            <w:r>
              <w:t>N5189 × pRS316-kankanMX4 to Ap</w:t>
            </w:r>
            <w:r>
              <w:rPr>
                <w:vertAlign w:val="superscript"/>
              </w:rPr>
              <w:t>r</w:t>
            </w:r>
          </w:p>
        </w:tc>
      </w:tr>
      <w:tr w:rsidR="003E42B4" w:rsidRPr="004658E5" w:rsidTr="003E42B4">
        <w:tc>
          <w:tcPr>
            <w:tcW w:w="999" w:type="dxa"/>
          </w:tcPr>
          <w:p w:rsidR="003E42B4" w:rsidRPr="004658E5" w:rsidRDefault="003E42B4" w:rsidP="003E42B4">
            <w:pPr>
              <w:pStyle w:val="Tablebodycopy"/>
            </w:pPr>
            <w:r>
              <w:t>RCe033</w:t>
            </w:r>
          </w:p>
        </w:tc>
        <w:tc>
          <w:tcPr>
            <w:tcW w:w="4683" w:type="dxa"/>
          </w:tcPr>
          <w:p w:rsidR="003E42B4" w:rsidRPr="004658E5" w:rsidRDefault="003E42B4" w:rsidP="003E42B4">
            <w:pPr>
              <w:pStyle w:val="Tablebodycopy"/>
              <w:rPr>
                <w:i/>
              </w:rPr>
            </w:pPr>
            <w:r>
              <w:rPr>
                <w:i/>
              </w:rPr>
              <w:t>ruvA60::</w:t>
            </w:r>
            <w:r>
              <w:t>Tn</w:t>
            </w:r>
            <w:r>
              <w:rPr>
                <w:i/>
              </w:rPr>
              <w:t xml:space="preserve">10 </w:t>
            </w:r>
            <w:r>
              <w:t>pRS316-kankanMX4</w:t>
            </w:r>
          </w:p>
        </w:tc>
        <w:tc>
          <w:tcPr>
            <w:tcW w:w="3357" w:type="dxa"/>
          </w:tcPr>
          <w:p w:rsidR="003E42B4" w:rsidRPr="004658E5" w:rsidRDefault="003E42B4" w:rsidP="003E42B4">
            <w:pPr>
              <w:pStyle w:val="Tablebodycopy"/>
            </w:pPr>
            <w:r>
              <w:t>N4239 × pRS316-kankanMX4 to Ap</w:t>
            </w:r>
            <w:r>
              <w:rPr>
                <w:vertAlign w:val="superscript"/>
              </w:rPr>
              <w:t>r</w:t>
            </w:r>
          </w:p>
        </w:tc>
      </w:tr>
      <w:tr w:rsidR="003E42B4" w:rsidRPr="007D77B7" w:rsidTr="003E42B4">
        <w:tc>
          <w:tcPr>
            <w:tcW w:w="999" w:type="dxa"/>
          </w:tcPr>
          <w:p w:rsidR="003E42B4" w:rsidRPr="004658E5" w:rsidRDefault="003E42B4" w:rsidP="003E42B4">
            <w:pPr>
              <w:pStyle w:val="Tablebodycopy"/>
            </w:pPr>
            <w:r>
              <w:t>RCe040</w:t>
            </w:r>
          </w:p>
        </w:tc>
        <w:tc>
          <w:tcPr>
            <w:tcW w:w="4683" w:type="dxa"/>
          </w:tcPr>
          <w:p w:rsidR="003E42B4" w:rsidRPr="004658E5" w:rsidRDefault="003E42B4" w:rsidP="003E42B4">
            <w:pPr>
              <w:pStyle w:val="Tablebodycopy"/>
              <w:rPr>
                <w:i/>
              </w:rPr>
            </w:pPr>
            <w:r>
              <w:rPr>
                <w:i/>
              </w:rPr>
              <w:t>recB268::</w:t>
            </w:r>
            <w:r>
              <w:t>Tn</w:t>
            </w:r>
            <w:r>
              <w:rPr>
                <w:i/>
              </w:rPr>
              <w:t>10</w:t>
            </w:r>
            <w:r w:rsidRPr="004658E5">
              <w:rPr>
                <w:i/>
              </w:rPr>
              <w:t xml:space="preserve"> recG265::cat</w:t>
            </w:r>
          </w:p>
        </w:tc>
        <w:tc>
          <w:tcPr>
            <w:tcW w:w="3357" w:type="dxa"/>
          </w:tcPr>
          <w:p w:rsidR="003E42B4" w:rsidRPr="007D77B7" w:rsidRDefault="003E42B4" w:rsidP="003E42B4">
            <w:pPr>
              <w:pStyle w:val="Tablebodycopy"/>
              <w:rPr>
                <w:vertAlign w:val="superscript"/>
              </w:rPr>
            </w:pPr>
            <w:r>
              <w:t xml:space="preserve">N4560 × P1.N4278 to </w:t>
            </w:r>
            <w:proofErr w:type="spellStart"/>
            <w:r>
              <w:t>Tc</w:t>
            </w:r>
            <w:r>
              <w:rPr>
                <w:vertAlign w:val="superscript"/>
              </w:rPr>
              <w:t>r</w:t>
            </w:r>
            <w:proofErr w:type="spellEnd"/>
          </w:p>
        </w:tc>
      </w:tr>
      <w:tr w:rsidR="003E42B4" w:rsidRPr="003F330A" w:rsidTr="003E42B4">
        <w:tc>
          <w:tcPr>
            <w:tcW w:w="999" w:type="dxa"/>
          </w:tcPr>
          <w:p w:rsidR="003E42B4" w:rsidRPr="004658E5" w:rsidRDefault="003E42B4" w:rsidP="003E42B4">
            <w:pPr>
              <w:pStyle w:val="Tablebodycopy"/>
            </w:pPr>
            <w:r>
              <w:t>RCe041</w:t>
            </w:r>
          </w:p>
        </w:tc>
        <w:tc>
          <w:tcPr>
            <w:tcW w:w="4683" w:type="dxa"/>
          </w:tcPr>
          <w:p w:rsidR="003E42B4" w:rsidRPr="004658E5" w:rsidRDefault="003E42B4" w:rsidP="003E42B4">
            <w:pPr>
              <w:pStyle w:val="Tablebodycopy"/>
              <w:rPr>
                <w:i/>
              </w:rPr>
            </w:pPr>
            <w:r>
              <w:rPr>
                <w:i/>
              </w:rPr>
              <w:t xml:space="preserve">priA300 </w:t>
            </w:r>
            <w:r w:rsidRPr="004658E5">
              <w:rPr>
                <w:i/>
              </w:rPr>
              <w:t>recG265::cat</w:t>
            </w:r>
            <w:r>
              <w:rPr>
                <w:i/>
              </w:rPr>
              <w:t xml:space="preserve"> ruvA60::</w:t>
            </w:r>
            <w:r>
              <w:t>Tn</w:t>
            </w:r>
            <w:r>
              <w:rPr>
                <w:i/>
              </w:rPr>
              <w:t>10</w:t>
            </w:r>
          </w:p>
        </w:tc>
        <w:tc>
          <w:tcPr>
            <w:tcW w:w="3357" w:type="dxa"/>
          </w:tcPr>
          <w:p w:rsidR="003E42B4" w:rsidRPr="003F330A" w:rsidRDefault="003E42B4" w:rsidP="003E42B4">
            <w:pPr>
              <w:pStyle w:val="Tablebodycopy"/>
              <w:rPr>
                <w:vertAlign w:val="superscript"/>
              </w:rPr>
            </w:pPr>
            <w:r>
              <w:t xml:space="preserve">N5511 × P1.N4239 to </w:t>
            </w:r>
            <w:proofErr w:type="spellStart"/>
            <w:r>
              <w:t>Tc</w:t>
            </w:r>
            <w:r>
              <w:rPr>
                <w:vertAlign w:val="superscript"/>
              </w:rPr>
              <w:t>r</w:t>
            </w:r>
            <w:proofErr w:type="spellEnd"/>
          </w:p>
        </w:tc>
      </w:tr>
      <w:tr w:rsidR="003E42B4" w:rsidRPr="004658E5" w:rsidTr="003E42B4">
        <w:tc>
          <w:tcPr>
            <w:tcW w:w="999" w:type="dxa"/>
          </w:tcPr>
          <w:p w:rsidR="003E42B4" w:rsidRPr="004658E5" w:rsidRDefault="003E42B4" w:rsidP="003E42B4">
            <w:pPr>
              <w:pStyle w:val="Tablebodycopy"/>
            </w:pPr>
            <w:r>
              <w:t>RCe045</w:t>
            </w:r>
          </w:p>
        </w:tc>
        <w:tc>
          <w:tcPr>
            <w:tcW w:w="4683" w:type="dxa"/>
          </w:tcPr>
          <w:p w:rsidR="003E42B4" w:rsidRPr="007D77B7" w:rsidRDefault="003E42B4" w:rsidP="003E42B4">
            <w:pPr>
              <w:pStyle w:val="Tablebodycopy"/>
              <w:rPr>
                <w:i/>
              </w:rPr>
            </w:pPr>
            <w:r>
              <w:rPr>
                <w:i/>
              </w:rPr>
              <w:t>recB268::</w:t>
            </w:r>
            <w:r>
              <w:t>Tn</w:t>
            </w:r>
            <w:r>
              <w:rPr>
                <w:i/>
              </w:rPr>
              <w:t xml:space="preserve">10 </w:t>
            </w:r>
            <w:r>
              <w:t>pRS316-kankanMX4</w:t>
            </w:r>
          </w:p>
        </w:tc>
        <w:tc>
          <w:tcPr>
            <w:tcW w:w="3357" w:type="dxa"/>
          </w:tcPr>
          <w:p w:rsidR="003E42B4" w:rsidRPr="004658E5" w:rsidRDefault="003E42B4" w:rsidP="003E42B4">
            <w:pPr>
              <w:pStyle w:val="Tablebodycopy"/>
            </w:pPr>
            <w:r>
              <w:t>N4278 × pRS316-kankanMX4 to Ap</w:t>
            </w:r>
            <w:r>
              <w:rPr>
                <w:vertAlign w:val="superscript"/>
              </w:rPr>
              <w:t>r</w:t>
            </w:r>
          </w:p>
        </w:tc>
      </w:tr>
      <w:tr w:rsidR="003E42B4" w:rsidRPr="004658E5" w:rsidTr="003E42B4">
        <w:tc>
          <w:tcPr>
            <w:tcW w:w="999" w:type="dxa"/>
          </w:tcPr>
          <w:p w:rsidR="003E42B4" w:rsidRPr="004658E5" w:rsidRDefault="003E42B4" w:rsidP="003E42B4">
            <w:pPr>
              <w:pStyle w:val="Tablebodycopy"/>
            </w:pPr>
            <w:r>
              <w:t>RCe046</w:t>
            </w:r>
          </w:p>
        </w:tc>
        <w:tc>
          <w:tcPr>
            <w:tcW w:w="4683" w:type="dxa"/>
          </w:tcPr>
          <w:p w:rsidR="003E42B4" w:rsidRPr="004658E5" w:rsidRDefault="003E42B4" w:rsidP="003E42B4">
            <w:pPr>
              <w:pStyle w:val="Tablebodycopy"/>
              <w:rPr>
                <w:i/>
              </w:rPr>
            </w:pPr>
            <w:r>
              <w:rPr>
                <w:i/>
              </w:rPr>
              <w:t>recB268::</w:t>
            </w:r>
            <w:r>
              <w:t>Tn</w:t>
            </w:r>
            <w:r>
              <w:rPr>
                <w:i/>
              </w:rPr>
              <w:t>10</w:t>
            </w:r>
            <w:r w:rsidRPr="004658E5">
              <w:rPr>
                <w:i/>
              </w:rPr>
              <w:t xml:space="preserve"> recG265::cat</w:t>
            </w:r>
            <w:r>
              <w:t xml:space="preserve"> pRS316-kankanMX4</w:t>
            </w:r>
          </w:p>
        </w:tc>
        <w:tc>
          <w:tcPr>
            <w:tcW w:w="3357" w:type="dxa"/>
          </w:tcPr>
          <w:p w:rsidR="003E42B4" w:rsidRPr="004658E5" w:rsidRDefault="003E42B4" w:rsidP="003E42B4">
            <w:pPr>
              <w:pStyle w:val="Tablebodycopy"/>
            </w:pPr>
            <w:r>
              <w:t>RCe040 × pRS316-kankanMX4 to Ap</w:t>
            </w:r>
            <w:r>
              <w:rPr>
                <w:vertAlign w:val="superscript"/>
              </w:rPr>
              <w:t>r</w:t>
            </w:r>
          </w:p>
        </w:tc>
      </w:tr>
      <w:tr w:rsidR="003E42B4" w:rsidRPr="004658E5" w:rsidTr="003E42B4">
        <w:tc>
          <w:tcPr>
            <w:tcW w:w="999" w:type="dxa"/>
          </w:tcPr>
          <w:p w:rsidR="003E42B4" w:rsidRPr="004658E5" w:rsidRDefault="003E42B4" w:rsidP="003E42B4">
            <w:pPr>
              <w:pStyle w:val="Tablebodycopy"/>
            </w:pPr>
            <w:r>
              <w:t>RCe047</w:t>
            </w:r>
          </w:p>
        </w:tc>
        <w:tc>
          <w:tcPr>
            <w:tcW w:w="4683" w:type="dxa"/>
          </w:tcPr>
          <w:p w:rsidR="003E42B4" w:rsidRPr="004658E5" w:rsidRDefault="003E42B4" w:rsidP="003E42B4">
            <w:pPr>
              <w:pStyle w:val="Tablebodycopy"/>
              <w:rPr>
                <w:i/>
              </w:rPr>
            </w:pPr>
            <w:r>
              <w:rPr>
                <w:i/>
              </w:rPr>
              <w:t xml:space="preserve">priA300 </w:t>
            </w:r>
            <w:r w:rsidRPr="004658E5">
              <w:rPr>
                <w:i/>
              </w:rPr>
              <w:t>recG265::cat</w:t>
            </w:r>
            <w:r>
              <w:rPr>
                <w:i/>
              </w:rPr>
              <w:t xml:space="preserve"> ruvA60::</w:t>
            </w:r>
            <w:r>
              <w:t>Tn</w:t>
            </w:r>
            <w:r>
              <w:rPr>
                <w:i/>
              </w:rPr>
              <w:t xml:space="preserve">10 </w:t>
            </w:r>
            <w:r>
              <w:t>pRS316-kankanMX4</w:t>
            </w:r>
          </w:p>
        </w:tc>
        <w:tc>
          <w:tcPr>
            <w:tcW w:w="3357" w:type="dxa"/>
          </w:tcPr>
          <w:p w:rsidR="003E42B4" w:rsidRPr="004658E5" w:rsidRDefault="003E42B4" w:rsidP="003E42B4">
            <w:pPr>
              <w:pStyle w:val="Tablebodycopy"/>
            </w:pPr>
            <w:r>
              <w:t>RCe041 × pRS316-kankanMX4 to Ap</w:t>
            </w:r>
            <w:r>
              <w:rPr>
                <w:vertAlign w:val="superscript"/>
              </w:rPr>
              <w:t>r</w:t>
            </w:r>
          </w:p>
        </w:tc>
      </w:tr>
      <w:tr w:rsidR="003E42B4" w:rsidTr="003E42B4">
        <w:tc>
          <w:tcPr>
            <w:tcW w:w="999" w:type="dxa"/>
          </w:tcPr>
          <w:p w:rsidR="003E42B4" w:rsidRDefault="003E42B4" w:rsidP="003E42B4">
            <w:pPr>
              <w:pStyle w:val="Tablebodycopy"/>
            </w:pPr>
            <w:r>
              <w:t>RCe052</w:t>
            </w:r>
          </w:p>
        </w:tc>
        <w:tc>
          <w:tcPr>
            <w:tcW w:w="4683" w:type="dxa"/>
          </w:tcPr>
          <w:p w:rsidR="003E42B4" w:rsidRPr="003F330A" w:rsidRDefault="003E42B4" w:rsidP="003E42B4">
            <w:pPr>
              <w:pStyle w:val="Tablebodycopy"/>
            </w:pPr>
            <w:r w:rsidRPr="004658E5">
              <w:rPr>
                <w:i/>
              </w:rPr>
              <w:t>recG265::cat</w:t>
            </w:r>
            <w:r>
              <w:rPr>
                <w:i/>
              </w:rPr>
              <w:t xml:space="preserve"> recA269::</w:t>
            </w:r>
            <w:r>
              <w:t>Tn</w:t>
            </w:r>
            <w:r>
              <w:rPr>
                <w:i/>
              </w:rPr>
              <w:t xml:space="preserve">10 </w:t>
            </w:r>
            <w:r>
              <w:t>pRS316-kankanMX4</w:t>
            </w:r>
          </w:p>
        </w:tc>
        <w:tc>
          <w:tcPr>
            <w:tcW w:w="3357" w:type="dxa"/>
          </w:tcPr>
          <w:p w:rsidR="003E42B4" w:rsidRDefault="003E42B4" w:rsidP="003E42B4">
            <w:pPr>
              <w:pStyle w:val="Tablebodycopy"/>
            </w:pPr>
            <w:r>
              <w:t>RCe027 × pRS316-kankanMX4 to Ap</w:t>
            </w:r>
            <w:r>
              <w:rPr>
                <w:vertAlign w:val="superscript"/>
              </w:rPr>
              <w:t>r</w:t>
            </w:r>
          </w:p>
        </w:tc>
      </w:tr>
      <w:tr w:rsidR="003E42B4" w:rsidRPr="003F330A" w:rsidTr="003E42B4">
        <w:tc>
          <w:tcPr>
            <w:tcW w:w="999" w:type="dxa"/>
          </w:tcPr>
          <w:p w:rsidR="003E42B4" w:rsidRPr="003F330A" w:rsidRDefault="003E42B4" w:rsidP="003E42B4">
            <w:pPr>
              <w:pStyle w:val="Tablebodycopy"/>
            </w:pPr>
            <w:r>
              <w:t>RCe121</w:t>
            </w:r>
          </w:p>
        </w:tc>
        <w:tc>
          <w:tcPr>
            <w:tcW w:w="4683" w:type="dxa"/>
          </w:tcPr>
          <w:p w:rsidR="003E42B4" w:rsidRPr="003F330A" w:rsidRDefault="003E42B4" w:rsidP="003E42B4">
            <w:pPr>
              <w:pStyle w:val="Tablebodycopy"/>
              <w:rPr>
                <w:i/>
              </w:rPr>
            </w:pPr>
            <w:proofErr w:type="spellStart"/>
            <w:r w:rsidRPr="003F330A">
              <w:rPr>
                <w:i/>
              </w:rPr>
              <w:t>tnaA</w:t>
            </w:r>
            <w:proofErr w:type="spellEnd"/>
            <w:r w:rsidRPr="003F330A">
              <w:rPr>
                <w:i/>
              </w:rPr>
              <w:t>::</w:t>
            </w:r>
            <w:r w:rsidRPr="003F330A">
              <w:t>Tn</w:t>
            </w:r>
            <w:r w:rsidRPr="003F330A">
              <w:rPr>
                <w:i/>
              </w:rPr>
              <w:t xml:space="preserve">10 recF143 </w:t>
            </w:r>
            <w:r w:rsidRPr="004658E5">
              <w:rPr>
                <w:i/>
              </w:rPr>
              <w:t>recG265::cat</w:t>
            </w:r>
          </w:p>
        </w:tc>
        <w:tc>
          <w:tcPr>
            <w:tcW w:w="3357" w:type="dxa"/>
          </w:tcPr>
          <w:p w:rsidR="003E42B4" w:rsidRPr="003F330A" w:rsidRDefault="003E42B4" w:rsidP="003E42B4">
            <w:pPr>
              <w:pStyle w:val="Tablebodycopy"/>
              <w:rPr>
                <w:vertAlign w:val="superscript"/>
              </w:rPr>
            </w:pPr>
            <w:r>
              <w:t xml:space="preserve">N5540 × P1.N4560 to </w:t>
            </w:r>
            <w:proofErr w:type="spellStart"/>
            <w:r>
              <w:t>Cm</w:t>
            </w:r>
            <w:r>
              <w:rPr>
                <w:vertAlign w:val="superscript"/>
              </w:rPr>
              <w:t>r</w:t>
            </w:r>
            <w:proofErr w:type="spellEnd"/>
          </w:p>
        </w:tc>
      </w:tr>
      <w:tr w:rsidR="003E42B4" w:rsidTr="003E42B4">
        <w:tc>
          <w:tcPr>
            <w:tcW w:w="999" w:type="dxa"/>
          </w:tcPr>
          <w:p w:rsidR="003E42B4" w:rsidRDefault="003E42B4" w:rsidP="003E42B4">
            <w:pPr>
              <w:pStyle w:val="Tablebodycopy"/>
            </w:pPr>
            <w:r>
              <w:t>RCe125</w:t>
            </w:r>
          </w:p>
        </w:tc>
        <w:tc>
          <w:tcPr>
            <w:tcW w:w="4683" w:type="dxa"/>
          </w:tcPr>
          <w:p w:rsidR="003E42B4" w:rsidRPr="003F330A" w:rsidRDefault="003E42B4" w:rsidP="003E42B4">
            <w:pPr>
              <w:pStyle w:val="Tablebodycopy"/>
              <w:rPr>
                <w:i/>
                <w:lang w:val="de-DE"/>
              </w:rPr>
            </w:pPr>
            <w:r w:rsidRPr="003F330A">
              <w:rPr>
                <w:i/>
                <w:lang w:val="de-DE"/>
              </w:rPr>
              <w:t>tnaA::</w:t>
            </w:r>
            <w:r w:rsidRPr="003F330A">
              <w:rPr>
                <w:lang w:val="de-DE"/>
              </w:rPr>
              <w:t>Tn</w:t>
            </w:r>
            <w:r w:rsidRPr="003F330A">
              <w:rPr>
                <w:i/>
                <w:lang w:val="de-DE"/>
              </w:rPr>
              <w:t>10 recF143</w:t>
            </w:r>
            <w:r w:rsidRPr="003F330A">
              <w:rPr>
                <w:lang w:val="de-DE"/>
              </w:rPr>
              <w:t xml:space="preserve"> pRS316-kankanMX4</w:t>
            </w:r>
          </w:p>
        </w:tc>
        <w:tc>
          <w:tcPr>
            <w:tcW w:w="3357" w:type="dxa"/>
          </w:tcPr>
          <w:p w:rsidR="003E42B4" w:rsidRDefault="003E42B4" w:rsidP="003E42B4">
            <w:pPr>
              <w:pStyle w:val="Tablebodycopy"/>
            </w:pPr>
            <w:r>
              <w:t>N5540 × pRS316-kankanMX4 to Ap</w:t>
            </w:r>
            <w:r>
              <w:rPr>
                <w:vertAlign w:val="superscript"/>
              </w:rPr>
              <w:t>r</w:t>
            </w:r>
          </w:p>
        </w:tc>
      </w:tr>
      <w:tr w:rsidR="003E42B4" w:rsidRPr="003F330A" w:rsidTr="003E42B4">
        <w:tc>
          <w:tcPr>
            <w:tcW w:w="999" w:type="dxa"/>
          </w:tcPr>
          <w:p w:rsidR="003E42B4" w:rsidRPr="003F330A" w:rsidRDefault="003E42B4" w:rsidP="003E42B4">
            <w:pPr>
              <w:pStyle w:val="Tablebodycopy"/>
            </w:pPr>
            <w:r>
              <w:t>RCe126</w:t>
            </w:r>
          </w:p>
        </w:tc>
        <w:tc>
          <w:tcPr>
            <w:tcW w:w="4683" w:type="dxa"/>
          </w:tcPr>
          <w:p w:rsidR="003E42B4" w:rsidRPr="003F330A" w:rsidRDefault="003E42B4" w:rsidP="003E42B4">
            <w:pPr>
              <w:pStyle w:val="Tablebodycopy"/>
              <w:rPr>
                <w:i/>
              </w:rPr>
            </w:pPr>
            <w:proofErr w:type="spellStart"/>
            <w:r w:rsidRPr="003F330A">
              <w:rPr>
                <w:i/>
              </w:rPr>
              <w:t>tnaA</w:t>
            </w:r>
            <w:proofErr w:type="spellEnd"/>
            <w:r w:rsidRPr="003F330A">
              <w:rPr>
                <w:i/>
              </w:rPr>
              <w:t>::</w:t>
            </w:r>
            <w:r w:rsidRPr="003F330A">
              <w:t>Tn</w:t>
            </w:r>
            <w:r w:rsidRPr="003F330A">
              <w:rPr>
                <w:i/>
              </w:rPr>
              <w:t xml:space="preserve">10 recF143 </w:t>
            </w:r>
            <w:r w:rsidRPr="004658E5">
              <w:rPr>
                <w:i/>
              </w:rPr>
              <w:t>recG265::cat</w:t>
            </w:r>
            <w:r>
              <w:rPr>
                <w:i/>
              </w:rPr>
              <w:t xml:space="preserve"> </w:t>
            </w:r>
            <w:r>
              <w:t>pRS316-kankanMX4</w:t>
            </w:r>
          </w:p>
        </w:tc>
        <w:tc>
          <w:tcPr>
            <w:tcW w:w="3357" w:type="dxa"/>
          </w:tcPr>
          <w:p w:rsidR="003E42B4" w:rsidRPr="003F330A" w:rsidRDefault="003E42B4" w:rsidP="003E42B4">
            <w:pPr>
              <w:pStyle w:val="Tablebodycopy"/>
            </w:pPr>
            <w:r>
              <w:t>RCe121 × pRS316-kankanMX4 to Ap</w:t>
            </w:r>
            <w:r>
              <w:rPr>
                <w:vertAlign w:val="superscript"/>
              </w:rPr>
              <w:t>r</w:t>
            </w:r>
          </w:p>
        </w:tc>
      </w:tr>
      <w:tr w:rsidR="003E42B4" w:rsidRPr="00D65B41" w:rsidTr="003E42B4">
        <w:tc>
          <w:tcPr>
            <w:tcW w:w="999" w:type="dxa"/>
          </w:tcPr>
          <w:p w:rsidR="003E42B4" w:rsidRPr="004658E5" w:rsidRDefault="003E42B4" w:rsidP="003E42B4">
            <w:pPr>
              <w:pStyle w:val="Tablebodycopy"/>
            </w:pPr>
            <w:r>
              <w:t>RCe562</w:t>
            </w:r>
          </w:p>
        </w:tc>
        <w:tc>
          <w:tcPr>
            <w:tcW w:w="4683" w:type="dxa"/>
          </w:tcPr>
          <w:p w:rsidR="003E42B4" w:rsidRPr="004658E5" w:rsidRDefault="003E42B4" w:rsidP="003E42B4">
            <w:pPr>
              <w:pStyle w:val="Tablebodycopy"/>
              <w:rPr>
                <w:i/>
              </w:rPr>
            </w:pPr>
            <w:proofErr w:type="spellStart"/>
            <w:r>
              <w:rPr>
                <w:i/>
              </w:rPr>
              <w:t>ΔsbcCD</w:t>
            </w:r>
            <w:proofErr w:type="spellEnd"/>
            <w:r>
              <w:rPr>
                <w:i/>
              </w:rPr>
              <w:t>::</w:t>
            </w:r>
            <w:proofErr w:type="spellStart"/>
            <w:r>
              <w:rPr>
                <w:i/>
              </w:rPr>
              <w:t>kan</w:t>
            </w:r>
            <w:proofErr w:type="spellEnd"/>
          </w:p>
        </w:tc>
        <w:tc>
          <w:tcPr>
            <w:tcW w:w="3357" w:type="dxa"/>
          </w:tcPr>
          <w:p w:rsidR="003E42B4" w:rsidRPr="00D65B41" w:rsidRDefault="003E42B4" w:rsidP="003E42B4">
            <w:pPr>
              <w:pStyle w:val="Tablebodycopy"/>
              <w:rPr>
                <w:vertAlign w:val="superscript"/>
              </w:rPr>
            </w:pPr>
            <w:r>
              <w:t xml:space="preserve">MG1655 × P1.N5296 to </w:t>
            </w:r>
            <w:proofErr w:type="spellStart"/>
            <w:r>
              <w:t>Km</w:t>
            </w:r>
            <w:r>
              <w:rPr>
                <w:vertAlign w:val="superscript"/>
              </w:rPr>
              <w:t>r</w:t>
            </w:r>
            <w:proofErr w:type="spellEnd"/>
          </w:p>
        </w:tc>
      </w:tr>
      <w:tr w:rsidR="003E42B4" w:rsidRPr="00D07EBA" w:rsidTr="003E42B4">
        <w:tc>
          <w:tcPr>
            <w:tcW w:w="999" w:type="dxa"/>
          </w:tcPr>
          <w:p w:rsidR="003E42B4" w:rsidRPr="004658E5" w:rsidRDefault="003E42B4" w:rsidP="003E42B4">
            <w:pPr>
              <w:pStyle w:val="Tablebodycopy"/>
            </w:pPr>
            <w:r>
              <w:t>RCe563</w:t>
            </w:r>
          </w:p>
        </w:tc>
        <w:tc>
          <w:tcPr>
            <w:tcW w:w="4683" w:type="dxa"/>
          </w:tcPr>
          <w:p w:rsidR="003E42B4" w:rsidRPr="004658E5" w:rsidRDefault="003E42B4" w:rsidP="003E42B4">
            <w:pPr>
              <w:pStyle w:val="Tablebodycopy"/>
              <w:rPr>
                <w:i/>
              </w:rPr>
            </w:pPr>
            <w:proofErr w:type="spellStart"/>
            <w:r>
              <w:rPr>
                <w:i/>
              </w:rPr>
              <w:t>ΔxonA</w:t>
            </w:r>
            <w:proofErr w:type="spellEnd"/>
            <w:r>
              <w:rPr>
                <w:i/>
              </w:rPr>
              <w:t>::</w:t>
            </w:r>
            <w:proofErr w:type="spellStart"/>
            <w:r>
              <w:rPr>
                <w:i/>
              </w:rPr>
              <w:t>apra</w:t>
            </w:r>
            <w:proofErr w:type="spellEnd"/>
          </w:p>
        </w:tc>
        <w:tc>
          <w:tcPr>
            <w:tcW w:w="3357" w:type="dxa"/>
          </w:tcPr>
          <w:p w:rsidR="003E42B4" w:rsidRPr="00D07EBA" w:rsidRDefault="003E42B4" w:rsidP="003E42B4">
            <w:pPr>
              <w:pStyle w:val="Tablebodycopy"/>
              <w:rPr>
                <w:vertAlign w:val="superscript"/>
              </w:rPr>
            </w:pPr>
            <w:r>
              <w:t xml:space="preserve">MG1655 × P1.AS1103 to </w:t>
            </w:r>
            <w:proofErr w:type="spellStart"/>
            <w:r>
              <w:t>Apra</w:t>
            </w:r>
            <w:r>
              <w:rPr>
                <w:vertAlign w:val="superscript"/>
              </w:rPr>
              <w:t>r</w:t>
            </w:r>
            <w:proofErr w:type="spellEnd"/>
          </w:p>
        </w:tc>
      </w:tr>
      <w:tr w:rsidR="003E42B4" w:rsidRPr="00D07EBA" w:rsidTr="003E42B4">
        <w:tc>
          <w:tcPr>
            <w:tcW w:w="999" w:type="dxa"/>
          </w:tcPr>
          <w:p w:rsidR="003E42B4" w:rsidRPr="004658E5" w:rsidRDefault="003E42B4" w:rsidP="003E42B4">
            <w:pPr>
              <w:pStyle w:val="Tablebodycopy"/>
            </w:pPr>
            <w:r>
              <w:t>RCe564</w:t>
            </w:r>
          </w:p>
        </w:tc>
        <w:tc>
          <w:tcPr>
            <w:tcW w:w="4683" w:type="dxa"/>
          </w:tcPr>
          <w:p w:rsidR="003E42B4" w:rsidRPr="004658E5" w:rsidRDefault="003E42B4" w:rsidP="003E42B4">
            <w:pPr>
              <w:pStyle w:val="Tablebodycopy"/>
              <w:rPr>
                <w:i/>
              </w:rPr>
            </w:pPr>
            <w:proofErr w:type="spellStart"/>
            <w:r>
              <w:rPr>
                <w:i/>
              </w:rPr>
              <w:t>ΔxseA</w:t>
            </w:r>
            <w:proofErr w:type="spellEnd"/>
            <w:r>
              <w:rPr>
                <w:i/>
              </w:rPr>
              <w:t>::dhfr</w:t>
            </w:r>
          </w:p>
        </w:tc>
        <w:tc>
          <w:tcPr>
            <w:tcW w:w="3357" w:type="dxa"/>
          </w:tcPr>
          <w:p w:rsidR="003E42B4" w:rsidRPr="00D07EBA" w:rsidRDefault="003E42B4" w:rsidP="003E42B4">
            <w:pPr>
              <w:pStyle w:val="Tablebodycopy"/>
              <w:rPr>
                <w:vertAlign w:val="superscript"/>
              </w:rPr>
            </w:pPr>
            <w:r>
              <w:t xml:space="preserve">MG1655 × P1.AS1103 to </w:t>
            </w:r>
            <w:proofErr w:type="spellStart"/>
            <w:r>
              <w:t>Tm</w:t>
            </w:r>
            <w:r>
              <w:rPr>
                <w:vertAlign w:val="superscript"/>
              </w:rPr>
              <w:t>r</w:t>
            </w:r>
            <w:proofErr w:type="spellEnd"/>
          </w:p>
        </w:tc>
      </w:tr>
      <w:tr w:rsidR="003E42B4" w:rsidRPr="00D07EBA" w:rsidTr="003E42B4">
        <w:tc>
          <w:tcPr>
            <w:tcW w:w="999" w:type="dxa"/>
          </w:tcPr>
          <w:p w:rsidR="003E42B4" w:rsidRPr="004658E5" w:rsidRDefault="003E42B4" w:rsidP="003E42B4">
            <w:pPr>
              <w:pStyle w:val="Tablebodycopy"/>
            </w:pPr>
            <w:r>
              <w:lastRenderedPageBreak/>
              <w:t>RCe568</w:t>
            </w:r>
          </w:p>
        </w:tc>
        <w:tc>
          <w:tcPr>
            <w:tcW w:w="4683" w:type="dxa"/>
          </w:tcPr>
          <w:p w:rsidR="003E42B4" w:rsidRPr="004658E5" w:rsidRDefault="003E42B4" w:rsidP="003E42B4">
            <w:pPr>
              <w:pStyle w:val="Tablebodycopy"/>
              <w:rPr>
                <w:i/>
              </w:rPr>
            </w:pPr>
            <w:proofErr w:type="spellStart"/>
            <w:r>
              <w:rPr>
                <w:i/>
              </w:rPr>
              <w:t>ΔxonA</w:t>
            </w:r>
            <w:proofErr w:type="spellEnd"/>
            <w:r>
              <w:rPr>
                <w:i/>
              </w:rPr>
              <w:t>::</w:t>
            </w:r>
            <w:proofErr w:type="spellStart"/>
            <w:r>
              <w:rPr>
                <w:i/>
              </w:rPr>
              <w:t>apra</w:t>
            </w:r>
            <w:proofErr w:type="spellEnd"/>
            <w:r>
              <w:rPr>
                <w:i/>
              </w:rPr>
              <w:t xml:space="preserve"> </w:t>
            </w:r>
            <w:proofErr w:type="spellStart"/>
            <w:r>
              <w:rPr>
                <w:i/>
              </w:rPr>
              <w:t>ΔxseA</w:t>
            </w:r>
            <w:proofErr w:type="spellEnd"/>
            <w:r>
              <w:rPr>
                <w:i/>
              </w:rPr>
              <w:t>::dhfr</w:t>
            </w:r>
          </w:p>
        </w:tc>
        <w:tc>
          <w:tcPr>
            <w:tcW w:w="3357" w:type="dxa"/>
          </w:tcPr>
          <w:p w:rsidR="003E42B4" w:rsidRPr="00D07EBA" w:rsidRDefault="003E42B4" w:rsidP="003E42B4">
            <w:pPr>
              <w:pStyle w:val="Tablebodycopy"/>
              <w:rPr>
                <w:vertAlign w:val="superscript"/>
              </w:rPr>
            </w:pPr>
            <w:r>
              <w:t xml:space="preserve">RCe563 × P1.AS1103 to </w:t>
            </w:r>
            <w:proofErr w:type="spellStart"/>
            <w:r>
              <w:t>Tm</w:t>
            </w:r>
            <w:r>
              <w:rPr>
                <w:vertAlign w:val="superscript"/>
              </w:rPr>
              <w:t>r</w:t>
            </w:r>
            <w:proofErr w:type="spellEnd"/>
          </w:p>
        </w:tc>
      </w:tr>
      <w:tr w:rsidR="003E42B4" w:rsidRPr="00D07EBA" w:rsidTr="003E42B4">
        <w:tc>
          <w:tcPr>
            <w:tcW w:w="999" w:type="dxa"/>
          </w:tcPr>
          <w:p w:rsidR="003E42B4" w:rsidRPr="004658E5" w:rsidRDefault="003E42B4" w:rsidP="003E42B4">
            <w:pPr>
              <w:pStyle w:val="Tablebodycopy"/>
            </w:pPr>
            <w:r>
              <w:t>RCe569</w:t>
            </w:r>
          </w:p>
        </w:tc>
        <w:tc>
          <w:tcPr>
            <w:tcW w:w="4683" w:type="dxa"/>
          </w:tcPr>
          <w:p w:rsidR="003E42B4" w:rsidRPr="004658E5" w:rsidRDefault="003E42B4" w:rsidP="003E42B4">
            <w:pPr>
              <w:pStyle w:val="Tablebodycopy"/>
              <w:rPr>
                <w:i/>
              </w:rPr>
            </w:pPr>
            <w:proofErr w:type="spellStart"/>
            <w:r>
              <w:rPr>
                <w:i/>
              </w:rPr>
              <w:t>ΔxonA</w:t>
            </w:r>
            <w:proofErr w:type="spellEnd"/>
            <w:r>
              <w:rPr>
                <w:i/>
              </w:rPr>
              <w:t>::</w:t>
            </w:r>
            <w:proofErr w:type="spellStart"/>
            <w:r>
              <w:rPr>
                <w:i/>
              </w:rPr>
              <w:t>apra</w:t>
            </w:r>
            <w:proofErr w:type="spellEnd"/>
            <w:r>
              <w:rPr>
                <w:i/>
              </w:rPr>
              <w:t xml:space="preserve"> </w:t>
            </w:r>
            <w:proofErr w:type="spellStart"/>
            <w:r>
              <w:rPr>
                <w:i/>
              </w:rPr>
              <w:t>ΔsbcCD</w:t>
            </w:r>
            <w:proofErr w:type="spellEnd"/>
            <w:r>
              <w:rPr>
                <w:i/>
              </w:rPr>
              <w:t>::</w:t>
            </w:r>
            <w:proofErr w:type="spellStart"/>
            <w:r>
              <w:rPr>
                <w:i/>
              </w:rPr>
              <w:t>kan</w:t>
            </w:r>
            <w:proofErr w:type="spellEnd"/>
          </w:p>
        </w:tc>
        <w:tc>
          <w:tcPr>
            <w:tcW w:w="3357" w:type="dxa"/>
          </w:tcPr>
          <w:p w:rsidR="003E42B4" w:rsidRPr="00D07EBA" w:rsidRDefault="003E42B4" w:rsidP="003E42B4">
            <w:pPr>
              <w:pStyle w:val="Tablebodycopy"/>
              <w:rPr>
                <w:vertAlign w:val="superscript"/>
              </w:rPr>
            </w:pPr>
            <w:r>
              <w:t xml:space="preserve">RCe563 × P1.N5296 to </w:t>
            </w:r>
            <w:proofErr w:type="spellStart"/>
            <w:r>
              <w:t>Km</w:t>
            </w:r>
            <w:r>
              <w:rPr>
                <w:vertAlign w:val="superscript"/>
              </w:rPr>
              <w:t>r</w:t>
            </w:r>
            <w:proofErr w:type="spellEnd"/>
          </w:p>
        </w:tc>
      </w:tr>
      <w:tr w:rsidR="003E42B4" w:rsidRPr="00D07EBA" w:rsidTr="003E42B4">
        <w:tc>
          <w:tcPr>
            <w:tcW w:w="999" w:type="dxa"/>
          </w:tcPr>
          <w:p w:rsidR="003E42B4" w:rsidRPr="004658E5" w:rsidRDefault="003E42B4" w:rsidP="003E42B4">
            <w:pPr>
              <w:pStyle w:val="Tablebodycopy"/>
            </w:pPr>
            <w:r>
              <w:t>RCe570</w:t>
            </w:r>
          </w:p>
        </w:tc>
        <w:tc>
          <w:tcPr>
            <w:tcW w:w="4683" w:type="dxa"/>
          </w:tcPr>
          <w:p w:rsidR="003E42B4" w:rsidRPr="004658E5" w:rsidRDefault="003E42B4" w:rsidP="003E42B4">
            <w:pPr>
              <w:pStyle w:val="Tablebodycopy"/>
              <w:rPr>
                <w:i/>
              </w:rPr>
            </w:pPr>
            <w:proofErr w:type="spellStart"/>
            <w:r>
              <w:rPr>
                <w:i/>
              </w:rPr>
              <w:t>ΔxseA</w:t>
            </w:r>
            <w:proofErr w:type="spellEnd"/>
            <w:r>
              <w:rPr>
                <w:i/>
              </w:rPr>
              <w:t xml:space="preserve">::dhfr </w:t>
            </w:r>
            <w:proofErr w:type="spellStart"/>
            <w:r>
              <w:rPr>
                <w:i/>
              </w:rPr>
              <w:t>ΔsbcCD</w:t>
            </w:r>
            <w:proofErr w:type="spellEnd"/>
            <w:r>
              <w:rPr>
                <w:i/>
              </w:rPr>
              <w:t>::</w:t>
            </w:r>
            <w:proofErr w:type="spellStart"/>
            <w:r>
              <w:rPr>
                <w:i/>
              </w:rPr>
              <w:t>kan</w:t>
            </w:r>
            <w:proofErr w:type="spellEnd"/>
          </w:p>
        </w:tc>
        <w:tc>
          <w:tcPr>
            <w:tcW w:w="3357" w:type="dxa"/>
          </w:tcPr>
          <w:p w:rsidR="003E42B4" w:rsidRPr="00D07EBA" w:rsidRDefault="003E42B4" w:rsidP="003E42B4">
            <w:pPr>
              <w:pStyle w:val="Tablebodycopy"/>
              <w:rPr>
                <w:vertAlign w:val="superscript"/>
              </w:rPr>
            </w:pPr>
            <w:r>
              <w:t xml:space="preserve">RCe564 × P1.N5296 to </w:t>
            </w:r>
            <w:proofErr w:type="spellStart"/>
            <w:r>
              <w:t>Km</w:t>
            </w:r>
            <w:r>
              <w:rPr>
                <w:vertAlign w:val="superscript"/>
              </w:rPr>
              <w:t>r</w:t>
            </w:r>
            <w:proofErr w:type="spellEnd"/>
          </w:p>
        </w:tc>
      </w:tr>
      <w:tr w:rsidR="003E42B4" w:rsidRPr="0087654E" w:rsidTr="003E42B4">
        <w:tc>
          <w:tcPr>
            <w:tcW w:w="9039" w:type="dxa"/>
            <w:gridSpan w:val="3"/>
            <w:tcBorders>
              <w:bottom w:val="single" w:sz="6" w:space="0" w:color="auto"/>
            </w:tcBorders>
          </w:tcPr>
          <w:p w:rsidR="003E42B4" w:rsidRPr="0087654E" w:rsidRDefault="003E42B4" w:rsidP="003E42B4">
            <w:pPr>
              <w:pStyle w:val="Tablebodycopy"/>
              <w:spacing w:before="160"/>
              <w:rPr>
                <w:b/>
                <w:vertAlign w:val="superscript"/>
              </w:rPr>
            </w:pPr>
            <w:r w:rsidRPr="0087654E">
              <w:rPr>
                <w:b/>
              </w:rPr>
              <w:t>(</w:t>
            </w:r>
            <w:r>
              <w:rPr>
                <w:b/>
              </w:rPr>
              <w:t>c</w:t>
            </w:r>
            <w:r w:rsidRPr="0087654E">
              <w:rPr>
                <w:b/>
              </w:rPr>
              <w:t xml:space="preserve">) </w:t>
            </w:r>
            <w:proofErr w:type="spellStart"/>
            <w:r>
              <w:rPr>
                <w:b/>
              </w:rPr>
              <w:t>Hfr</w:t>
            </w:r>
            <w:proofErr w:type="spellEnd"/>
            <w:r>
              <w:rPr>
                <w:b/>
              </w:rPr>
              <w:t xml:space="preserve"> and F-prime donors</w:t>
            </w:r>
          </w:p>
        </w:tc>
      </w:tr>
      <w:tr w:rsidR="003E42B4" w:rsidTr="003E42B4">
        <w:tc>
          <w:tcPr>
            <w:tcW w:w="999" w:type="dxa"/>
          </w:tcPr>
          <w:p w:rsidR="003E42B4" w:rsidRDefault="003E42B4" w:rsidP="003E42B4">
            <w:pPr>
              <w:pStyle w:val="Tablebodycopy"/>
            </w:pPr>
            <w:r>
              <w:t>GY2200</w:t>
            </w:r>
          </w:p>
        </w:tc>
        <w:tc>
          <w:tcPr>
            <w:tcW w:w="4683" w:type="dxa"/>
          </w:tcPr>
          <w:p w:rsidR="003E42B4" w:rsidRPr="002B22B9" w:rsidRDefault="003E42B4" w:rsidP="003E42B4">
            <w:pPr>
              <w:pStyle w:val="Tablebodycopy"/>
              <w:rPr>
                <w:i/>
              </w:rPr>
            </w:pPr>
            <w:proofErr w:type="spellStart"/>
            <w:r>
              <w:t>Hfr</w:t>
            </w:r>
            <w:proofErr w:type="spellEnd"/>
            <w:r>
              <w:t xml:space="preserve"> (H, PO1) (</w:t>
            </w:r>
            <w:r>
              <w:sym w:font="Symbol" w:char="F06C"/>
            </w:r>
            <w:proofErr w:type="spellStart"/>
            <w:r>
              <w:rPr>
                <w:i/>
              </w:rPr>
              <w:t>ind</w:t>
            </w:r>
            <w:proofErr w:type="spellEnd"/>
            <w:r>
              <w:t>)</w:t>
            </w:r>
            <w:r>
              <w:rPr>
                <w:vertAlign w:val="superscript"/>
              </w:rPr>
              <w:t>+</w:t>
            </w:r>
            <w:r>
              <w:t xml:space="preserve"> </w:t>
            </w:r>
            <w:r>
              <w:rPr>
                <w:i/>
              </w:rPr>
              <w:t>thi-1 relA1</w:t>
            </w:r>
          </w:p>
        </w:tc>
        <w:tc>
          <w:tcPr>
            <w:tcW w:w="3357" w:type="dxa"/>
          </w:tcPr>
          <w:p w:rsidR="003E42B4" w:rsidRDefault="003E42B4" w:rsidP="003E42B4">
            <w:pPr>
              <w:pStyle w:val="Tablebodycopy"/>
            </w:pPr>
            <w:r>
              <w:t xml:space="preserve">R. </w:t>
            </w:r>
            <w:proofErr w:type="spellStart"/>
            <w:r>
              <w:t>Devoret</w:t>
            </w:r>
            <w:proofErr w:type="spellEnd"/>
          </w:p>
        </w:tc>
      </w:tr>
      <w:tr w:rsidR="003E42B4" w:rsidTr="003E42B4">
        <w:tc>
          <w:tcPr>
            <w:tcW w:w="999" w:type="dxa"/>
          </w:tcPr>
          <w:p w:rsidR="003E42B4" w:rsidRDefault="003E42B4" w:rsidP="003E42B4">
            <w:pPr>
              <w:pStyle w:val="Tablebodycopy"/>
            </w:pPr>
            <w:r>
              <w:t>KL226</w:t>
            </w:r>
          </w:p>
        </w:tc>
        <w:tc>
          <w:tcPr>
            <w:tcW w:w="4683" w:type="dxa"/>
          </w:tcPr>
          <w:p w:rsidR="003E42B4" w:rsidRPr="00456C5A" w:rsidRDefault="003E42B4" w:rsidP="003E42B4">
            <w:pPr>
              <w:pStyle w:val="Tablebodycopy"/>
              <w:rPr>
                <w:i/>
              </w:rPr>
            </w:pPr>
            <w:proofErr w:type="spellStart"/>
            <w:r>
              <w:t>Hfr</w:t>
            </w:r>
            <w:proofErr w:type="spellEnd"/>
            <w:r>
              <w:t xml:space="preserve"> (</w:t>
            </w:r>
            <w:proofErr w:type="spellStart"/>
            <w:r>
              <w:t>Cavalli</w:t>
            </w:r>
            <w:proofErr w:type="spellEnd"/>
            <w:r>
              <w:t xml:space="preserve">, PO2A) </w:t>
            </w:r>
            <w:r>
              <w:rPr>
                <w:i/>
              </w:rPr>
              <w:t>relA1 tona22</w:t>
            </w:r>
          </w:p>
        </w:tc>
        <w:tc>
          <w:tcPr>
            <w:tcW w:w="3357" w:type="dxa"/>
          </w:tcPr>
          <w:p w:rsidR="003E42B4" w:rsidRDefault="003E42B4" w:rsidP="003E42B4">
            <w:pPr>
              <w:pStyle w:val="Tablebodycopy"/>
            </w:pPr>
            <w:r>
              <w:t>K. B. Low</w:t>
            </w:r>
          </w:p>
        </w:tc>
      </w:tr>
      <w:tr w:rsidR="003E42B4" w:rsidTr="003E42B4">
        <w:tc>
          <w:tcPr>
            <w:tcW w:w="999" w:type="dxa"/>
          </w:tcPr>
          <w:p w:rsidR="003E42B4" w:rsidRDefault="003E42B4" w:rsidP="003E42B4">
            <w:pPr>
              <w:pStyle w:val="Tablebodycopy"/>
            </w:pPr>
            <w:r>
              <w:t>KL227</w:t>
            </w:r>
          </w:p>
        </w:tc>
        <w:tc>
          <w:tcPr>
            <w:tcW w:w="4683" w:type="dxa"/>
          </w:tcPr>
          <w:p w:rsidR="003E42B4" w:rsidRPr="00643FCE" w:rsidRDefault="003E42B4" w:rsidP="003E42B4">
            <w:pPr>
              <w:pStyle w:val="Tablebodycopy"/>
              <w:rPr>
                <w:i/>
              </w:rPr>
            </w:pPr>
            <w:proofErr w:type="spellStart"/>
            <w:r>
              <w:t>Hfr</w:t>
            </w:r>
            <w:proofErr w:type="spellEnd"/>
            <w:r>
              <w:t xml:space="preserve"> (PO3 of P4X) </w:t>
            </w:r>
            <w:r>
              <w:rPr>
                <w:i/>
              </w:rPr>
              <w:t>metB1</w:t>
            </w:r>
          </w:p>
        </w:tc>
        <w:tc>
          <w:tcPr>
            <w:tcW w:w="3357" w:type="dxa"/>
          </w:tcPr>
          <w:p w:rsidR="003E42B4" w:rsidRDefault="003E42B4" w:rsidP="003E42B4">
            <w:pPr>
              <w:pStyle w:val="Tablebodycopy"/>
            </w:pPr>
            <w:r>
              <w:t>K. B. Low</w:t>
            </w:r>
          </w:p>
        </w:tc>
      </w:tr>
      <w:tr w:rsidR="003E42B4" w:rsidTr="003E42B4">
        <w:tc>
          <w:tcPr>
            <w:tcW w:w="999" w:type="dxa"/>
            <w:tcBorders>
              <w:bottom w:val="single" w:sz="6" w:space="0" w:color="auto"/>
            </w:tcBorders>
          </w:tcPr>
          <w:p w:rsidR="003E42B4" w:rsidRDefault="003E42B4" w:rsidP="003E42B4">
            <w:pPr>
              <w:pStyle w:val="Tablebodycopy"/>
            </w:pPr>
            <w:r>
              <w:t>KL548</w:t>
            </w:r>
          </w:p>
        </w:tc>
        <w:tc>
          <w:tcPr>
            <w:tcW w:w="4683" w:type="dxa"/>
            <w:tcBorders>
              <w:bottom w:val="single" w:sz="6" w:space="0" w:color="auto"/>
            </w:tcBorders>
          </w:tcPr>
          <w:p w:rsidR="003E42B4" w:rsidRPr="009131CF" w:rsidRDefault="003E42B4" w:rsidP="003E42B4">
            <w:pPr>
              <w:pStyle w:val="Tablebodycopy"/>
              <w:rPr>
                <w:i/>
                <w:vertAlign w:val="superscript"/>
              </w:rPr>
            </w:pPr>
            <w:r>
              <w:t xml:space="preserve">F’ (F128) </w:t>
            </w:r>
            <w:r>
              <w:rPr>
                <w:i/>
              </w:rPr>
              <w:t xml:space="preserve">lacI3 lacZ118 </w:t>
            </w:r>
            <w:proofErr w:type="spellStart"/>
            <w:r>
              <w:rPr>
                <w:i/>
              </w:rPr>
              <w:t>proAB</w:t>
            </w:r>
            <w:proofErr w:type="spellEnd"/>
            <w:r>
              <w:rPr>
                <w:i/>
                <w:vertAlign w:val="superscript"/>
              </w:rPr>
              <w:t>+</w:t>
            </w:r>
          </w:p>
        </w:tc>
        <w:tc>
          <w:tcPr>
            <w:tcW w:w="3357" w:type="dxa"/>
            <w:tcBorders>
              <w:bottom w:val="single" w:sz="6" w:space="0" w:color="auto"/>
            </w:tcBorders>
          </w:tcPr>
          <w:p w:rsidR="003E42B4" w:rsidRDefault="003E42B4" w:rsidP="003E42B4">
            <w:pPr>
              <w:pStyle w:val="Tablebodycopy"/>
            </w:pPr>
            <w:r>
              <w:t xml:space="preserve">K. B. </w:t>
            </w:r>
            <w:proofErr w:type="spellStart"/>
            <w:r>
              <w:t>Llow</w:t>
            </w:r>
            <w:proofErr w:type="spellEnd"/>
          </w:p>
        </w:tc>
      </w:tr>
    </w:tbl>
    <w:p w:rsidR="003E42B4" w:rsidRPr="004658E5" w:rsidRDefault="003E42B4" w:rsidP="003E42B4">
      <w:pPr>
        <w:pStyle w:val="Tablefooter"/>
      </w:pPr>
      <w:r w:rsidRPr="004658E5">
        <w:t xml:space="preserve">a – The abbreviations </w:t>
      </w:r>
      <w:proofErr w:type="spellStart"/>
      <w:r w:rsidRPr="004658E5">
        <w:rPr>
          <w:i/>
        </w:rPr>
        <w:t>kan</w:t>
      </w:r>
      <w:proofErr w:type="spellEnd"/>
      <w:r w:rsidRPr="004658E5">
        <w:t xml:space="preserve">, </w:t>
      </w:r>
      <w:r w:rsidRPr="004658E5">
        <w:rPr>
          <w:i/>
        </w:rPr>
        <w:t>cat</w:t>
      </w:r>
      <w:r w:rsidRPr="004658E5">
        <w:t xml:space="preserve">, </w:t>
      </w:r>
      <w:r w:rsidRPr="004658E5">
        <w:rPr>
          <w:i/>
        </w:rPr>
        <w:t>dhfr</w:t>
      </w:r>
      <w:r>
        <w:rPr>
          <w:i/>
        </w:rPr>
        <w:t xml:space="preserve"> </w:t>
      </w:r>
      <w:r w:rsidRPr="004658E5">
        <w:t xml:space="preserve">and </w:t>
      </w:r>
      <w:proofErr w:type="spellStart"/>
      <w:r w:rsidRPr="004658E5">
        <w:rPr>
          <w:i/>
        </w:rPr>
        <w:t>apra</w:t>
      </w:r>
      <w:proofErr w:type="spellEnd"/>
      <w:r w:rsidRPr="004658E5">
        <w:t xml:space="preserve"> refer to insertions conferring resistance to kanamycin (</w:t>
      </w:r>
      <w:proofErr w:type="spellStart"/>
      <w:r w:rsidRPr="004658E5">
        <w:t>Km</w:t>
      </w:r>
      <w:r w:rsidRPr="004658E5">
        <w:rPr>
          <w:vertAlign w:val="superscript"/>
        </w:rPr>
        <w:t>r</w:t>
      </w:r>
      <w:proofErr w:type="spellEnd"/>
      <w:r w:rsidRPr="004658E5">
        <w:t>), chloramphenicol (</w:t>
      </w:r>
      <w:proofErr w:type="spellStart"/>
      <w:r w:rsidRPr="004658E5">
        <w:t>Cm</w:t>
      </w:r>
      <w:r w:rsidRPr="004658E5">
        <w:rPr>
          <w:vertAlign w:val="superscript"/>
        </w:rPr>
        <w:t>r</w:t>
      </w:r>
      <w:proofErr w:type="spellEnd"/>
      <w:r w:rsidRPr="004658E5">
        <w:t>), trimethoprim (</w:t>
      </w:r>
      <w:proofErr w:type="spellStart"/>
      <w:r w:rsidRPr="004658E5">
        <w:t>Tm</w:t>
      </w:r>
      <w:r w:rsidRPr="004658E5">
        <w:rPr>
          <w:vertAlign w:val="superscript"/>
        </w:rPr>
        <w:t>r</w:t>
      </w:r>
      <w:proofErr w:type="spellEnd"/>
      <w:r w:rsidRPr="004658E5">
        <w:t>)</w:t>
      </w:r>
      <w:r>
        <w:t xml:space="preserve"> </w:t>
      </w:r>
      <w:r w:rsidRPr="004658E5">
        <w:t xml:space="preserve">and </w:t>
      </w:r>
      <w:proofErr w:type="spellStart"/>
      <w:r w:rsidRPr="004658E5">
        <w:t>apramycin</w:t>
      </w:r>
      <w:proofErr w:type="spellEnd"/>
      <w:r w:rsidRPr="004658E5">
        <w:t xml:space="preserve"> (</w:t>
      </w:r>
      <w:proofErr w:type="spellStart"/>
      <w:r w:rsidRPr="004658E5">
        <w:t>Apra</w:t>
      </w:r>
      <w:r w:rsidRPr="004658E5">
        <w:rPr>
          <w:vertAlign w:val="superscript"/>
        </w:rPr>
        <w:t>r</w:t>
      </w:r>
      <w:proofErr w:type="spellEnd"/>
      <w:r w:rsidRPr="004658E5">
        <w:t>), respectively. Tn</w:t>
      </w:r>
      <w:r w:rsidRPr="004658E5">
        <w:rPr>
          <w:i/>
        </w:rPr>
        <w:t>10</w:t>
      </w:r>
      <w:r w:rsidRPr="004658E5">
        <w:t xml:space="preserve"> confers resistance to tetracycline (</w:t>
      </w:r>
      <w:proofErr w:type="spellStart"/>
      <w:r w:rsidRPr="004658E5">
        <w:t>Tc</w:t>
      </w:r>
      <w:r w:rsidRPr="004658E5">
        <w:rPr>
          <w:vertAlign w:val="superscript"/>
        </w:rPr>
        <w:t>r</w:t>
      </w:r>
      <w:proofErr w:type="spellEnd"/>
      <w:r w:rsidRPr="004658E5">
        <w:t>). Plasmids carry an ampicillin (</w:t>
      </w:r>
      <w:proofErr w:type="spellStart"/>
      <w:r w:rsidRPr="004658E5">
        <w:t>Amp</w:t>
      </w:r>
      <w:r w:rsidRPr="004658E5">
        <w:rPr>
          <w:vertAlign w:val="superscript"/>
        </w:rPr>
        <w:t>r</w:t>
      </w:r>
      <w:proofErr w:type="spellEnd"/>
      <w:r w:rsidRPr="004658E5">
        <w:t>) resistance marker. For all relevant plasmid</w:t>
      </w:r>
      <w:r>
        <w:t xml:space="preserve"> details</w:t>
      </w:r>
      <w:r w:rsidRPr="004658E5">
        <w:t xml:space="preserve"> see Supplementary M</w:t>
      </w:r>
      <w:r>
        <w:t>ethods</w:t>
      </w:r>
      <w:r w:rsidRPr="004658E5">
        <w:t>.</w:t>
      </w:r>
    </w:p>
    <w:p w:rsidR="003E42B4" w:rsidRDefault="003E42B4" w:rsidP="003E42B4">
      <w:pPr>
        <w:pStyle w:val="Tablefooter"/>
      </w:pPr>
      <w:r w:rsidRPr="004658E5">
        <w:t xml:space="preserve">b – Only the relevant additional genotype of the derivatives is shown. </w:t>
      </w:r>
    </w:p>
    <w:p w:rsidR="00597909" w:rsidRPr="007E09E7" w:rsidRDefault="00597909" w:rsidP="00597909">
      <w:pPr>
        <w:pStyle w:val="Heading1"/>
      </w:pPr>
      <w:r>
        <w:t>Supplementary References</w:t>
      </w:r>
    </w:p>
    <w:p w:rsidR="003E42B4" w:rsidRPr="003E42B4" w:rsidRDefault="00597909" w:rsidP="003E42B4">
      <w:pPr>
        <w:pStyle w:val="Bibliography"/>
      </w:pPr>
      <w:r w:rsidRPr="00BC6E0B">
        <w:rPr>
          <w:sz w:val="22"/>
        </w:rPr>
        <w:fldChar w:fldCharType="begin"/>
      </w:r>
      <w:r w:rsidR="003E42B4">
        <w:instrText xml:space="preserve"> ADDIN ZOTERO_BIBL {"custom":[]} CSL_BIBLIOGRAPHY </w:instrText>
      </w:r>
      <w:r w:rsidRPr="00BC6E0B">
        <w:rPr>
          <w:sz w:val="22"/>
        </w:rPr>
        <w:fldChar w:fldCharType="separate"/>
      </w:r>
      <w:r w:rsidR="003E42B4" w:rsidRPr="003E42B4">
        <w:t xml:space="preserve">Bachmann, B J (1996) Derivations and Genotypes of Some Mutant Derivatives of </w:t>
      </w:r>
      <w:r w:rsidR="003E42B4" w:rsidRPr="00DC14E5">
        <w:rPr>
          <w:i/>
        </w:rPr>
        <w:t xml:space="preserve">Escherichia coli </w:t>
      </w:r>
      <w:r w:rsidR="003E42B4" w:rsidRPr="003E42B4">
        <w:t xml:space="preserve">K-12. In: </w:t>
      </w:r>
      <w:r w:rsidR="003E42B4" w:rsidRPr="00DC14E5">
        <w:rPr>
          <w:i/>
        </w:rPr>
        <w:t>Escherichia coli</w:t>
      </w:r>
      <w:r w:rsidR="003E42B4" w:rsidRPr="003E42B4">
        <w:t xml:space="preserve"> and Salmonella Cellular and Molecular Biology, Second Edition. ASM Press, </w:t>
      </w:r>
    </w:p>
    <w:p w:rsidR="003E42B4" w:rsidRPr="003E42B4" w:rsidRDefault="003E42B4" w:rsidP="003E42B4">
      <w:pPr>
        <w:pStyle w:val="Bibliography"/>
      </w:pPr>
      <w:r w:rsidRPr="003E42B4">
        <w:t xml:space="preserve">Datsenko KA, Wanner BL (2000) One-step inactivation of chromosomal genes in </w:t>
      </w:r>
      <w:r w:rsidRPr="00DC14E5">
        <w:rPr>
          <w:i/>
        </w:rPr>
        <w:t>Escherichia</w:t>
      </w:r>
      <w:r w:rsidRPr="003E42B4">
        <w:t xml:space="preserve"> </w:t>
      </w:r>
      <w:r w:rsidRPr="00DC14E5">
        <w:rPr>
          <w:i/>
        </w:rPr>
        <w:t>coli</w:t>
      </w:r>
      <w:r w:rsidRPr="003E42B4">
        <w:t xml:space="preserve"> K-12 using PCR products. Proc Natl Acad Sci U S A 97:6640–6645. doi: 10.1073/pnas.120163297</w:t>
      </w:r>
    </w:p>
    <w:p w:rsidR="003E42B4" w:rsidRPr="003E42B4" w:rsidRDefault="003E42B4" w:rsidP="003E42B4">
      <w:pPr>
        <w:pStyle w:val="Bibliography"/>
      </w:pPr>
      <w:r w:rsidRPr="003E42B4">
        <w:t>Dimude JU, Stockum A, Midgley-Smith SL, et al (2015) The Consequences of Replicating in the Wrong Orientation: Bacterial Chromosome Duplication without an Active Replication Origin. mBio. doi: 10.1128/mBio.01294-15</w:t>
      </w:r>
    </w:p>
    <w:p w:rsidR="003E42B4" w:rsidRPr="003E42B4" w:rsidRDefault="003E42B4" w:rsidP="003E42B4">
      <w:pPr>
        <w:pStyle w:val="Bibliography"/>
      </w:pPr>
      <w:r w:rsidRPr="003E42B4">
        <w:t>Ede C, Rudolph CJ, Lehmann S, et al (2011) Budding yeast Mph1 promotes sister chromatid interactions by a mechanism involving strand invasion. DNA Repair 10:45–55. doi: 10.1016/j.dnarep.2010.09.009</w:t>
      </w:r>
    </w:p>
    <w:p w:rsidR="003E42B4" w:rsidRPr="003E42B4" w:rsidRDefault="003E42B4" w:rsidP="003E42B4">
      <w:pPr>
        <w:pStyle w:val="Bibliography"/>
      </w:pPr>
      <w:r w:rsidRPr="003E42B4">
        <w:t>Foster PL (2006) Methods for determining spontaneous mutation rates. Methods Enzymol 409:195–213. doi: 10.1016/S0076-6879(05)09012-9</w:t>
      </w:r>
    </w:p>
    <w:p w:rsidR="003E42B4" w:rsidRPr="003E42B4" w:rsidRDefault="003E42B4" w:rsidP="003E42B4">
      <w:pPr>
        <w:pStyle w:val="Bibliography"/>
      </w:pPr>
      <w:r w:rsidRPr="003E42B4">
        <w:t xml:space="preserve">Jaktaji RP, Lloyd RG (2003) PriA supports two distinct pathways for replication restart in UV-irradiated </w:t>
      </w:r>
      <w:r w:rsidRPr="00DC14E5">
        <w:rPr>
          <w:i/>
        </w:rPr>
        <w:t>Escherichia</w:t>
      </w:r>
      <w:r w:rsidRPr="003E42B4">
        <w:t xml:space="preserve"> </w:t>
      </w:r>
      <w:r w:rsidRPr="00DC14E5">
        <w:rPr>
          <w:i/>
        </w:rPr>
        <w:t>coli</w:t>
      </w:r>
      <w:r w:rsidRPr="003E42B4">
        <w:t xml:space="preserve"> cells. Mol Microbiol 47:1091–1100.</w:t>
      </w:r>
    </w:p>
    <w:p w:rsidR="003E42B4" w:rsidRPr="003E42B4" w:rsidRDefault="003E42B4" w:rsidP="003E42B4">
      <w:pPr>
        <w:pStyle w:val="Bibliography"/>
      </w:pPr>
      <w:r w:rsidRPr="003E42B4">
        <w:t>Lea DE, Coulson CA (1949) The distribution of the numbers of mutants in bacterial populations. J Genet 49:264–285.</w:t>
      </w:r>
    </w:p>
    <w:p w:rsidR="003E42B4" w:rsidRPr="003E42B4" w:rsidRDefault="003E42B4" w:rsidP="003E42B4">
      <w:pPr>
        <w:pStyle w:val="Bibliography"/>
      </w:pPr>
      <w:r w:rsidRPr="003E42B4">
        <w:t xml:space="preserve">Lloyd RG, Buckman C (1985) Identification and genetic analysis of </w:t>
      </w:r>
      <w:r w:rsidRPr="00DC14E5">
        <w:rPr>
          <w:i/>
        </w:rPr>
        <w:t>sbcC</w:t>
      </w:r>
      <w:r w:rsidRPr="003E42B4">
        <w:t xml:space="preserve"> mutations in commonly used </w:t>
      </w:r>
      <w:r w:rsidRPr="00DC14E5">
        <w:rPr>
          <w:i/>
        </w:rPr>
        <w:t>recBC</w:t>
      </w:r>
      <w:r w:rsidRPr="003E42B4">
        <w:t xml:space="preserve"> </w:t>
      </w:r>
      <w:r w:rsidRPr="00DC14E5">
        <w:rPr>
          <w:i/>
        </w:rPr>
        <w:t>sbcB</w:t>
      </w:r>
      <w:r w:rsidRPr="003E42B4">
        <w:t xml:space="preserve"> strains of </w:t>
      </w:r>
      <w:r w:rsidRPr="00DC14E5">
        <w:rPr>
          <w:i/>
        </w:rPr>
        <w:t>Escherichia</w:t>
      </w:r>
      <w:r w:rsidRPr="003E42B4">
        <w:t xml:space="preserve"> </w:t>
      </w:r>
      <w:r w:rsidRPr="00DC14E5">
        <w:rPr>
          <w:i/>
        </w:rPr>
        <w:t>coli</w:t>
      </w:r>
      <w:r w:rsidRPr="003E42B4">
        <w:t xml:space="preserve"> K-12. J Bacteriol 164:836–844.</w:t>
      </w:r>
    </w:p>
    <w:p w:rsidR="003E42B4" w:rsidRPr="003E42B4" w:rsidRDefault="003E42B4" w:rsidP="003E42B4">
      <w:pPr>
        <w:pStyle w:val="Bibliography"/>
      </w:pPr>
      <w:r w:rsidRPr="003E42B4">
        <w:t xml:space="preserve">Lloyd RG, Evans NP, Buckman C (1987) Formation of recombinant </w:t>
      </w:r>
      <w:r w:rsidRPr="00DC14E5">
        <w:rPr>
          <w:i/>
        </w:rPr>
        <w:t>lacZ</w:t>
      </w:r>
      <w:r w:rsidRPr="00DC14E5">
        <w:rPr>
          <w:vertAlign w:val="superscript"/>
        </w:rPr>
        <w:t>+</w:t>
      </w:r>
      <w:r w:rsidRPr="003E42B4">
        <w:t xml:space="preserve"> DNA in conjugational crosses with a </w:t>
      </w:r>
      <w:r w:rsidRPr="00DC14E5">
        <w:rPr>
          <w:i/>
        </w:rPr>
        <w:t>recB</w:t>
      </w:r>
      <w:r w:rsidRPr="003E42B4">
        <w:t xml:space="preserve"> mutant of </w:t>
      </w:r>
      <w:r w:rsidRPr="00DC14E5">
        <w:rPr>
          <w:i/>
        </w:rPr>
        <w:t>Escherichia</w:t>
      </w:r>
      <w:r w:rsidRPr="003E42B4">
        <w:t xml:space="preserve"> </w:t>
      </w:r>
      <w:r w:rsidRPr="00DC14E5">
        <w:rPr>
          <w:i/>
        </w:rPr>
        <w:t>coli</w:t>
      </w:r>
      <w:r w:rsidRPr="003E42B4">
        <w:t xml:space="preserve"> K12 depends on </w:t>
      </w:r>
      <w:r w:rsidRPr="00DC14E5">
        <w:rPr>
          <w:i/>
        </w:rPr>
        <w:t>recF</w:t>
      </w:r>
      <w:r w:rsidRPr="003E42B4">
        <w:t xml:space="preserve">, </w:t>
      </w:r>
      <w:r w:rsidRPr="00DC14E5">
        <w:rPr>
          <w:i/>
        </w:rPr>
        <w:t>recJ</w:t>
      </w:r>
      <w:r w:rsidRPr="003E42B4">
        <w:t xml:space="preserve">, and </w:t>
      </w:r>
      <w:r w:rsidRPr="00DC14E5">
        <w:rPr>
          <w:i/>
        </w:rPr>
        <w:t>recO</w:t>
      </w:r>
      <w:r w:rsidRPr="003E42B4">
        <w:t>. Mol Gen Genet MGG 209:135–141.</w:t>
      </w:r>
    </w:p>
    <w:p w:rsidR="003E42B4" w:rsidRPr="003E42B4" w:rsidRDefault="003E42B4" w:rsidP="003E42B4">
      <w:pPr>
        <w:pStyle w:val="Bibliography"/>
      </w:pPr>
      <w:r w:rsidRPr="003E42B4">
        <w:t xml:space="preserve">Lloyd RG, Porton MC, Buckman C (1988) Effect of </w:t>
      </w:r>
      <w:r w:rsidRPr="00DC14E5">
        <w:rPr>
          <w:i/>
        </w:rPr>
        <w:t xml:space="preserve">recF, recJ, recN, recO </w:t>
      </w:r>
      <w:r w:rsidRPr="003E42B4">
        <w:t xml:space="preserve">and </w:t>
      </w:r>
      <w:r w:rsidRPr="00DC14E5">
        <w:rPr>
          <w:i/>
        </w:rPr>
        <w:t>ruv</w:t>
      </w:r>
      <w:r w:rsidRPr="003E42B4">
        <w:t xml:space="preserve"> mutations on ultraviolet survival and genetic recombination in a </w:t>
      </w:r>
      <w:r w:rsidRPr="00DC14E5">
        <w:rPr>
          <w:i/>
        </w:rPr>
        <w:t>recD</w:t>
      </w:r>
      <w:r w:rsidRPr="003E42B4">
        <w:t xml:space="preserve"> strain of </w:t>
      </w:r>
      <w:r w:rsidRPr="00DC14E5">
        <w:rPr>
          <w:i/>
        </w:rPr>
        <w:t>Escherichia</w:t>
      </w:r>
      <w:r w:rsidRPr="003E42B4">
        <w:t xml:space="preserve"> </w:t>
      </w:r>
      <w:r w:rsidRPr="00DC14E5">
        <w:rPr>
          <w:i/>
        </w:rPr>
        <w:t>coli</w:t>
      </w:r>
      <w:r w:rsidRPr="003E42B4">
        <w:t xml:space="preserve"> K12. Mol Gen Genet MGG 212:317–324.</w:t>
      </w:r>
    </w:p>
    <w:p w:rsidR="003E42B4" w:rsidRPr="003E42B4" w:rsidRDefault="003E42B4" w:rsidP="003E42B4">
      <w:pPr>
        <w:pStyle w:val="Bibliography"/>
      </w:pPr>
      <w:r w:rsidRPr="003E42B4">
        <w:t xml:space="preserve">Mahdi AA, Briggs GS, Lloyd RG (2012) Modulation of DNA damage tolerance in </w:t>
      </w:r>
      <w:r w:rsidRPr="00DC14E5">
        <w:rPr>
          <w:i/>
        </w:rPr>
        <w:t>Escherichia coli recG</w:t>
      </w:r>
      <w:r w:rsidRPr="003E42B4">
        <w:t xml:space="preserve"> and </w:t>
      </w:r>
      <w:r w:rsidRPr="00DC14E5">
        <w:rPr>
          <w:i/>
        </w:rPr>
        <w:t>ruv</w:t>
      </w:r>
      <w:r w:rsidRPr="003E42B4">
        <w:t xml:space="preserve"> strains by mutations affecting PriB, the ribosome and RNA polymerase. Mol Microbiol 86:675–691. doi: 10.1111/mmi.12010</w:t>
      </w:r>
    </w:p>
    <w:p w:rsidR="003E42B4" w:rsidRPr="003E42B4" w:rsidRDefault="003E42B4" w:rsidP="003E42B4">
      <w:pPr>
        <w:pStyle w:val="Bibliography"/>
      </w:pPr>
      <w:r w:rsidRPr="003E42B4">
        <w:lastRenderedPageBreak/>
        <w:t>Mahdi AA, Buckman C, Harris L, Lloyd RG (2006) Rep and PriA helicase activities prevent RecA from provoking unnecessary recombination during replication fork repair. Genes Dev 20:2135–2147. doi: 10.1101/gad.382306</w:t>
      </w:r>
    </w:p>
    <w:p w:rsidR="003E42B4" w:rsidRPr="003E42B4" w:rsidRDefault="003E42B4" w:rsidP="003E42B4">
      <w:pPr>
        <w:pStyle w:val="Bibliography"/>
      </w:pPr>
      <w:r w:rsidRPr="003E42B4">
        <w:t xml:space="preserve">Mahdi AA, Sharples GJ, Mandal TN, Lloyd RG (1996) Holliday junction resolvases encoded by homologous </w:t>
      </w:r>
      <w:r w:rsidRPr="00DC14E5">
        <w:rPr>
          <w:i/>
        </w:rPr>
        <w:t>rusA</w:t>
      </w:r>
      <w:r w:rsidRPr="003E42B4">
        <w:t xml:space="preserve"> genes in </w:t>
      </w:r>
      <w:r w:rsidRPr="00DC14E5">
        <w:rPr>
          <w:i/>
        </w:rPr>
        <w:t>Escherichia coli</w:t>
      </w:r>
      <w:r w:rsidRPr="003E42B4">
        <w:t xml:space="preserve"> K-12 and phage 82. J Mol Biol 257:561–573. doi: 10.1006/jmbi.1996.0185</w:t>
      </w:r>
    </w:p>
    <w:p w:rsidR="003E42B4" w:rsidRPr="003E42B4" w:rsidRDefault="003E42B4" w:rsidP="003E42B4">
      <w:pPr>
        <w:pStyle w:val="Bibliography"/>
      </w:pPr>
      <w:r w:rsidRPr="003E42B4">
        <w:t>Meddows TR, Savory AP, Lloyd RG (2004) RecG helicase promotes DNA double-strand break repair. Mol Microbiol 52:119–132. doi: 10.1111/j.1365-2958.2003.03970.x</w:t>
      </w:r>
    </w:p>
    <w:p w:rsidR="003E42B4" w:rsidRPr="003E42B4" w:rsidRDefault="003E42B4" w:rsidP="003E42B4">
      <w:pPr>
        <w:pStyle w:val="Bibliography"/>
      </w:pPr>
      <w:r w:rsidRPr="003E42B4">
        <w:t xml:space="preserve">Rudolph CJ, Mahdi AA, Upton AL, Lloyd RG (2010) RecG protein and single-strand DNA exonucleases avoid cell lethality associated with PriA helicase activity in </w:t>
      </w:r>
      <w:r w:rsidRPr="00DC14E5">
        <w:rPr>
          <w:i/>
        </w:rPr>
        <w:t>Escherichia coli</w:t>
      </w:r>
      <w:r w:rsidRPr="003E42B4">
        <w:t>. Genetics 186:473–492. doi: 10.1534/genetics.110.120691</w:t>
      </w:r>
    </w:p>
    <w:p w:rsidR="003E42B4" w:rsidRPr="003E42B4" w:rsidRDefault="003E42B4" w:rsidP="003E42B4">
      <w:pPr>
        <w:pStyle w:val="Bibliography"/>
      </w:pPr>
      <w:r w:rsidRPr="003E42B4">
        <w:t>Rudolph CJ, Upton AL, Harris L, Lloyd RG (2009) Pathological replication in cells lacking RecG DNA translocase. Mol Microbiol 73:352–366. doi: 10.1111/j.1365-2958.2009.06773.x</w:t>
      </w:r>
    </w:p>
    <w:p w:rsidR="003E42B4" w:rsidRPr="003E42B4" w:rsidRDefault="003E42B4" w:rsidP="003E42B4">
      <w:pPr>
        <w:pStyle w:val="Bibliography"/>
      </w:pPr>
      <w:r w:rsidRPr="003E42B4">
        <w:t xml:space="preserve">Rudolph CJ, Upton AL, Lloyd RG (2007) Replication fork stalling and cell cycle arrest in UV-irradiated </w:t>
      </w:r>
      <w:r w:rsidRPr="00DC14E5">
        <w:rPr>
          <w:i/>
        </w:rPr>
        <w:t>Escherichia coli</w:t>
      </w:r>
      <w:r w:rsidRPr="003E42B4">
        <w:t>. Genes Dev 21:668–681. doi: 10.1101/gad.417607</w:t>
      </w:r>
    </w:p>
    <w:p w:rsidR="003E42B4" w:rsidRPr="003E42B4" w:rsidRDefault="003E42B4" w:rsidP="003E42B4">
      <w:pPr>
        <w:pStyle w:val="Bibliography"/>
      </w:pPr>
      <w:r w:rsidRPr="003E42B4">
        <w:t xml:space="preserve">Rudolph CJ, Upton AL, Lloyd RG (2008) Maintaining replication fork integrity in UV-irradiated </w:t>
      </w:r>
      <w:r w:rsidRPr="00DC14E5">
        <w:rPr>
          <w:i/>
        </w:rPr>
        <w:t>Escherichia coli</w:t>
      </w:r>
      <w:r w:rsidRPr="003E42B4">
        <w:t xml:space="preserve"> cells. DNA Repair 7:1589–1602. doi: 10.1016/j.dnarep.2008.06.012</w:t>
      </w:r>
    </w:p>
    <w:p w:rsidR="003E42B4" w:rsidRPr="003E42B4" w:rsidRDefault="003E42B4" w:rsidP="003E42B4">
      <w:pPr>
        <w:pStyle w:val="Bibliography"/>
      </w:pPr>
      <w:r w:rsidRPr="003E42B4">
        <w:t xml:space="preserve">Sikorski RS, Hieter P (1989) A system of shuttle vectors and yeast host strains designed for efficient manipulation of DNA in </w:t>
      </w:r>
      <w:r w:rsidRPr="00DC14E5">
        <w:rPr>
          <w:i/>
        </w:rPr>
        <w:t>Saccharomyces cerevisiae</w:t>
      </w:r>
      <w:r w:rsidRPr="003E42B4">
        <w:t>. Genetics 122:19–27.</w:t>
      </w:r>
    </w:p>
    <w:p w:rsidR="003E42B4" w:rsidRPr="003E42B4" w:rsidRDefault="003E42B4" w:rsidP="003E42B4">
      <w:pPr>
        <w:pStyle w:val="Bibliography"/>
      </w:pPr>
      <w:r w:rsidRPr="003E42B4">
        <w:t xml:space="preserve">Thomason LC, Costantino N, Court DL (2007) </w:t>
      </w:r>
      <w:r w:rsidRPr="00DC14E5">
        <w:rPr>
          <w:i/>
        </w:rPr>
        <w:t>E. coli</w:t>
      </w:r>
      <w:r w:rsidRPr="003E42B4">
        <w:t xml:space="preserve"> genome manipulation by P1 transduction. Curr Protoc Mol Biol Ed Frederick M Ausubel Al Chapter 1:Unit 1.17. doi: 10.1002/0471142727.mb0117s79</w:t>
      </w:r>
    </w:p>
    <w:p w:rsidR="003E42B4" w:rsidRPr="003E42B4" w:rsidRDefault="003E42B4" w:rsidP="003E42B4">
      <w:pPr>
        <w:pStyle w:val="Bibliography"/>
      </w:pPr>
      <w:r w:rsidRPr="003E42B4">
        <w:t xml:space="preserve">Wach A, Brachat A, Pöhlmann R, Philippsen P (1994) New heterologous modules for classical or PCR-based gene disruptions in </w:t>
      </w:r>
      <w:r w:rsidRPr="00DC14E5">
        <w:rPr>
          <w:i/>
        </w:rPr>
        <w:t>Saccharomyces cerevisiae</w:t>
      </w:r>
      <w:r w:rsidRPr="003E42B4">
        <w:t>. Yeast Chichester Engl 10:1793–1808.</w:t>
      </w:r>
    </w:p>
    <w:p w:rsidR="003E42B4" w:rsidRPr="003E42B4" w:rsidRDefault="003E42B4" w:rsidP="003E42B4">
      <w:pPr>
        <w:pStyle w:val="Bibliography"/>
      </w:pPr>
      <w:r w:rsidRPr="003E42B4">
        <w:t xml:space="preserve">Zhang J, Mahdi AA, Briggs GS, Lloyd RG (2010) Promoting and avoiding recombination: contrasting activities of the </w:t>
      </w:r>
      <w:r w:rsidRPr="00DC14E5">
        <w:rPr>
          <w:i/>
        </w:rPr>
        <w:t xml:space="preserve">Escherichia coli </w:t>
      </w:r>
      <w:r w:rsidRPr="003E42B4">
        <w:t>RuvABC Holliday junction resolvase and RecG DNA translocase. Genetics 185:23–37. doi: 10.1534/genetics.110.114413</w:t>
      </w:r>
    </w:p>
    <w:p w:rsidR="006A067A" w:rsidRPr="00F61E3D" w:rsidRDefault="00597909" w:rsidP="00E82CD2">
      <w:pPr>
        <w:pStyle w:val="Bibliography"/>
      </w:pPr>
      <w:r w:rsidRPr="00BC6E0B">
        <w:fldChar w:fldCharType="end"/>
      </w:r>
      <w:bookmarkStart w:id="0" w:name="_GoBack"/>
      <w:bookmarkEnd w:id="0"/>
    </w:p>
    <w:sectPr w:rsidR="006A067A" w:rsidRPr="00F61E3D" w:rsidSect="00BF547F">
      <w:pgSz w:w="11906" w:h="16838"/>
      <w:pgMar w:top="1440" w:right="1588" w:bottom="1985"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70F" w:rsidRDefault="00EC770F" w:rsidP="00144760">
      <w:pPr>
        <w:spacing w:line="240" w:lineRule="auto"/>
      </w:pPr>
      <w:r>
        <w:separator/>
      </w:r>
    </w:p>
  </w:endnote>
  <w:endnote w:type="continuationSeparator" w:id="0">
    <w:p w:rsidR="00EC770F" w:rsidRDefault="00EC770F" w:rsidP="001447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Leitura Sans Grot 3">
    <w:altName w:val="Arial"/>
    <w:panose1 w:val="00000000000000000000"/>
    <w:charset w:val="00"/>
    <w:family w:val="modern"/>
    <w:notTrueType/>
    <w:pitch w:val="variable"/>
    <w:sig w:usb0="A00000AF" w:usb1="5000205B" w:usb2="00000000" w:usb3="00000000" w:csb0="0000009B" w:csb1="00000000"/>
  </w:font>
  <w:font w:name="Karmina Rg">
    <w:panose1 w:val="00000000000000000000"/>
    <w:charset w:val="00"/>
    <w:family w:val="modern"/>
    <w:notTrueType/>
    <w:pitch w:val="variable"/>
    <w:sig w:usb0="A00000AF" w:usb1="7000005B" w:usb2="00000004" w:usb3="00000000" w:csb0="0000009B" w:csb1="00000000"/>
  </w:font>
  <w:font w:name="Tahoma">
    <w:panose1 w:val="020B0604030504040204"/>
    <w:charset w:val="00"/>
    <w:family w:val="swiss"/>
    <w:notTrueType/>
    <w:pitch w:val="variable"/>
    <w:sig w:usb0="00000003" w:usb1="00000000" w:usb2="00000000" w:usb3="00000000" w:csb0="00000001" w:csb1="00000000"/>
  </w:font>
  <w:font w:name="Leitura Sans Grot 2">
    <w:panose1 w:val="00000000000000000000"/>
    <w:charset w:val="00"/>
    <w:family w:val="modern"/>
    <w:notTrueType/>
    <w:pitch w:val="variable"/>
    <w:sig w:usb0="A00000AF" w:usb1="5000205B" w:usb2="00000000" w:usb3="00000000" w:csb0="0000009B"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260194"/>
      <w:docPartObj>
        <w:docPartGallery w:val="Page Numbers (Bottom of Page)"/>
        <w:docPartUnique/>
      </w:docPartObj>
    </w:sdtPr>
    <w:sdtEndPr>
      <w:rPr>
        <w:rFonts w:ascii="Leitura Sans Grot 2" w:hAnsi="Leitura Sans Grot 2"/>
        <w:noProof/>
        <w:sz w:val="20"/>
        <w:szCs w:val="20"/>
      </w:rPr>
    </w:sdtEndPr>
    <w:sdtContent>
      <w:p w:rsidR="003E42B4" w:rsidRPr="008C118A" w:rsidRDefault="003E42B4">
        <w:pPr>
          <w:pStyle w:val="Footer"/>
          <w:jc w:val="right"/>
          <w:rPr>
            <w:rFonts w:ascii="Leitura Sans Grot 2" w:hAnsi="Leitura Sans Grot 2"/>
            <w:sz w:val="20"/>
            <w:szCs w:val="20"/>
          </w:rPr>
        </w:pPr>
        <w:r w:rsidRPr="008C118A">
          <w:rPr>
            <w:rFonts w:ascii="Leitura Sans Grot 2" w:hAnsi="Leitura Sans Grot 2"/>
            <w:sz w:val="20"/>
            <w:szCs w:val="20"/>
          </w:rPr>
          <w:fldChar w:fldCharType="begin"/>
        </w:r>
        <w:r w:rsidRPr="008C118A">
          <w:rPr>
            <w:rFonts w:ascii="Leitura Sans Grot 2" w:hAnsi="Leitura Sans Grot 2"/>
            <w:sz w:val="20"/>
            <w:szCs w:val="20"/>
          </w:rPr>
          <w:instrText xml:space="preserve"> PAGE   \* MERGEFORMAT </w:instrText>
        </w:r>
        <w:r w:rsidRPr="008C118A">
          <w:rPr>
            <w:rFonts w:ascii="Leitura Sans Grot 2" w:hAnsi="Leitura Sans Grot 2"/>
            <w:sz w:val="20"/>
            <w:szCs w:val="20"/>
          </w:rPr>
          <w:fldChar w:fldCharType="separate"/>
        </w:r>
        <w:r w:rsidR="00897728">
          <w:rPr>
            <w:rFonts w:ascii="Leitura Sans Grot 2" w:hAnsi="Leitura Sans Grot 2"/>
            <w:noProof/>
            <w:sz w:val="20"/>
            <w:szCs w:val="20"/>
          </w:rPr>
          <w:t>14</w:t>
        </w:r>
        <w:r w:rsidRPr="008C118A">
          <w:rPr>
            <w:rFonts w:ascii="Leitura Sans Grot 2" w:hAnsi="Leitura Sans Grot 2"/>
            <w:noProof/>
            <w:sz w:val="20"/>
            <w:szCs w:val="20"/>
          </w:rPr>
          <w:fldChar w:fldCharType="end"/>
        </w:r>
      </w:p>
    </w:sdtContent>
  </w:sdt>
  <w:p w:rsidR="003E42B4" w:rsidRDefault="003E42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70F" w:rsidRDefault="00EC770F" w:rsidP="00144760">
      <w:pPr>
        <w:spacing w:line="240" w:lineRule="auto"/>
      </w:pPr>
      <w:r>
        <w:separator/>
      </w:r>
    </w:p>
  </w:footnote>
  <w:footnote w:type="continuationSeparator" w:id="0">
    <w:p w:rsidR="00EC770F" w:rsidRDefault="00EC770F" w:rsidP="0014476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199"/>
    <w:rsid w:val="00005847"/>
    <w:rsid w:val="00011DED"/>
    <w:rsid w:val="00015F3B"/>
    <w:rsid w:val="00022DB4"/>
    <w:rsid w:val="00033F15"/>
    <w:rsid w:val="000346A3"/>
    <w:rsid w:val="0003787C"/>
    <w:rsid w:val="00045D00"/>
    <w:rsid w:val="00045EA9"/>
    <w:rsid w:val="00047DD8"/>
    <w:rsid w:val="000506B1"/>
    <w:rsid w:val="00053A70"/>
    <w:rsid w:val="000607EF"/>
    <w:rsid w:val="00066545"/>
    <w:rsid w:val="00067AF7"/>
    <w:rsid w:val="000705EF"/>
    <w:rsid w:val="00070EEB"/>
    <w:rsid w:val="00075953"/>
    <w:rsid w:val="00077EAB"/>
    <w:rsid w:val="00077F33"/>
    <w:rsid w:val="0008191A"/>
    <w:rsid w:val="000909EF"/>
    <w:rsid w:val="000976CB"/>
    <w:rsid w:val="000A30E8"/>
    <w:rsid w:val="000B178E"/>
    <w:rsid w:val="000C4503"/>
    <w:rsid w:val="000D1779"/>
    <w:rsid w:val="000D42B9"/>
    <w:rsid w:val="000F0A33"/>
    <w:rsid w:val="000F1B9D"/>
    <w:rsid w:val="000F5FF2"/>
    <w:rsid w:val="00102A06"/>
    <w:rsid w:val="0010339A"/>
    <w:rsid w:val="00103E93"/>
    <w:rsid w:val="00117BF6"/>
    <w:rsid w:val="00121DFD"/>
    <w:rsid w:val="0012372B"/>
    <w:rsid w:val="00124DD3"/>
    <w:rsid w:val="001251B0"/>
    <w:rsid w:val="00126634"/>
    <w:rsid w:val="00144760"/>
    <w:rsid w:val="00144B66"/>
    <w:rsid w:val="00145A8D"/>
    <w:rsid w:val="001463CD"/>
    <w:rsid w:val="00146FFE"/>
    <w:rsid w:val="00160FB3"/>
    <w:rsid w:val="00166C00"/>
    <w:rsid w:val="00167E40"/>
    <w:rsid w:val="001734FF"/>
    <w:rsid w:val="001854EB"/>
    <w:rsid w:val="00186DAB"/>
    <w:rsid w:val="001A1B73"/>
    <w:rsid w:val="001A2113"/>
    <w:rsid w:val="001B0587"/>
    <w:rsid w:val="001B5133"/>
    <w:rsid w:val="001D43C8"/>
    <w:rsid w:val="001D5C28"/>
    <w:rsid w:val="001D6874"/>
    <w:rsid w:val="001E60E6"/>
    <w:rsid w:val="00201264"/>
    <w:rsid w:val="002027E3"/>
    <w:rsid w:val="0020488E"/>
    <w:rsid w:val="0020624F"/>
    <w:rsid w:val="0021575A"/>
    <w:rsid w:val="002208A0"/>
    <w:rsid w:val="00224D7C"/>
    <w:rsid w:val="00225902"/>
    <w:rsid w:val="002352DA"/>
    <w:rsid w:val="00243CFE"/>
    <w:rsid w:val="00245601"/>
    <w:rsid w:val="00263342"/>
    <w:rsid w:val="002728AA"/>
    <w:rsid w:val="00275214"/>
    <w:rsid w:val="0028328C"/>
    <w:rsid w:val="0028338C"/>
    <w:rsid w:val="002902D4"/>
    <w:rsid w:val="00292BE1"/>
    <w:rsid w:val="002938E2"/>
    <w:rsid w:val="00296E76"/>
    <w:rsid w:val="002A3BF6"/>
    <w:rsid w:val="002A44B6"/>
    <w:rsid w:val="002B01B8"/>
    <w:rsid w:val="002B0789"/>
    <w:rsid w:val="002B1BDC"/>
    <w:rsid w:val="002B2646"/>
    <w:rsid w:val="002B2A2B"/>
    <w:rsid w:val="002B55D5"/>
    <w:rsid w:val="002B7B13"/>
    <w:rsid w:val="002C0ECA"/>
    <w:rsid w:val="002E241A"/>
    <w:rsid w:val="002E26C1"/>
    <w:rsid w:val="002E64AD"/>
    <w:rsid w:val="002E6CC1"/>
    <w:rsid w:val="002F2F65"/>
    <w:rsid w:val="002F7493"/>
    <w:rsid w:val="00301E35"/>
    <w:rsid w:val="00303102"/>
    <w:rsid w:val="00306C63"/>
    <w:rsid w:val="00307C4F"/>
    <w:rsid w:val="00327666"/>
    <w:rsid w:val="0033599C"/>
    <w:rsid w:val="00340236"/>
    <w:rsid w:val="003501DF"/>
    <w:rsid w:val="00350FB1"/>
    <w:rsid w:val="00351B1A"/>
    <w:rsid w:val="003528FA"/>
    <w:rsid w:val="003553FB"/>
    <w:rsid w:val="0035554C"/>
    <w:rsid w:val="00355FB1"/>
    <w:rsid w:val="00357BA1"/>
    <w:rsid w:val="00360C67"/>
    <w:rsid w:val="00360DC8"/>
    <w:rsid w:val="00361A5A"/>
    <w:rsid w:val="00365188"/>
    <w:rsid w:val="0036529B"/>
    <w:rsid w:val="0037776B"/>
    <w:rsid w:val="003901EA"/>
    <w:rsid w:val="003A3368"/>
    <w:rsid w:val="003A36F0"/>
    <w:rsid w:val="003B2271"/>
    <w:rsid w:val="003C0DB7"/>
    <w:rsid w:val="003C2E22"/>
    <w:rsid w:val="003C44D4"/>
    <w:rsid w:val="003D00C4"/>
    <w:rsid w:val="003E148F"/>
    <w:rsid w:val="003E1ADA"/>
    <w:rsid w:val="003E42B4"/>
    <w:rsid w:val="003E51E6"/>
    <w:rsid w:val="003F2930"/>
    <w:rsid w:val="003F330A"/>
    <w:rsid w:val="003F494B"/>
    <w:rsid w:val="003F6C96"/>
    <w:rsid w:val="004150F4"/>
    <w:rsid w:val="0042380C"/>
    <w:rsid w:val="00423B38"/>
    <w:rsid w:val="00426788"/>
    <w:rsid w:val="0042678F"/>
    <w:rsid w:val="00427B95"/>
    <w:rsid w:val="004378A6"/>
    <w:rsid w:val="00440469"/>
    <w:rsid w:val="00446945"/>
    <w:rsid w:val="00447C9A"/>
    <w:rsid w:val="004535B6"/>
    <w:rsid w:val="00464014"/>
    <w:rsid w:val="004641C0"/>
    <w:rsid w:val="0046589D"/>
    <w:rsid w:val="00465B39"/>
    <w:rsid w:val="004754A9"/>
    <w:rsid w:val="00476D91"/>
    <w:rsid w:val="00490D9A"/>
    <w:rsid w:val="00492C5F"/>
    <w:rsid w:val="0049317C"/>
    <w:rsid w:val="00495E06"/>
    <w:rsid w:val="004A2635"/>
    <w:rsid w:val="004A7E8D"/>
    <w:rsid w:val="004B17EE"/>
    <w:rsid w:val="004B6B10"/>
    <w:rsid w:val="004C0907"/>
    <w:rsid w:val="004D3043"/>
    <w:rsid w:val="004D3B89"/>
    <w:rsid w:val="004E49CD"/>
    <w:rsid w:val="004E67EA"/>
    <w:rsid w:val="004F6592"/>
    <w:rsid w:val="004F7088"/>
    <w:rsid w:val="00500479"/>
    <w:rsid w:val="00502D2D"/>
    <w:rsid w:val="0050500F"/>
    <w:rsid w:val="00515CB0"/>
    <w:rsid w:val="00517A16"/>
    <w:rsid w:val="0052098A"/>
    <w:rsid w:val="00531CCC"/>
    <w:rsid w:val="00537931"/>
    <w:rsid w:val="00540319"/>
    <w:rsid w:val="00541D51"/>
    <w:rsid w:val="00542CE6"/>
    <w:rsid w:val="0055238D"/>
    <w:rsid w:val="00554768"/>
    <w:rsid w:val="005666E5"/>
    <w:rsid w:val="005673D0"/>
    <w:rsid w:val="00572A80"/>
    <w:rsid w:val="0057364C"/>
    <w:rsid w:val="005749D3"/>
    <w:rsid w:val="00580A20"/>
    <w:rsid w:val="00580FC2"/>
    <w:rsid w:val="00582E5F"/>
    <w:rsid w:val="0058767B"/>
    <w:rsid w:val="00597909"/>
    <w:rsid w:val="005A6DE2"/>
    <w:rsid w:val="005A75C5"/>
    <w:rsid w:val="005B5101"/>
    <w:rsid w:val="005C15A0"/>
    <w:rsid w:val="005D1678"/>
    <w:rsid w:val="005E02BE"/>
    <w:rsid w:val="005E0FA9"/>
    <w:rsid w:val="005E302D"/>
    <w:rsid w:val="005F0C36"/>
    <w:rsid w:val="005F12EF"/>
    <w:rsid w:val="0060049B"/>
    <w:rsid w:val="00602A71"/>
    <w:rsid w:val="0060770E"/>
    <w:rsid w:val="00610075"/>
    <w:rsid w:val="00622419"/>
    <w:rsid w:val="00625B60"/>
    <w:rsid w:val="006315DD"/>
    <w:rsid w:val="00632DC2"/>
    <w:rsid w:val="00633038"/>
    <w:rsid w:val="006354D7"/>
    <w:rsid w:val="0063669B"/>
    <w:rsid w:val="006505E0"/>
    <w:rsid w:val="006541A8"/>
    <w:rsid w:val="00654ACC"/>
    <w:rsid w:val="00657FB6"/>
    <w:rsid w:val="00664F48"/>
    <w:rsid w:val="006678E8"/>
    <w:rsid w:val="00672E90"/>
    <w:rsid w:val="00673734"/>
    <w:rsid w:val="00686D2B"/>
    <w:rsid w:val="00687FBC"/>
    <w:rsid w:val="006A067A"/>
    <w:rsid w:val="006A1D9E"/>
    <w:rsid w:val="006A325F"/>
    <w:rsid w:val="006A667E"/>
    <w:rsid w:val="006B48EB"/>
    <w:rsid w:val="006C19CB"/>
    <w:rsid w:val="006D03BE"/>
    <w:rsid w:val="006D26AB"/>
    <w:rsid w:val="006D6685"/>
    <w:rsid w:val="006E1792"/>
    <w:rsid w:val="006F5892"/>
    <w:rsid w:val="006F64A4"/>
    <w:rsid w:val="007017E7"/>
    <w:rsid w:val="007039CB"/>
    <w:rsid w:val="00710157"/>
    <w:rsid w:val="007115FB"/>
    <w:rsid w:val="007124AA"/>
    <w:rsid w:val="00716C6D"/>
    <w:rsid w:val="00725DDA"/>
    <w:rsid w:val="00733894"/>
    <w:rsid w:val="00735A06"/>
    <w:rsid w:val="00741557"/>
    <w:rsid w:val="00741E42"/>
    <w:rsid w:val="00742709"/>
    <w:rsid w:val="007452A5"/>
    <w:rsid w:val="00745846"/>
    <w:rsid w:val="007459E6"/>
    <w:rsid w:val="00751F1F"/>
    <w:rsid w:val="00753D25"/>
    <w:rsid w:val="00754887"/>
    <w:rsid w:val="00756918"/>
    <w:rsid w:val="00760015"/>
    <w:rsid w:val="00771357"/>
    <w:rsid w:val="00771EAF"/>
    <w:rsid w:val="00775386"/>
    <w:rsid w:val="00776AE7"/>
    <w:rsid w:val="00776EFD"/>
    <w:rsid w:val="007772BE"/>
    <w:rsid w:val="0078508F"/>
    <w:rsid w:val="00785240"/>
    <w:rsid w:val="00786C42"/>
    <w:rsid w:val="00792E78"/>
    <w:rsid w:val="00792F32"/>
    <w:rsid w:val="00796122"/>
    <w:rsid w:val="007A7199"/>
    <w:rsid w:val="007A79F5"/>
    <w:rsid w:val="007B0357"/>
    <w:rsid w:val="007B262C"/>
    <w:rsid w:val="007B456C"/>
    <w:rsid w:val="007B546E"/>
    <w:rsid w:val="007B5C55"/>
    <w:rsid w:val="007B7E4F"/>
    <w:rsid w:val="007D4FE4"/>
    <w:rsid w:val="007D77B7"/>
    <w:rsid w:val="007E0408"/>
    <w:rsid w:val="007E09E7"/>
    <w:rsid w:val="007F1486"/>
    <w:rsid w:val="007F4AE1"/>
    <w:rsid w:val="007F52AB"/>
    <w:rsid w:val="007F6184"/>
    <w:rsid w:val="00805427"/>
    <w:rsid w:val="0081516E"/>
    <w:rsid w:val="00816923"/>
    <w:rsid w:val="0082243B"/>
    <w:rsid w:val="008360C4"/>
    <w:rsid w:val="00847B94"/>
    <w:rsid w:val="00852BE1"/>
    <w:rsid w:val="00853A90"/>
    <w:rsid w:val="00862441"/>
    <w:rsid w:val="0086423A"/>
    <w:rsid w:val="00864F4E"/>
    <w:rsid w:val="0087654E"/>
    <w:rsid w:val="00883F20"/>
    <w:rsid w:val="00885582"/>
    <w:rsid w:val="0089539C"/>
    <w:rsid w:val="00897728"/>
    <w:rsid w:val="008A06B0"/>
    <w:rsid w:val="008B628E"/>
    <w:rsid w:val="008B6C58"/>
    <w:rsid w:val="008C118A"/>
    <w:rsid w:val="008C277E"/>
    <w:rsid w:val="008C76A1"/>
    <w:rsid w:val="008D3791"/>
    <w:rsid w:val="008D3CF7"/>
    <w:rsid w:val="008D4E5D"/>
    <w:rsid w:val="008E1D2B"/>
    <w:rsid w:val="008E3728"/>
    <w:rsid w:val="008F5724"/>
    <w:rsid w:val="008F5B18"/>
    <w:rsid w:val="008F5C11"/>
    <w:rsid w:val="00900F83"/>
    <w:rsid w:val="00901C36"/>
    <w:rsid w:val="0090213D"/>
    <w:rsid w:val="0090241F"/>
    <w:rsid w:val="009155ED"/>
    <w:rsid w:val="00916AA0"/>
    <w:rsid w:val="00917132"/>
    <w:rsid w:val="009347EF"/>
    <w:rsid w:val="0094053B"/>
    <w:rsid w:val="00946799"/>
    <w:rsid w:val="00960A9E"/>
    <w:rsid w:val="00960DC3"/>
    <w:rsid w:val="00962099"/>
    <w:rsid w:val="00962844"/>
    <w:rsid w:val="00964745"/>
    <w:rsid w:val="00970679"/>
    <w:rsid w:val="00973331"/>
    <w:rsid w:val="00975778"/>
    <w:rsid w:val="00975A1A"/>
    <w:rsid w:val="00977465"/>
    <w:rsid w:val="009779FA"/>
    <w:rsid w:val="0098039F"/>
    <w:rsid w:val="009860D7"/>
    <w:rsid w:val="00993CD9"/>
    <w:rsid w:val="00996498"/>
    <w:rsid w:val="00997660"/>
    <w:rsid w:val="009A5548"/>
    <w:rsid w:val="009A599D"/>
    <w:rsid w:val="009A7124"/>
    <w:rsid w:val="009B2D30"/>
    <w:rsid w:val="009B4423"/>
    <w:rsid w:val="009B4D34"/>
    <w:rsid w:val="009B73A4"/>
    <w:rsid w:val="009C2BBA"/>
    <w:rsid w:val="009C5C46"/>
    <w:rsid w:val="009C6901"/>
    <w:rsid w:val="009C6C99"/>
    <w:rsid w:val="009C75A9"/>
    <w:rsid w:val="009E0E94"/>
    <w:rsid w:val="009E3F00"/>
    <w:rsid w:val="009E4786"/>
    <w:rsid w:val="009F3120"/>
    <w:rsid w:val="00A02659"/>
    <w:rsid w:val="00A069AD"/>
    <w:rsid w:val="00A07FB3"/>
    <w:rsid w:val="00A12391"/>
    <w:rsid w:val="00A16E23"/>
    <w:rsid w:val="00A23871"/>
    <w:rsid w:val="00A2633F"/>
    <w:rsid w:val="00A27FD0"/>
    <w:rsid w:val="00A3263F"/>
    <w:rsid w:val="00A45010"/>
    <w:rsid w:val="00A509A9"/>
    <w:rsid w:val="00A51D8D"/>
    <w:rsid w:val="00A51D9B"/>
    <w:rsid w:val="00A53E49"/>
    <w:rsid w:val="00A6267C"/>
    <w:rsid w:val="00A637D7"/>
    <w:rsid w:val="00A638A2"/>
    <w:rsid w:val="00A6604F"/>
    <w:rsid w:val="00A6614D"/>
    <w:rsid w:val="00A70488"/>
    <w:rsid w:val="00A71B59"/>
    <w:rsid w:val="00A7207C"/>
    <w:rsid w:val="00A8494F"/>
    <w:rsid w:val="00A86C1E"/>
    <w:rsid w:val="00A92638"/>
    <w:rsid w:val="00AA0C14"/>
    <w:rsid w:val="00AA62A9"/>
    <w:rsid w:val="00AB4ADA"/>
    <w:rsid w:val="00AB612C"/>
    <w:rsid w:val="00AC348A"/>
    <w:rsid w:val="00AD2869"/>
    <w:rsid w:val="00AD5749"/>
    <w:rsid w:val="00AD6188"/>
    <w:rsid w:val="00AD6C47"/>
    <w:rsid w:val="00AF1840"/>
    <w:rsid w:val="00AF7680"/>
    <w:rsid w:val="00B01503"/>
    <w:rsid w:val="00B04B22"/>
    <w:rsid w:val="00B06449"/>
    <w:rsid w:val="00B07427"/>
    <w:rsid w:val="00B15863"/>
    <w:rsid w:val="00B17302"/>
    <w:rsid w:val="00B24521"/>
    <w:rsid w:val="00B25627"/>
    <w:rsid w:val="00B35269"/>
    <w:rsid w:val="00B365C8"/>
    <w:rsid w:val="00B46BA1"/>
    <w:rsid w:val="00B5035F"/>
    <w:rsid w:val="00B56B4C"/>
    <w:rsid w:val="00B57C13"/>
    <w:rsid w:val="00B60D8F"/>
    <w:rsid w:val="00B61747"/>
    <w:rsid w:val="00B62C3F"/>
    <w:rsid w:val="00B72230"/>
    <w:rsid w:val="00B7380E"/>
    <w:rsid w:val="00B76D93"/>
    <w:rsid w:val="00B77474"/>
    <w:rsid w:val="00B80E4A"/>
    <w:rsid w:val="00B83B29"/>
    <w:rsid w:val="00B85AB3"/>
    <w:rsid w:val="00B87A80"/>
    <w:rsid w:val="00B91C0D"/>
    <w:rsid w:val="00B94498"/>
    <w:rsid w:val="00BA28AF"/>
    <w:rsid w:val="00BA2CDD"/>
    <w:rsid w:val="00BA5676"/>
    <w:rsid w:val="00BB6F46"/>
    <w:rsid w:val="00BB7F84"/>
    <w:rsid w:val="00BC40A5"/>
    <w:rsid w:val="00BC6E0B"/>
    <w:rsid w:val="00BD02F5"/>
    <w:rsid w:val="00BD05A6"/>
    <w:rsid w:val="00BD1CF4"/>
    <w:rsid w:val="00BD666E"/>
    <w:rsid w:val="00BE3F4D"/>
    <w:rsid w:val="00BF4C58"/>
    <w:rsid w:val="00BF5093"/>
    <w:rsid w:val="00BF547F"/>
    <w:rsid w:val="00BF78C3"/>
    <w:rsid w:val="00C00C2B"/>
    <w:rsid w:val="00C01B24"/>
    <w:rsid w:val="00C02328"/>
    <w:rsid w:val="00C148FC"/>
    <w:rsid w:val="00C16BAB"/>
    <w:rsid w:val="00C22ACB"/>
    <w:rsid w:val="00C25EC5"/>
    <w:rsid w:val="00C3626A"/>
    <w:rsid w:val="00C425F2"/>
    <w:rsid w:val="00C44695"/>
    <w:rsid w:val="00C470A8"/>
    <w:rsid w:val="00C50F17"/>
    <w:rsid w:val="00C510FD"/>
    <w:rsid w:val="00C5190F"/>
    <w:rsid w:val="00C51EC8"/>
    <w:rsid w:val="00C52016"/>
    <w:rsid w:val="00C60396"/>
    <w:rsid w:val="00C6433F"/>
    <w:rsid w:val="00C72152"/>
    <w:rsid w:val="00C76B0A"/>
    <w:rsid w:val="00C776E7"/>
    <w:rsid w:val="00C8460F"/>
    <w:rsid w:val="00C97DE9"/>
    <w:rsid w:val="00CA085A"/>
    <w:rsid w:val="00CB13E9"/>
    <w:rsid w:val="00CB3BD2"/>
    <w:rsid w:val="00CB3F57"/>
    <w:rsid w:val="00CB4F13"/>
    <w:rsid w:val="00CC44BD"/>
    <w:rsid w:val="00CC4801"/>
    <w:rsid w:val="00CC488B"/>
    <w:rsid w:val="00CC4F9B"/>
    <w:rsid w:val="00CC69C5"/>
    <w:rsid w:val="00CD520D"/>
    <w:rsid w:val="00CE13D9"/>
    <w:rsid w:val="00CE6165"/>
    <w:rsid w:val="00CF0728"/>
    <w:rsid w:val="00CF2AA6"/>
    <w:rsid w:val="00CF4508"/>
    <w:rsid w:val="00D038A1"/>
    <w:rsid w:val="00D069AA"/>
    <w:rsid w:val="00D07EBA"/>
    <w:rsid w:val="00D10059"/>
    <w:rsid w:val="00D1178A"/>
    <w:rsid w:val="00D12AB4"/>
    <w:rsid w:val="00D2106E"/>
    <w:rsid w:val="00D210FC"/>
    <w:rsid w:val="00D2127A"/>
    <w:rsid w:val="00D2774F"/>
    <w:rsid w:val="00D27BFC"/>
    <w:rsid w:val="00D52546"/>
    <w:rsid w:val="00D55F7E"/>
    <w:rsid w:val="00D62EF0"/>
    <w:rsid w:val="00D65B41"/>
    <w:rsid w:val="00D67A74"/>
    <w:rsid w:val="00D67DF7"/>
    <w:rsid w:val="00D72EB0"/>
    <w:rsid w:val="00D75FC5"/>
    <w:rsid w:val="00D80630"/>
    <w:rsid w:val="00D86E7A"/>
    <w:rsid w:val="00D912FA"/>
    <w:rsid w:val="00D92FEC"/>
    <w:rsid w:val="00D95D76"/>
    <w:rsid w:val="00DA030C"/>
    <w:rsid w:val="00DA072B"/>
    <w:rsid w:val="00DA29BA"/>
    <w:rsid w:val="00DB11C4"/>
    <w:rsid w:val="00DB3619"/>
    <w:rsid w:val="00DB44F6"/>
    <w:rsid w:val="00DC14E5"/>
    <w:rsid w:val="00DD3547"/>
    <w:rsid w:val="00DD5EF5"/>
    <w:rsid w:val="00DE591A"/>
    <w:rsid w:val="00DF2801"/>
    <w:rsid w:val="00DF5658"/>
    <w:rsid w:val="00DF5CD7"/>
    <w:rsid w:val="00E004FF"/>
    <w:rsid w:val="00E05185"/>
    <w:rsid w:val="00E1285D"/>
    <w:rsid w:val="00E15D61"/>
    <w:rsid w:val="00E263FD"/>
    <w:rsid w:val="00E3558D"/>
    <w:rsid w:val="00E415B1"/>
    <w:rsid w:val="00E41C86"/>
    <w:rsid w:val="00E522D9"/>
    <w:rsid w:val="00E52A68"/>
    <w:rsid w:val="00E53A08"/>
    <w:rsid w:val="00E57C7F"/>
    <w:rsid w:val="00E63732"/>
    <w:rsid w:val="00E651CB"/>
    <w:rsid w:val="00E73AA9"/>
    <w:rsid w:val="00E775E1"/>
    <w:rsid w:val="00E81936"/>
    <w:rsid w:val="00E8213C"/>
    <w:rsid w:val="00E82B51"/>
    <w:rsid w:val="00E82CD2"/>
    <w:rsid w:val="00E918B5"/>
    <w:rsid w:val="00E919FB"/>
    <w:rsid w:val="00E938CC"/>
    <w:rsid w:val="00E94E99"/>
    <w:rsid w:val="00E964AF"/>
    <w:rsid w:val="00E969CE"/>
    <w:rsid w:val="00E97EB4"/>
    <w:rsid w:val="00EA6152"/>
    <w:rsid w:val="00EB291F"/>
    <w:rsid w:val="00EB2EB4"/>
    <w:rsid w:val="00EB40B9"/>
    <w:rsid w:val="00EB50CC"/>
    <w:rsid w:val="00EB5FBB"/>
    <w:rsid w:val="00EC29E7"/>
    <w:rsid w:val="00EC4A1E"/>
    <w:rsid w:val="00EC770F"/>
    <w:rsid w:val="00ED1608"/>
    <w:rsid w:val="00ED1939"/>
    <w:rsid w:val="00ED336D"/>
    <w:rsid w:val="00EE1A03"/>
    <w:rsid w:val="00EE5583"/>
    <w:rsid w:val="00EE566A"/>
    <w:rsid w:val="00EF0B67"/>
    <w:rsid w:val="00EF225F"/>
    <w:rsid w:val="00F0069C"/>
    <w:rsid w:val="00F018E5"/>
    <w:rsid w:val="00F01CAC"/>
    <w:rsid w:val="00F050F3"/>
    <w:rsid w:val="00F142CB"/>
    <w:rsid w:val="00F201ED"/>
    <w:rsid w:val="00F23014"/>
    <w:rsid w:val="00F2625C"/>
    <w:rsid w:val="00F309A0"/>
    <w:rsid w:val="00F34749"/>
    <w:rsid w:val="00F3482C"/>
    <w:rsid w:val="00F50AA6"/>
    <w:rsid w:val="00F53952"/>
    <w:rsid w:val="00F54973"/>
    <w:rsid w:val="00F56A16"/>
    <w:rsid w:val="00F6187B"/>
    <w:rsid w:val="00F61E3D"/>
    <w:rsid w:val="00F666C1"/>
    <w:rsid w:val="00F67384"/>
    <w:rsid w:val="00F80A20"/>
    <w:rsid w:val="00F82954"/>
    <w:rsid w:val="00F90F68"/>
    <w:rsid w:val="00F940FE"/>
    <w:rsid w:val="00F950F0"/>
    <w:rsid w:val="00F95D79"/>
    <w:rsid w:val="00FA69B3"/>
    <w:rsid w:val="00FB04FA"/>
    <w:rsid w:val="00FB22F4"/>
    <w:rsid w:val="00FB31CE"/>
    <w:rsid w:val="00FB5191"/>
    <w:rsid w:val="00FB65BF"/>
    <w:rsid w:val="00FC0EF9"/>
    <w:rsid w:val="00FC769B"/>
    <w:rsid w:val="00FD4C18"/>
    <w:rsid w:val="00FD6E50"/>
    <w:rsid w:val="00FE36FC"/>
    <w:rsid w:val="00FE3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Indent1"/>
    <w:qFormat/>
    <w:rsid w:val="006A325F"/>
    <w:pPr>
      <w:spacing w:after="0" w:line="360" w:lineRule="auto"/>
      <w:jc w:val="both"/>
    </w:pPr>
    <w:rPr>
      <w:rFonts w:ascii="Minion Pro" w:hAnsi="Minion Pro"/>
      <w:kern w:val="2"/>
    </w:rPr>
  </w:style>
  <w:style w:type="paragraph" w:styleId="Heading1">
    <w:name w:val="heading 1"/>
    <w:basedOn w:val="Normal"/>
    <w:next w:val="Normal"/>
    <w:link w:val="Heading1Char"/>
    <w:uiPriority w:val="9"/>
    <w:qFormat/>
    <w:rsid w:val="009E3F00"/>
    <w:pPr>
      <w:keepNext/>
      <w:keepLines/>
      <w:spacing w:before="300" w:after="140" w:line="240" w:lineRule="auto"/>
      <w:outlineLvl w:val="0"/>
    </w:pPr>
    <w:rPr>
      <w:rFonts w:ascii="Corbel" w:eastAsiaTheme="majorEastAsia" w:hAnsi="Corbel" w:cstheme="majorBidi"/>
      <w:b/>
      <w:bCs/>
      <w:color w:val="244061" w:themeColor="accent1" w:themeShade="80"/>
      <w:sz w:val="30"/>
      <w:szCs w:val="28"/>
    </w:rPr>
  </w:style>
  <w:style w:type="paragraph" w:styleId="Heading2">
    <w:name w:val="heading 2"/>
    <w:basedOn w:val="Normal"/>
    <w:next w:val="Normal"/>
    <w:link w:val="Heading2Char"/>
    <w:uiPriority w:val="9"/>
    <w:unhideWhenUsed/>
    <w:qFormat/>
    <w:rsid w:val="003E42B4"/>
    <w:pPr>
      <w:keepNext/>
      <w:keepLines/>
      <w:spacing w:before="200"/>
      <w:jc w:val="left"/>
      <w:outlineLvl w:val="1"/>
    </w:pPr>
    <w:rPr>
      <w:rFonts w:ascii="Corbel" w:eastAsiaTheme="majorEastAsia" w:hAnsi="Corbel" w:cstheme="majorBidi"/>
      <w:b/>
      <w:bCs/>
      <w:i/>
      <w:color w:val="595959" w:themeColor="text1" w:themeTint="A6"/>
      <w:sz w:val="26"/>
      <w:szCs w:val="26"/>
    </w:rPr>
  </w:style>
  <w:style w:type="paragraph" w:styleId="Heading3">
    <w:name w:val="heading 3"/>
    <w:basedOn w:val="Normal"/>
    <w:next w:val="Normal"/>
    <w:link w:val="Heading3Char"/>
    <w:uiPriority w:val="9"/>
    <w:unhideWhenUsed/>
    <w:qFormat/>
    <w:rsid w:val="00CB3F57"/>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C22AC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9539C"/>
    <w:pPr>
      <w:spacing w:before="480" w:after="300" w:line="240" w:lineRule="auto"/>
      <w:contextualSpacing/>
      <w:jc w:val="left"/>
    </w:pPr>
    <w:rPr>
      <w:rFonts w:ascii="Leitura Sans Grot 3" w:eastAsiaTheme="majorEastAsia" w:hAnsi="Leitura Sans Grot 3" w:cstheme="majorBidi"/>
      <w:kern w:val="28"/>
      <w:sz w:val="34"/>
      <w:szCs w:val="52"/>
    </w:rPr>
  </w:style>
  <w:style w:type="character" w:customStyle="1" w:styleId="TitleChar">
    <w:name w:val="Title Char"/>
    <w:basedOn w:val="DefaultParagraphFont"/>
    <w:link w:val="Title"/>
    <w:uiPriority w:val="10"/>
    <w:rsid w:val="0089539C"/>
    <w:rPr>
      <w:rFonts w:ascii="Leitura Sans Grot 3" w:eastAsiaTheme="majorEastAsia" w:hAnsi="Leitura Sans Grot 3" w:cstheme="majorBidi"/>
      <w:kern w:val="28"/>
      <w:sz w:val="34"/>
      <w:szCs w:val="52"/>
    </w:rPr>
  </w:style>
  <w:style w:type="paragraph" w:customStyle="1" w:styleId="NamesTitlePage">
    <w:name w:val="Names Title Page"/>
    <w:basedOn w:val="Normal"/>
    <w:qFormat/>
    <w:rsid w:val="0058767B"/>
    <w:pPr>
      <w:spacing w:after="180" w:line="280" w:lineRule="exact"/>
      <w:ind w:left="1701"/>
    </w:pPr>
    <w:rPr>
      <w:i/>
      <w:lang w:val="de-DE"/>
    </w:rPr>
  </w:style>
  <w:style w:type="character" w:customStyle="1" w:styleId="Heading1Char">
    <w:name w:val="Heading 1 Char"/>
    <w:basedOn w:val="DefaultParagraphFont"/>
    <w:link w:val="Heading1"/>
    <w:uiPriority w:val="9"/>
    <w:rsid w:val="009E3F00"/>
    <w:rPr>
      <w:rFonts w:ascii="Corbel" w:eastAsiaTheme="majorEastAsia" w:hAnsi="Corbel" w:cstheme="majorBidi"/>
      <w:b/>
      <w:bCs/>
      <w:color w:val="244061" w:themeColor="accent1" w:themeShade="80"/>
      <w:kern w:val="2"/>
      <w:sz w:val="30"/>
      <w:szCs w:val="28"/>
    </w:rPr>
  </w:style>
  <w:style w:type="paragraph" w:customStyle="1" w:styleId="NormalIndent1">
    <w:name w:val="Normal Indent1"/>
    <w:basedOn w:val="Normal"/>
    <w:qFormat/>
    <w:rsid w:val="007115FB"/>
    <w:pPr>
      <w:ind w:firstLine="380"/>
    </w:pPr>
  </w:style>
  <w:style w:type="character" w:styleId="Hyperlink">
    <w:name w:val="Hyperlink"/>
    <w:basedOn w:val="DefaultParagraphFont"/>
    <w:uiPriority w:val="99"/>
    <w:unhideWhenUsed/>
    <w:rsid w:val="00145A8D"/>
    <w:rPr>
      <w:color w:val="0000FF" w:themeColor="hyperlink"/>
      <w:u w:val="single"/>
    </w:rPr>
  </w:style>
  <w:style w:type="paragraph" w:styleId="Header">
    <w:name w:val="header"/>
    <w:basedOn w:val="Normal"/>
    <w:link w:val="HeaderChar"/>
    <w:uiPriority w:val="99"/>
    <w:unhideWhenUsed/>
    <w:rsid w:val="00144760"/>
    <w:pPr>
      <w:tabs>
        <w:tab w:val="center" w:pos="4513"/>
        <w:tab w:val="right" w:pos="9026"/>
      </w:tabs>
      <w:spacing w:line="240" w:lineRule="auto"/>
    </w:pPr>
  </w:style>
  <w:style w:type="character" w:customStyle="1" w:styleId="HeaderChar">
    <w:name w:val="Header Char"/>
    <w:basedOn w:val="DefaultParagraphFont"/>
    <w:link w:val="Header"/>
    <w:uiPriority w:val="99"/>
    <w:rsid w:val="00144760"/>
    <w:rPr>
      <w:rFonts w:ascii="Karmina Rg" w:hAnsi="Karmina Rg"/>
      <w:kern w:val="2"/>
    </w:rPr>
  </w:style>
  <w:style w:type="paragraph" w:styleId="Footer">
    <w:name w:val="footer"/>
    <w:basedOn w:val="Normal"/>
    <w:link w:val="FooterChar"/>
    <w:uiPriority w:val="99"/>
    <w:unhideWhenUsed/>
    <w:rsid w:val="00144760"/>
    <w:pPr>
      <w:tabs>
        <w:tab w:val="center" w:pos="4513"/>
        <w:tab w:val="right" w:pos="9026"/>
      </w:tabs>
      <w:spacing w:line="240" w:lineRule="auto"/>
    </w:pPr>
  </w:style>
  <w:style w:type="character" w:customStyle="1" w:styleId="FooterChar">
    <w:name w:val="Footer Char"/>
    <w:basedOn w:val="DefaultParagraphFont"/>
    <w:link w:val="Footer"/>
    <w:uiPriority w:val="99"/>
    <w:rsid w:val="00144760"/>
    <w:rPr>
      <w:rFonts w:ascii="Karmina Rg" w:hAnsi="Karmina Rg"/>
      <w:kern w:val="2"/>
    </w:rPr>
  </w:style>
  <w:style w:type="character" w:customStyle="1" w:styleId="Heading2Char">
    <w:name w:val="Heading 2 Char"/>
    <w:basedOn w:val="DefaultParagraphFont"/>
    <w:link w:val="Heading2"/>
    <w:uiPriority w:val="9"/>
    <w:rsid w:val="003E42B4"/>
    <w:rPr>
      <w:rFonts w:ascii="Corbel" w:eastAsiaTheme="majorEastAsia" w:hAnsi="Corbel" w:cstheme="majorBidi"/>
      <w:b/>
      <w:bCs/>
      <w:i/>
      <w:color w:val="595959" w:themeColor="text1" w:themeTint="A6"/>
      <w:kern w:val="2"/>
      <w:sz w:val="26"/>
      <w:szCs w:val="26"/>
    </w:rPr>
  </w:style>
  <w:style w:type="character" w:customStyle="1" w:styleId="Heading3Char">
    <w:name w:val="Heading 3 Char"/>
    <w:basedOn w:val="DefaultParagraphFont"/>
    <w:link w:val="Heading3"/>
    <w:uiPriority w:val="9"/>
    <w:rsid w:val="00CB3F57"/>
    <w:rPr>
      <w:rFonts w:asciiTheme="majorHAnsi" w:eastAsiaTheme="majorEastAsia" w:hAnsiTheme="majorHAnsi" w:cstheme="majorBidi"/>
      <w:b/>
      <w:bCs/>
      <w:color w:val="4F81BD" w:themeColor="accent1"/>
      <w:kern w:val="2"/>
    </w:rPr>
  </w:style>
  <w:style w:type="paragraph" w:styleId="Bibliography">
    <w:name w:val="Bibliography"/>
    <w:basedOn w:val="Normal"/>
    <w:next w:val="Normal"/>
    <w:uiPriority w:val="37"/>
    <w:unhideWhenUsed/>
    <w:rsid w:val="00E82CD2"/>
    <w:pPr>
      <w:spacing w:after="240" w:line="240" w:lineRule="auto"/>
      <w:ind w:left="720" w:hanging="720"/>
      <w:jc w:val="left"/>
    </w:pPr>
    <w:rPr>
      <w:sz w:val="18"/>
    </w:rPr>
  </w:style>
  <w:style w:type="paragraph" w:customStyle="1" w:styleId="References">
    <w:name w:val="References"/>
    <w:basedOn w:val="Normal"/>
    <w:qFormat/>
    <w:rsid w:val="0050500F"/>
    <w:pPr>
      <w:spacing w:after="120" w:line="276" w:lineRule="auto"/>
      <w:ind w:left="567" w:hanging="567"/>
      <w:jc w:val="left"/>
    </w:pPr>
    <w:rPr>
      <w:sz w:val="18"/>
    </w:rPr>
  </w:style>
  <w:style w:type="table" w:styleId="TableGrid">
    <w:name w:val="Table Grid"/>
    <w:basedOn w:val="TableNormal"/>
    <w:uiPriority w:val="59"/>
    <w:rsid w:val="00A23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copy">
    <w:name w:val="Table body copy"/>
    <w:basedOn w:val="Normal"/>
    <w:qFormat/>
    <w:rsid w:val="00D65B41"/>
    <w:pPr>
      <w:spacing w:before="80" w:line="276" w:lineRule="auto"/>
      <w:jc w:val="left"/>
    </w:pPr>
    <w:rPr>
      <w:sz w:val="18"/>
    </w:rPr>
  </w:style>
  <w:style w:type="paragraph" w:customStyle="1" w:styleId="Tableheadings">
    <w:name w:val="Table headings"/>
    <w:basedOn w:val="Tablebodycopy"/>
    <w:qFormat/>
    <w:rsid w:val="001E60E6"/>
    <w:rPr>
      <w:rFonts w:ascii="Leitura Sans Grot 3" w:hAnsi="Leitura Sans Grot 3"/>
      <w:sz w:val="22"/>
    </w:rPr>
  </w:style>
  <w:style w:type="paragraph" w:styleId="BalloonText">
    <w:name w:val="Balloon Text"/>
    <w:basedOn w:val="Normal"/>
    <w:link w:val="BalloonTextChar"/>
    <w:uiPriority w:val="99"/>
    <w:semiHidden/>
    <w:unhideWhenUsed/>
    <w:rsid w:val="0027521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214"/>
    <w:rPr>
      <w:rFonts w:ascii="Tahoma" w:hAnsi="Tahoma" w:cs="Tahoma"/>
      <w:kern w:val="2"/>
      <w:sz w:val="16"/>
      <w:szCs w:val="16"/>
    </w:rPr>
  </w:style>
  <w:style w:type="paragraph" w:customStyle="1" w:styleId="Tablefooter">
    <w:name w:val="Table footer"/>
    <w:basedOn w:val="Normal"/>
    <w:qFormat/>
    <w:rsid w:val="00275214"/>
    <w:pPr>
      <w:spacing w:before="80" w:after="120"/>
      <w:jc w:val="left"/>
    </w:pPr>
    <w:rPr>
      <w:sz w:val="16"/>
    </w:rPr>
  </w:style>
  <w:style w:type="character" w:customStyle="1" w:styleId="Heading5Char">
    <w:name w:val="Heading 5 Char"/>
    <w:basedOn w:val="DefaultParagraphFont"/>
    <w:link w:val="Heading5"/>
    <w:uiPriority w:val="9"/>
    <w:rsid w:val="00C22ACB"/>
    <w:rPr>
      <w:rFonts w:asciiTheme="majorHAnsi" w:eastAsiaTheme="majorEastAsia" w:hAnsiTheme="majorHAnsi" w:cstheme="majorBidi"/>
      <w:color w:val="243F60" w:themeColor="accent1" w:themeShade="7F"/>
      <w:kern w:val="2"/>
    </w:rPr>
  </w:style>
  <w:style w:type="paragraph" w:customStyle="1" w:styleId="Bild">
    <w:name w:val="Bild"/>
    <w:basedOn w:val="Normal"/>
    <w:rsid w:val="00C22ACB"/>
    <w:pPr>
      <w:tabs>
        <w:tab w:val="left" w:pos="284"/>
      </w:tabs>
      <w:spacing w:before="120" w:line="300" w:lineRule="atLeast"/>
      <w:jc w:val="center"/>
    </w:pPr>
    <w:rPr>
      <w:rFonts w:eastAsia="Times New Roman" w:cs="Times New Roman"/>
      <w:kern w:val="20"/>
      <w:szCs w:val="20"/>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Indent1"/>
    <w:qFormat/>
    <w:rsid w:val="006A325F"/>
    <w:pPr>
      <w:spacing w:after="0" w:line="360" w:lineRule="auto"/>
      <w:jc w:val="both"/>
    </w:pPr>
    <w:rPr>
      <w:rFonts w:ascii="Minion Pro" w:hAnsi="Minion Pro"/>
      <w:kern w:val="2"/>
    </w:rPr>
  </w:style>
  <w:style w:type="paragraph" w:styleId="Heading1">
    <w:name w:val="heading 1"/>
    <w:basedOn w:val="Normal"/>
    <w:next w:val="Normal"/>
    <w:link w:val="Heading1Char"/>
    <w:uiPriority w:val="9"/>
    <w:qFormat/>
    <w:rsid w:val="009E3F00"/>
    <w:pPr>
      <w:keepNext/>
      <w:keepLines/>
      <w:spacing w:before="300" w:after="140" w:line="240" w:lineRule="auto"/>
      <w:outlineLvl w:val="0"/>
    </w:pPr>
    <w:rPr>
      <w:rFonts w:ascii="Corbel" w:eastAsiaTheme="majorEastAsia" w:hAnsi="Corbel" w:cstheme="majorBidi"/>
      <w:b/>
      <w:bCs/>
      <w:color w:val="244061" w:themeColor="accent1" w:themeShade="80"/>
      <w:sz w:val="30"/>
      <w:szCs w:val="28"/>
    </w:rPr>
  </w:style>
  <w:style w:type="paragraph" w:styleId="Heading2">
    <w:name w:val="heading 2"/>
    <w:basedOn w:val="Normal"/>
    <w:next w:val="Normal"/>
    <w:link w:val="Heading2Char"/>
    <w:uiPriority w:val="9"/>
    <w:unhideWhenUsed/>
    <w:qFormat/>
    <w:rsid w:val="003E42B4"/>
    <w:pPr>
      <w:keepNext/>
      <w:keepLines/>
      <w:spacing w:before="200"/>
      <w:jc w:val="left"/>
      <w:outlineLvl w:val="1"/>
    </w:pPr>
    <w:rPr>
      <w:rFonts w:ascii="Corbel" w:eastAsiaTheme="majorEastAsia" w:hAnsi="Corbel" w:cstheme="majorBidi"/>
      <w:b/>
      <w:bCs/>
      <w:i/>
      <w:color w:val="595959" w:themeColor="text1" w:themeTint="A6"/>
      <w:sz w:val="26"/>
      <w:szCs w:val="26"/>
    </w:rPr>
  </w:style>
  <w:style w:type="paragraph" w:styleId="Heading3">
    <w:name w:val="heading 3"/>
    <w:basedOn w:val="Normal"/>
    <w:next w:val="Normal"/>
    <w:link w:val="Heading3Char"/>
    <w:uiPriority w:val="9"/>
    <w:unhideWhenUsed/>
    <w:qFormat/>
    <w:rsid w:val="00CB3F57"/>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C22AC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9539C"/>
    <w:pPr>
      <w:spacing w:before="480" w:after="300" w:line="240" w:lineRule="auto"/>
      <w:contextualSpacing/>
      <w:jc w:val="left"/>
    </w:pPr>
    <w:rPr>
      <w:rFonts w:ascii="Leitura Sans Grot 3" w:eastAsiaTheme="majorEastAsia" w:hAnsi="Leitura Sans Grot 3" w:cstheme="majorBidi"/>
      <w:kern w:val="28"/>
      <w:sz w:val="34"/>
      <w:szCs w:val="52"/>
    </w:rPr>
  </w:style>
  <w:style w:type="character" w:customStyle="1" w:styleId="TitleChar">
    <w:name w:val="Title Char"/>
    <w:basedOn w:val="DefaultParagraphFont"/>
    <w:link w:val="Title"/>
    <w:uiPriority w:val="10"/>
    <w:rsid w:val="0089539C"/>
    <w:rPr>
      <w:rFonts w:ascii="Leitura Sans Grot 3" w:eastAsiaTheme="majorEastAsia" w:hAnsi="Leitura Sans Grot 3" w:cstheme="majorBidi"/>
      <w:kern w:val="28"/>
      <w:sz w:val="34"/>
      <w:szCs w:val="52"/>
    </w:rPr>
  </w:style>
  <w:style w:type="paragraph" w:customStyle="1" w:styleId="NamesTitlePage">
    <w:name w:val="Names Title Page"/>
    <w:basedOn w:val="Normal"/>
    <w:qFormat/>
    <w:rsid w:val="0058767B"/>
    <w:pPr>
      <w:spacing w:after="180" w:line="280" w:lineRule="exact"/>
      <w:ind w:left="1701"/>
    </w:pPr>
    <w:rPr>
      <w:i/>
      <w:lang w:val="de-DE"/>
    </w:rPr>
  </w:style>
  <w:style w:type="character" w:customStyle="1" w:styleId="Heading1Char">
    <w:name w:val="Heading 1 Char"/>
    <w:basedOn w:val="DefaultParagraphFont"/>
    <w:link w:val="Heading1"/>
    <w:uiPriority w:val="9"/>
    <w:rsid w:val="009E3F00"/>
    <w:rPr>
      <w:rFonts w:ascii="Corbel" w:eastAsiaTheme="majorEastAsia" w:hAnsi="Corbel" w:cstheme="majorBidi"/>
      <w:b/>
      <w:bCs/>
      <w:color w:val="244061" w:themeColor="accent1" w:themeShade="80"/>
      <w:kern w:val="2"/>
      <w:sz w:val="30"/>
      <w:szCs w:val="28"/>
    </w:rPr>
  </w:style>
  <w:style w:type="paragraph" w:customStyle="1" w:styleId="NormalIndent1">
    <w:name w:val="Normal Indent1"/>
    <w:basedOn w:val="Normal"/>
    <w:qFormat/>
    <w:rsid w:val="007115FB"/>
    <w:pPr>
      <w:ind w:firstLine="380"/>
    </w:pPr>
  </w:style>
  <w:style w:type="character" w:styleId="Hyperlink">
    <w:name w:val="Hyperlink"/>
    <w:basedOn w:val="DefaultParagraphFont"/>
    <w:uiPriority w:val="99"/>
    <w:unhideWhenUsed/>
    <w:rsid w:val="00145A8D"/>
    <w:rPr>
      <w:color w:val="0000FF" w:themeColor="hyperlink"/>
      <w:u w:val="single"/>
    </w:rPr>
  </w:style>
  <w:style w:type="paragraph" w:styleId="Header">
    <w:name w:val="header"/>
    <w:basedOn w:val="Normal"/>
    <w:link w:val="HeaderChar"/>
    <w:uiPriority w:val="99"/>
    <w:unhideWhenUsed/>
    <w:rsid w:val="00144760"/>
    <w:pPr>
      <w:tabs>
        <w:tab w:val="center" w:pos="4513"/>
        <w:tab w:val="right" w:pos="9026"/>
      </w:tabs>
      <w:spacing w:line="240" w:lineRule="auto"/>
    </w:pPr>
  </w:style>
  <w:style w:type="character" w:customStyle="1" w:styleId="HeaderChar">
    <w:name w:val="Header Char"/>
    <w:basedOn w:val="DefaultParagraphFont"/>
    <w:link w:val="Header"/>
    <w:uiPriority w:val="99"/>
    <w:rsid w:val="00144760"/>
    <w:rPr>
      <w:rFonts w:ascii="Karmina Rg" w:hAnsi="Karmina Rg"/>
      <w:kern w:val="2"/>
    </w:rPr>
  </w:style>
  <w:style w:type="paragraph" w:styleId="Footer">
    <w:name w:val="footer"/>
    <w:basedOn w:val="Normal"/>
    <w:link w:val="FooterChar"/>
    <w:uiPriority w:val="99"/>
    <w:unhideWhenUsed/>
    <w:rsid w:val="00144760"/>
    <w:pPr>
      <w:tabs>
        <w:tab w:val="center" w:pos="4513"/>
        <w:tab w:val="right" w:pos="9026"/>
      </w:tabs>
      <w:spacing w:line="240" w:lineRule="auto"/>
    </w:pPr>
  </w:style>
  <w:style w:type="character" w:customStyle="1" w:styleId="FooterChar">
    <w:name w:val="Footer Char"/>
    <w:basedOn w:val="DefaultParagraphFont"/>
    <w:link w:val="Footer"/>
    <w:uiPriority w:val="99"/>
    <w:rsid w:val="00144760"/>
    <w:rPr>
      <w:rFonts w:ascii="Karmina Rg" w:hAnsi="Karmina Rg"/>
      <w:kern w:val="2"/>
    </w:rPr>
  </w:style>
  <w:style w:type="character" w:customStyle="1" w:styleId="Heading2Char">
    <w:name w:val="Heading 2 Char"/>
    <w:basedOn w:val="DefaultParagraphFont"/>
    <w:link w:val="Heading2"/>
    <w:uiPriority w:val="9"/>
    <w:rsid w:val="003E42B4"/>
    <w:rPr>
      <w:rFonts w:ascii="Corbel" w:eastAsiaTheme="majorEastAsia" w:hAnsi="Corbel" w:cstheme="majorBidi"/>
      <w:b/>
      <w:bCs/>
      <w:i/>
      <w:color w:val="595959" w:themeColor="text1" w:themeTint="A6"/>
      <w:kern w:val="2"/>
      <w:sz w:val="26"/>
      <w:szCs w:val="26"/>
    </w:rPr>
  </w:style>
  <w:style w:type="character" w:customStyle="1" w:styleId="Heading3Char">
    <w:name w:val="Heading 3 Char"/>
    <w:basedOn w:val="DefaultParagraphFont"/>
    <w:link w:val="Heading3"/>
    <w:uiPriority w:val="9"/>
    <w:rsid w:val="00CB3F57"/>
    <w:rPr>
      <w:rFonts w:asciiTheme="majorHAnsi" w:eastAsiaTheme="majorEastAsia" w:hAnsiTheme="majorHAnsi" w:cstheme="majorBidi"/>
      <w:b/>
      <w:bCs/>
      <w:color w:val="4F81BD" w:themeColor="accent1"/>
      <w:kern w:val="2"/>
    </w:rPr>
  </w:style>
  <w:style w:type="paragraph" w:styleId="Bibliography">
    <w:name w:val="Bibliography"/>
    <w:basedOn w:val="Normal"/>
    <w:next w:val="Normal"/>
    <w:uiPriority w:val="37"/>
    <w:unhideWhenUsed/>
    <w:rsid w:val="00E82CD2"/>
    <w:pPr>
      <w:spacing w:after="240" w:line="240" w:lineRule="auto"/>
      <w:ind w:left="720" w:hanging="720"/>
      <w:jc w:val="left"/>
    </w:pPr>
    <w:rPr>
      <w:sz w:val="18"/>
    </w:rPr>
  </w:style>
  <w:style w:type="paragraph" w:customStyle="1" w:styleId="References">
    <w:name w:val="References"/>
    <w:basedOn w:val="Normal"/>
    <w:qFormat/>
    <w:rsid w:val="0050500F"/>
    <w:pPr>
      <w:spacing w:after="120" w:line="276" w:lineRule="auto"/>
      <w:ind w:left="567" w:hanging="567"/>
      <w:jc w:val="left"/>
    </w:pPr>
    <w:rPr>
      <w:sz w:val="18"/>
    </w:rPr>
  </w:style>
  <w:style w:type="table" w:styleId="TableGrid">
    <w:name w:val="Table Grid"/>
    <w:basedOn w:val="TableNormal"/>
    <w:uiPriority w:val="59"/>
    <w:rsid w:val="00A23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copy">
    <w:name w:val="Table body copy"/>
    <w:basedOn w:val="Normal"/>
    <w:qFormat/>
    <w:rsid w:val="00D65B41"/>
    <w:pPr>
      <w:spacing w:before="80" w:line="276" w:lineRule="auto"/>
      <w:jc w:val="left"/>
    </w:pPr>
    <w:rPr>
      <w:sz w:val="18"/>
    </w:rPr>
  </w:style>
  <w:style w:type="paragraph" w:customStyle="1" w:styleId="Tableheadings">
    <w:name w:val="Table headings"/>
    <w:basedOn w:val="Tablebodycopy"/>
    <w:qFormat/>
    <w:rsid w:val="001E60E6"/>
    <w:rPr>
      <w:rFonts w:ascii="Leitura Sans Grot 3" w:hAnsi="Leitura Sans Grot 3"/>
      <w:sz w:val="22"/>
    </w:rPr>
  </w:style>
  <w:style w:type="paragraph" w:styleId="BalloonText">
    <w:name w:val="Balloon Text"/>
    <w:basedOn w:val="Normal"/>
    <w:link w:val="BalloonTextChar"/>
    <w:uiPriority w:val="99"/>
    <w:semiHidden/>
    <w:unhideWhenUsed/>
    <w:rsid w:val="0027521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214"/>
    <w:rPr>
      <w:rFonts w:ascii="Tahoma" w:hAnsi="Tahoma" w:cs="Tahoma"/>
      <w:kern w:val="2"/>
      <w:sz w:val="16"/>
      <w:szCs w:val="16"/>
    </w:rPr>
  </w:style>
  <w:style w:type="paragraph" w:customStyle="1" w:styleId="Tablefooter">
    <w:name w:val="Table footer"/>
    <w:basedOn w:val="Normal"/>
    <w:qFormat/>
    <w:rsid w:val="00275214"/>
    <w:pPr>
      <w:spacing w:before="80" w:after="120"/>
      <w:jc w:val="left"/>
    </w:pPr>
    <w:rPr>
      <w:sz w:val="16"/>
    </w:rPr>
  </w:style>
  <w:style w:type="character" w:customStyle="1" w:styleId="Heading5Char">
    <w:name w:val="Heading 5 Char"/>
    <w:basedOn w:val="DefaultParagraphFont"/>
    <w:link w:val="Heading5"/>
    <w:uiPriority w:val="9"/>
    <w:rsid w:val="00C22ACB"/>
    <w:rPr>
      <w:rFonts w:asciiTheme="majorHAnsi" w:eastAsiaTheme="majorEastAsia" w:hAnsiTheme="majorHAnsi" w:cstheme="majorBidi"/>
      <w:color w:val="243F60" w:themeColor="accent1" w:themeShade="7F"/>
      <w:kern w:val="2"/>
    </w:rPr>
  </w:style>
  <w:style w:type="paragraph" w:customStyle="1" w:styleId="Bild">
    <w:name w:val="Bild"/>
    <w:basedOn w:val="Normal"/>
    <w:rsid w:val="00C22ACB"/>
    <w:pPr>
      <w:tabs>
        <w:tab w:val="left" w:pos="284"/>
      </w:tabs>
      <w:spacing w:before="120" w:line="300" w:lineRule="atLeast"/>
      <w:jc w:val="center"/>
    </w:pPr>
    <w:rPr>
      <w:rFonts w:eastAsia="Times New Roman" w:cs="Times New Roman"/>
      <w:kern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90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9B136-D113-47FA-845B-AC7781C53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19968</Words>
  <Characters>113819</Characters>
  <Application>Microsoft Office Word</Application>
  <DocSecurity>0</DocSecurity>
  <Lines>948</Lines>
  <Paragraphs>267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blstcjr</dc:creator>
  <cp:lastModifiedBy>blstcjr</cp:lastModifiedBy>
  <cp:revision>2</cp:revision>
  <cp:lastPrinted>2016-02-12T10:26:00Z</cp:lastPrinted>
  <dcterms:created xsi:type="dcterms:W3CDTF">2016-02-29T10:14:00Z</dcterms:created>
  <dcterms:modified xsi:type="dcterms:W3CDTF">2016-02-29T10:14:00Z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zotero-version="4.0.28.7"&gt;&lt;session id="WEos034F"/&gt;&lt;style id="http://www.zotero.org/styles/current-genetics" hasBibliography="1" bibliographyStyleHasBeenSet="1"/&gt;&lt;prefs&gt;&lt;pref name="fieldType" value="Field"/&gt;&lt;pref name="storeReference</vt:lpwstr>
  </property>
  <property fmtid="{D5CDD505-2E9C-101B-9397-08002B2CF9AE}" pid="3" name="ZOTERO_PREF_2">
    <vt:lpwstr>s" value="true"/&gt;&lt;pref name="automaticJournalAbbreviations" value="true"/&gt;&lt;pref name="noteType" value=""/&gt;&lt;/prefs&gt;&lt;/data&gt;</vt:lpwstr>
  </property>
</Properties>
</file>