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6148" w:type="dxa"/>
        <w:tblInd w:w="-1173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5"/>
        <w:gridCol w:w="1483"/>
        <w:gridCol w:w="1274"/>
        <w:gridCol w:w="1704"/>
        <w:gridCol w:w="1710"/>
        <w:gridCol w:w="2176"/>
        <w:gridCol w:w="1643"/>
        <w:gridCol w:w="1493"/>
        <w:gridCol w:w="1375"/>
        <w:gridCol w:w="1276"/>
        <w:gridCol w:w="147"/>
        <w:gridCol w:w="52"/>
      </w:tblGrid>
      <w:tr w:rsidR="00184B06" w:rsidRPr="00C33157" w14:paraId="21AA367B" w14:textId="77777777" w:rsidTr="008E6372">
        <w:trPr>
          <w:gridAfter w:val="1"/>
          <w:wAfter w:w="52" w:type="dxa"/>
        </w:trPr>
        <w:tc>
          <w:tcPr>
            <w:tcW w:w="16096" w:type="dxa"/>
            <w:gridSpan w:val="11"/>
          </w:tcPr>
          <w:p w14:paraId="79B14B7F" w14:textId="77777777" w:rsidR="00184B06" w:rsidRPr="00C33157" w:rsidRDefault="00184B06" w:rsidP="008E6372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Appendix 1</w:t>
            </w:r>
            <w:r w:rsidRPr="00C33157">
              <w:rPr>
                <w:rFonts w:ascii="Times New Roman" w:hAnsi="Times New Roman" w:cs="Times New Roman"/>
                <w:b/>
                <w:i/>
              </w:rPr>
              <w:t xml:space="preserve">. NICE, </w:t>
            </w:r>
            <w:r>
              <w:rPr>
                <w:rFonts w:ascii="Times New Roman" w:hAnsi="Times New Roman" w:cs="Times New Roman"/>
                <w:b/>
                <w:i/>
              </w:rPr>
              <w:t>Canadian</w:t>
            </w:r>
            <w:r w:rsidRPr="00C33157">
              <w:rPr>
                <w:rFonts w:ascii="Times New Roman" w:hAnsi="Times New Roman" w:cs="Times New Roman"/>
                <w:b/>
                <w:i/>
              </w:rPr>
              <w:t xml:space="preserve"> and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Australian</w:t>
            </w:r>
            <w:r w:rsidRPr="00C33157">
              <w:rPr>
                <w:rFonts w:ascii="Times New Roman" w:hAnsi="Times New Roman" w:cs="Times New Roman"/>
                <w:b/>
                <w:i/>
              </w:rPr>
              <w:t xml:space="preserve"> indicators in the quality statements across clinical care standards</w:t>
            </w:r>
          </w:p>
        </w:tc>
      </w:tr>
      <w:tr w:rsidR="00184B06" w:rsidRPr="00C33157" w14:paraId="13E9A536" w14:textId="77777777" w:rsidTr="008E6372">
        <w:trPr>
          <w:gridAfter w:val="1"/>
          <w:wAfter w:w="52" w:type="dxa"/>
        </w:trPr>
        <w:tc>
          <w:tcPr>
            <w:tcW w:w="1815" w:type="dxa"/>
            <w:tcBorders>
              <w:bottom w:val="single" w:sz="4" w:space="0" w:color="auto"/>
            </w:tcBorders>
          </w:tcPr>
          <w:p w14:paraId="19F8E387" w14:textId="77777777" w:rsidR="00184B06" w:rsidRPr="00C33157" w:rsidRDefault="00184B06" w:rsidP="008E637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61" w:type="dxa"/>
            <w:gridSpan w:val="3"/>
            <w:tcBorders>
              <w:bottom w:val="single" w:sz="4" w:space="0" w:color="auto"/>
            </w:tcBorders>
          </w:tcPr>
          <w:p w14:paraId="7C3D7985" w14:textId="77777777" w:rsidR="00184B06" w:rsidRPr="00C33157" w:rsidRDefault="00184B06" w:rsidP="008E6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3157">
              <w:rPr>
                <w:rFonts w:ascii="Times New Roman" w:hAnsi="Times New Roman" w:cs="Times New Roman"/>
                <w:b/>
              </w:rPr>
              <w:t>Structure indicators</w:t>
            </w:r>
          </w:p>
        </w:tc>
        <w:tc>
          <w:tcPr>
            <w:tcW w:w="5529" w:type="dxa"/>
            <w:gridSpan w:val="3"/>
            <w:tcBorders>
              <w:bottom w:val="single" w:sz="4" w:space="0" w:color="auto"/>
            </w:tcBorders>
          </w:tcPr>
          <w:p w14:paraId="5D6BEE75" w14:textId="77777777" w:rsidR="00184B06" w:rsidRPr="00C33157" w:rsidRDefault="00184B06" w:rsidP="008E6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3157">
              <w:rPr>
                <w:rFonts w:ascii="Times New Roman" w:hAnsi="Times New Roman" w:cs="Times New Roman"/>
                <w:b/>
              </w:rPr>
              <w:t>Process indicators</w:t>
            </w:r>
          </w:p>
        </w:tc>
        <w:tc>
          <w:tcPr>
            <w:tcW w:w="4291" w:type="dxa"/>
            <w:gridSpan w:val="4"/>
            <w:tcBorders>
              <w:bottom w:val="single" w:sz="4" w:space="0" w:color="auto"/>
            </w:tcBorders>
          </w:tcPr>
          <w:p w14:paraId="10A7E42F" w14:textId="77777777" w:rsidR="00184B06" w:rsidRPr="00C33157" w:rsidRDefault="00184B06" w:rsidP="008E6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3157">
              <w:rPr>
                <w:rFonts w:ascii="Times New Roman" w:hAnsi="Times New Roman" w:cs="Times New Roman"/>
                <w:b/>
              </w:rPr>
              <w:t>Outcome indicators</w:t>
            </w:r>
          </w:p>
        </w:tc>
      </w:tr>
      <w:tr w:rsidR="00184B06" w:rsidRPr="00C33157" w14:paraId="048100BC" w14:textId="77777777" w:rsidTr="008E6372">
        <w:trPr>
          <w:gridAfter w:val="2"/>
          <w:wAfter w:w="199" w:type="dxa"/>
        </w:trPr>
        <w:tc>
          <w:tcPr>
            <w:tcW w:w="1815" w:type="dxa"/>
            <w:tcBorders>
              <w:bottom w:val="single" w:sz="4" w:space="0" w:color="auto"/>
              <w:right w:val="single" w:sz="4" w:space="0" w:color="auto"/>
            </w:tcBorders>
          </w:tcPr>
          <w:p w14:paraId="0573BCB2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  <w:b/>
                <w:i/>
              </w:rPr>
              <w:t>Quality statements</w:t>
            </w: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41AB55B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NICE </w:t>
            </w:r>
          </w:p>
        </w:tc>
        <w:tc>
          <w:tcPr>
            <w:tcW w:w="1274" w:type="dxa"/>
            <w:tcBorders>
              <w:left w:val="nil"/>
              <w:bottom w:val="single" w:sz="4" w:space="0" w:color="auto"/>
              <w:right w:val="nil"/>
            </w:tcBorders>
          </w:tcPr>
          <w:p w14:paraId="4FAC42D8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Canadian</w:t>
            </w:r>
            <w:r w:rsidRPr="00C33157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</w:t>
            </w:r>
          </w:p>
        </w:tc>
        <w:tc>
          <w:tcPr>
            <w:tcW w:w="170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E8D29B2" w14:textId="77777777" w:rsidR="00184B06" w:rsidRPr="00C33157" w:rsidRDefault="00184B06" w:rsidP="008E6372">
            <w:pPr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Australian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5413F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NICE 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24CE7A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Canadian</w:t>
            </w:r>
          </w:p>
        </w:tc>
        <w:tc>
          <w:tcPr>
            <w:tcW w:w="1643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E11E7D3" w14:textId="77777777" w:rsidR="00184B06" w:rsidRPr="00C33157" w:rsidRDefault="00184B06" w:rsidP="008E6372">
            <w:pPr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Australian</w:t>
            </w:r>
          </w:p>
        </w:tc>
        <w:tc>
          <w:tcPr>
            <w:tcW w:w="149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FF76AC2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NICE </w:t>
            </w:r>
          </w:p>
        </w:tc>
        <w:tc>
          <w:tcPr>
            <w:tcW w:w="1375" w:type="dxa"/>
            <w:tcBorders>
              <w:left w:val="nil"/>
              <w:bottom w:val="single" w:sz="4" w:space="0" w:color="auto"/>
              <w:right w:val="nil"/>
            </w:tcBorders>
          </w:tcPr>
          <w:p w14:paraId="11C77DE7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Canadian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</w:tcBorders>
          </w:tcPr>
          <w:p w14:paraId="2D35D033" w14:textId="77777777" w:rsidR="00184B06" w:rsidRPr="00C33157" w:rsidRDefault="00184B06" w:rsidP="008E6372">
            <w:pPr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Australian</w:t>
            </w:r>
          </w:p>
        </w:tc>
      </w:tr>
      <w:tr w:rsidR="00184B06" w:rsidRPr="00C33157" w14:paraId="78515C57" w14:textId="77777777" w:rsidTr="008E6372">
        <w:trPr>
          <w:gridAfter w:val="2"/>
          <w:wAfter w:w="199" w:type="dxa"/>
        </w:trPr>
        <w:tc>
          <w:tcPr>
            <w:tcW w:w="1815" w:type="dxa"/>
            <w:tcBorders>
              <w:right w:val="nil"/>
            </w:tcBorders>
          </w:tcPr>
          <w:p w14:paraId="6405D55B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  <w:i/>
              </w:rPr>
              <w:t>Assessment and diagnosis</w:t>
            </w:r>
          </w:p>
        </w:tc>
        <w:tc>
          <w:tcPr>
            <w:tcW w:w="1483" w:type="dxa"/>
            <w:tcBorders>
              <w:left w:val="nil"/>
              <w:right w:val="nil"/>
            </w:tcBorders>
          </w:tcPr>
          <w:p w14:paraId="4ED6F294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left w:val="nil"/>
              <w:right w:val="nil"/>
            </w:tcBorders>
          </w:tcPr>
          <w:p w14:paraId="2724EE89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left w:val="nil"/>
              <w:bottom w:val="single" w:sz="4" w:space="0" w:color="auto"/>
              <w:right w:val="nil"/>
            </w:tcBorders>
          </w:tcPr>
          <w:p w14:paraId="4EDFBE48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93B90D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2F3350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tcBorders>
              <w:left w:val="nil"/>
              <w:right w:val="nil"/>
            </w:tcBorders>
          </w:tcPr>
          <w:p w14:paraId="6BD06D2F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  <w:tcBorders>
              <w:left w:val="nil"/>
              <w:right w:val="nil"/>
            </w:tcBorders>
          </w:tcPr>
          <w:p w14:paraId="35F99E35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  <w:tcBorders>
              <w:left w:val="nil"/>
              <w:right w:val="nil"/>
            </w:tcBorders>
          </w:tcPr>
          <w:p w14:paraId="44373417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14D63238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</w:tr>
      <w:tr w:rsidR="00184B06" w:rsidRPr="00C33157" w14:paraId="2352303E" w14:textId="77777777" w:rsidTr="008E6372">
        <w:trPr>
          <w:gridAfter w:val="2"/>
          <w:wAfter w:w="199" w:type="dxa"/>
        </w:trPr>
        <w:tc>
          <w:tcPr>
            <w:tcW w:w="1815" w:type="dxa"/>
          </w:tcPr>
          <w:p w14:paraId="6450792D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Comprehensive assessment</w:t>
            </w:r>
          </w:p>
        </w:tc>
        <w:tc>
          <w:tcPr>
            <w:tcW w:w="1483" w:type="dxa"/>
            <w:tcBorders>
              <w:right w:val="nil"/>
            </w:tcBorders>
          </w:tcPr>
          <w:p w14:paraId="7E45B20C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left w:val="nil"/>
              <w:right w:val="nil"/>
            </w:tcBorders>
          </w:tcPr>
          <w:p w14:paraId="52CC7C7B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Local availability of rapid access clinics</w:t>
            </w:r>
          </w:p>
        </w:tc>
        <w:tc>
          <w:tcPr>
            <w:tcW w:w="1704" w:type="dxa"/>
            <w:tcBorders>
              <w:left w:val="nil"/>
            </w:tcBorders>
          </w:tcPr>
          <w:p w14:paraId="09D059EC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Evidence of a locally approved low back pain assessment protocol</w:t>
            </w:r>
          </w:p>
          <w:p w14:paraId="1916610B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  <w:p w14:paraId="0A95A037" w14:textId="77777777" w:rsidR="00184B06" w:rsidRPr="00C33157" w:rsidRDefault="00184B06" w:rsidP="008E6372">
            <w:pPr>
              <w:ind w:firstLine="72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93020D1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67CCAA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 xml:space="preserve"> - Number of days waiting for assessment</w:t>
            </w:r>
          </w:p>
          <w:p w14:paraId="47236E53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- Percentage of people referred to a spine-focused provider</w:t>
            </w:r>
          </w:p>
        </w:tc>
        <w:tc>
          <w:tcPr>
            <w:tcW w:w="1643" w:type="dxa"/>
            <w:tcBorders>
              <w:left w:val="nil"/>
            </w:tcBorders>
          </w:tcPr>
          <w:p w14:paraId="354C3474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Proportion of patients with acute low back pain underlying pathology documented in their medical record.</w:t>
            </w:r>
          </w:p>
        </w:tc>
        <w:tc>
          <w:tcPr>
            <w:tcW w:w="1493" w:type="dxa"/>
            <w:tcBorders>
              <w:right w:val="nil"/>
            </w:tcBorders>
          </w:tcPr>
          <w:p w14:paraId="478518DC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  <w:tcBorders>
              <w:left w:val="nil"/>
              <w:right w:val="nil"/>
            </w:tcBorders>
          </w:tcPr>
          <w:p w14:paraId="58179E24" w14:textId="77777777" w:rsidR="00184B06" w:rsidRPr="00C33157" w:rsidRDefault="00184B06" w:rsidP="008E6372">
            <w:pPr>
              <w:ind w:left="58" w:hanging="58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1D1AAC56" w14:textId="77777777" w:rsidR="00184B06" w:rsidRPr="00C33157" w:rsidRDefault="00184B06" w:rsidP="008E6372">
            <w:pPr>
              <w:ind w:left="58" w:hanging="58"/>
              <w:rPr>
                <w:rFonts w:ascii="Times New Roman" w:hAnsi="Times New Roman" w:cs="Times New Roman"/>
              </w:rPr>
            </w:pPr>
          </w:p>
        </w:tc>
      </w:tr>
      <w:tr w:rsidR="00184B06" w:rsidRPr="00C33157" w14:paraId="55E71AAF" w14:textId="77777777" w:rsidTr="008E6372">
        <w:trPr>
          <w:gridAfter w:val="2"/>
          <w:wAfter w:w="199" w:type="dxa"/>
        </w:trPr>
        <w:tc>
          <w:tcPr>
            <w:tcW w:w="1815" w:type="dxa"/>
          </w:tcPr>
          <w:p w14:paraId="23117B90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Risk stratification</w:t>
            </w:r>
          </w:p>
        </w:tc>
        <w:tc>
          <w:tcPr>
            <w:tcW w:w="1483" w:type="dxa"/>
            <w:tcBorders>
              <w:right w:val="nil"/>
            </w:tcBorders>
          </w:tcPr>
          <w:p w14:paraId="70BE1043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Locally defined approach and systems in place to make staff aware</w:t>
            </w:r>
          </w:p>
        </w:tc>
        <w:tc>
          <w:tcPr>
            <w:tcW w:w="1274" w:type="dxa"/>
            <w:tcBorders>
              <w:left w:val="nil"/>
              <w:right w:val="nil"/>
            </w:tcBorders>
          </w:tcPr>
          <w:p w14:paraId="4682C915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left w:val="nil"/>
            </w:tcBorders>
          </w:tcPr>
          <w:p w14:paraId="22691674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Evidence of a locally approved policy to ensure that patients are screened for psychosocial factors early in each new presentation.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48F223A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20ECD9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tcBorders>
              <w:left w:val="nil"/>
            </w:tcBorders>
          </w:tcPr>
          <w:p w14:paraId="742B429B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  <w:tcBorders>
              <w:right w:val="nil"/>
            </w:tcBorders>
          </w:tcPr>
          <w:p w14:paraId="3AA7253A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  <w:tcBorders>
              <w:left w:val="nil"/>
              <w:right w:val="nil"/>
            </w:tcBorders>
          </w:tcPr>
          <w:p w14:paraId="394BF1B8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3184FCE8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</w:tr>
      <w:tr w:rsidR="00184B06" w:rsidRPr="00C33157" w14:paraId="654DAA29" w14:textId="77777777" w:rsidTr="008E6372">
        <w:trPr>
          <w:gridAfter w:val="2"/>
          <w:wAfter w:w="199" w:type="dxa"/>
        </w:trPr>
        <w:tc>
          <w:tcPr>
            <w:tcW w:w="1815" w:type="dxa"/>
            <w:tcBorders>
              <w:bottom w:val="single" w:sz="4" w:space="0" w:color="auto"/>
            </w:tcBorders>
          </w:tcPr>
          <w:p w14:paraId="1DF79394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Diagnostic imaging</w:t>
            </w:r>
          </w:p>
        </w:tc>
        <w:tc>
          <w:tcPr>
            <w:tcW w:w="1483" w:type="dxa"/>
            <w:tcBorders>
              <w:bottom w:val="single" w:sz="4" w:space="0" w:color="auto"/>
              <w:right w:val="nil"/>
            </w:tcBorders>
          </w:tcPr>
          <w:p w14:paraId="3DE54CBD" w14:textId="77777777" w:rsidR="00184B06" w:rsidRPr="00C33157" w:rsidRDefault="00184B06" w:rsidP="008E6372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  <w:r w:rsidRPr="00C33157">
              <w:rPr>
                <w:rFonts w:ascii="Times New Roman" w:hAnsi="Times New Roman" w:cs="Times New Roman"/>
                <w:lang w:val="en-GB"/>
              </w:rPr>
              <w:t xml:space="preserve">- Local arrangements for people to be referred for </w:t>
            </w:r>
            <w:r w:rsidRPr="00C33157">
              <w:rPr>
                <w:rFonts w:ascii="Times New Roman" w:hAnsi="Times New Roman" w:cs="Times New Roman"/>
                <w:lang w:val="en-GB"/>
              </w:rPr>
              <w:lastRenderedPageBreak/>
              <w:t>specialist opinion.</w:t>
            </w:r>
          </w:p>
          <w:p w14:paraId="20BDBC70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 xml:space="preserve">- Local protocols outlining serious underlying pathology </w:t>
            </w:r>
          </w:p>
        </w:tc>
        <w:tc>
          <w:tcPr>
            <w:tcW w:w="1274" w:type="dxa"/>
            <w:tcBorders>
              <w:left w:val="nil"/>
              <w:bottom w:val="single" w:sz="4" w:space="0" w:color="auto"/>
              <w:right w:val="nil"/>
            </w:tcBorders>
          </w:tcPr>
          <w:p w14:paraId="29F2DCFF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left w:val="nil"/>
              <w:bottom w:val="single" w:sz="4" w:space="0" w:color="auto"/>
            </w:tcBorders>
          </w:tcPr>
          <w:p w14:paraId="6514E0FA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 xml:space="preserve"> Evidence of a locally approved policy to ensure the appropriate use </w:t>
            </w:r>
            <w:r w:rsidRPr="00C33157">
              <w:rPr>
                <w:rFonts w:ascii="Times New Roman" w:hAnsi="Times New Roman" w:cs="Times New Roman"/>
              </w:rPr>
              <w:lastRenderedPageBreak/>
              <w:t xml:space="preserve">of imaging for low back pain. </w:t>
            </w:r>
          </w:p>
          <w:p w14:paraId="6D07B574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BC90CCA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lastRenderedPageBreak/>
              <w:t xml:space="preserve">Proportion of people who had diagnostic imaging requested when no </w:t>
            </w:r>
            <w:r w:rsidRPr="00C33157">
              <w:rPr>
                <w:rFonts w:ascii="Times New Roman" w:hAnsi="Times New Roman" w:cs="Times New Roman"/>
              </w:rPr>
              <w:lastRenderedPageBreak/>
              <w:t>serious underlying pathology is suspected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FC7FB8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lastRenderedPageBreak/>
              <w:t>Proportion of people who undergo diagnostic imaging</w:t>
            </w:r>
          </w:p>
        </w:tc>
        <w:tc>
          <w:tcPr>
            <w:tcW w:w="1643" w:type="dxa"/>
            <w:tcBorders>
              <w:left w:val="nil"/>
              <w:bottom w:val="single" w:sz="4" w:space="0" w:color="auto"/>
            </w:tcBorders>
          </w:tcPr>
          <w:p w14:paraId="53BC839E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 xml:space="preserve">Proportion of patients with a new episode of low back pain referred for imaging </w:t>
            </w:r>
            <w:r w:rsidRPr="00C33157">
              <w:rPr>
                <w:rFonts w:ascii="Times New Roman" w:hAnsi="Times New Roman" w:cs="Times New Roman"/>
              </w:rPr>
              <w:lastRenderedPageBreak/>
              <w:t>for whom an appropriate indication for imaging is documented in the medical record.</w:t>
            </w:r>
          </w:p>
        </w:tc>
        <w:tc>
          <w:tcPr>
            <w:tcW w:w="1493" w:type="dxa"/>
            <w:tcBorders>
              <w:bottom w:val="single" w:sz="4" w:space="0" w:color="auto"/>
              <w:right w:val="nil"/>
            </w:tcBorders>
          </w:tcPr>
          <w:p w14:paraId="02123312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  <w:tcBorders>
              <w:left w:val="nil"/>
              <w:bottom w:val="single" w:sz="4" w:space="0" w:color="auto"/>
              <w:right w:val="nil"/>
            </w:tcBorders>
          </w:tcPr>
          <w:p w14:paraId="0F3DF7E2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</w:tcBorders>
          </w:tcPr>
          <w:p w14:paraId="575B5160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</w:tr>
      <w:tr w:rsidR="00184B06" w:rsidRPr="00C33157" w14:paraId="64BA0DAC" w14:textId="77777777" w:rsidTr="008E6372">
        <w:trPr>
          <w:gridAfter w:val="2"/>
          <w:wAfter w:w="199" w:type="dxa"/>
        </w:trPr>
        <w:tc>
          <w:tcPr>
            <w:tcW w:w="1815" w:type="dxa"/>
          </w:tcPr>
          <w:p w14:paraId="7D00DE74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Review and referral</w:t>
            </w:r>
          </w:p>
        </w:tc>
        <w:tc>
          <w:tcPr>
            <w:tcW w:w="1483" w:type="dxa"/>
            <w:tcBorders>
              <w:right w:val="nil"/>
            </w:tcBorders>
          </w:tcPr>
          <w:p w14:paraId="25630187" w14:textId="77777777" w:rsidR="00184B06" w:rsidRPr="00C33157" w:rsidRDefault="00184B06" w:rsidP="008E6372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tcBorders>
              <w:left w:val="nil"/>
              <w:right w:val="nil"/>
            </w:tcBorders>
          </w:tcPr>
          <w:p w14:paraId="623E5568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left w:val="nil"/>
            </w:tcBorders>
          </w:tcPr>
          <w:p w14:paraId="0C5F6DEC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Evidence of a locally approved policy that defines the process for review and referral of patients with low back pain.</w:t>
            </w:r>
          </w:p>
          <w:p w14:paraId="4408A2DE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A5CF7F7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A185FC" w14:textId="77777777" w:rsidR="00184B06" w:rsidRPr="00702B03" w:rsidRDefault="00184B06" w:rsidP="008E6372">
            <w:pPr>
              <w:rPr>
                <w:rFonts w:ascii="Times New Roman" w:hAnsi="Times New Roman" w:cs="Times New Roman"/>
                <w:lang w:val="en-US"/>
              </w:rPr>
            </w:pPr>
            <w:r w:rsidRPr="00702B03">
              <w:rPr>
                <w:rFonts w:ascii="Times New Roman" w:hAnsi="Times New Roman" w:cs="Times New Roman"/>
                <w:lang w:val="en-US"/>
              </w:rPr>
              <w:t>Percentage of people with acute low back pain who are referred to a spine-focused provider for any of the following:</w:t>
            </w:r>
          </w:p>
          <w:p w14:paraId="7E9E0AC8" w14:textId="77777777" w:rsidR="00184B06" w:rsidRPr="00702B03" w:rsidRDefault="00184B06" w:rsidP="008E637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* </w:t>
            </w:r>
            <w:r w:rsidRPr="00702B03">
              <w:rPr>
                <w:rFonts w:ascii="Times New Roman" w:hAnsi="Times New Roman" w:cs="Times New Roman"/>
                <w:lang w:val="en-US"/>
              </w:rPr>
              <w:t>Unmanageable disabling back or leg pain</w:t>
            </w:r>
          </w:p>
          <w:p w14:paraId="10108CC6" w14:textId="77777777" w:rsidR="00184B06" w:rsidRPr="00702B03" w:rsidRDefault="00184B06" w:rsidP="008E637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* </w:t>
            </w:r>
            <w:r w:rsidRPr="00702B03">
              <w:rPr>
                <w:rFonts w:ascii="Times New Roman" w:hAnsi="Times New Roman" w:cs="Times New Roman"/>
                <w:lang w:val="en-US"/>
              </w:rPr>
              <w:t>Limitations from back pain that are ongoing and substantial</w:t>
            </w:r>
          </w:p>
          <w:p w14:paraId="65F553FB" w14:textId="77777777" w:rsidR="00184B06" w:rsidRPr="00702B03" w:rsidRDefault="00184B06" w:rsidP="008E637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* </w:t>
            </w:r>
            <w:r w:rsidRPr="00702B03">
              <w:rPr>
                <w:rFonts w:ascii="Times New Roman" w:hAnsi="Times New Roman" w:cs="Times New Roman"/>
                <w:lang w:val="en-US"/>
              </w:rPr>
              <w:t>Symptoms that worsen with physical activity and exercise</w:t>
            </w:r>
          </w:p>
        </w:tc>
        <w:tc>
          <w:tcPr>
            <w:tcW w:w="1643" w:type="dxa"/>
            <w:tcBorders>
              <w:left w:val="nil"/>
            </w:tcBorders>
          </w:tcPr>
          <w:p w14:paraId="0FA3AC0A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  <w:tcBorders>
              <w:right w:val="nil"/>
            </w:tcBorders>
          </w:tcPr>
          <w:p w14:paraId="150BA5AC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  <w:tcBorders>
              <w:left w:val="nil"/>
              <w:right w:val="nil"/>
            </w:tcBorders>
          </w:tcPr>
          <w:p w14:paraId="7ADF6723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678497A2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</w:tr>
      <w:tr w:rsidR="00184B06" w:rsidRPr="00C33157" w14:paraId="2385795C" w14:textId="77777777" w:rsidTr="008E6372">
        <w:trPr>
          <w:gridAfter w:val="2"/>
          <w:wAfter w:w="199" w:type="dxa"/>
        </w:trPr>
        <w:tc>
          <w:tcPr>
            <w:tcW w:w="1815" w:type="dxa"/>
            <w:tcBorders>
              <w:bottom w:val="single" w:sz="4" w:space="0" w:color="auto"/>
            </w:tcBorders>
          </w:tcPr>
          <w:p w14:paraId="0A325793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  <w:tcBorders>
              <w:bottom w:val="single" w:sz="4" w:space="0" w:color="auto"/>
              <w:right w:val="nil"/>
            </w:tcBorders>
          </w:tcPr>
          <w:p w14:paraId="485654E7" w14:textId="77777777" w:rsidR="00184B06" w:rsidRPr="00C33157" w:rsidRDefault="00184B06" w:rsidP="008E6372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4" w:type="dxa"/>
            <w:tcBorders>
              <w:left w:val="nil"/>
              <w:bottom w:val="single" w:sz="4" w:space="0" w:color="auto"/>
              <w:right w:val="nil"/>
            </w:tcBorders>
          </w:tcPr>
          <w:p w14:paraId="33040C18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left w:val="nil"/>
              <w:bottom w:val="single" w:sz="4" w:space="0" w:color="auto"/>
            </w:tcBorders>
          </w:tcPr>
          <w:p w14:paraId="3D50B6F5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879E5B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D30297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tcBorders>
              <w:left w:val="nil"/>
              <w:bottom w:val="single" w:sz="4" w:space="0" w:color="auto"/>
            </w:tcBorders>
          </w:tcPr>
          <w:p w14:paraId="0F174C86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  <w:tcBorders>
              <w:bottom w:val="single" w:sz="4" w:space="0" w:color="auto"/>
              <w:right w:val="nil"/>
            </w:tcBorders>
          </w:tcPr>
          <w:p w14:paraId="0BDF7937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  <w:tcBorders>
              <w:left w:val="nil"/>
              <w:bottom w:val="single" w:sz="4" w:space="0" w:color="auto"/>
              <w:right w:val="nil"/>
            </w:tcBorders>
          </w:tcPr>
          <w:p w14:paraId="1739DFDE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</w:tcBorders>
          </w:tcPr>
          <w:p w14:paraId="224DF38F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</w:tr>
      <w:tr w:rsidR="00184B06" w:rsidRPr="00C33157" w14:paraId="1FF2A0A5" w14:textId="77777777" w:rsidTr="008E6372">
        <w:trPr>
          <w:gridAfter w:val="2"/>
          <w:wAfter w:w="199" w:type="dxa"/>
        </w:trPr>
        <w:tc>
          <w:tcPr>
            <w:tcW w:w="1815" w:type="dxa"/>
            <w:tcBorders>
              <w:right w:val="nil"/>
            </w:tcBorders>
          </w:tcPr>
          <w:p w14:paraId="6F85E260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  <w:i/>
              </w:rPr>
              <w:t>Treatment</w:t>
            </w:r>
          </w:p>
        </w:tc>
        <w:tc>
          <w:tcPr>
            <w:tcW w:w="1483" w:type="dxa"/>
            <w:tcBorders>
              <w:left w:val="nil"/>
              <w:right w:val="nil"/>
            </w:tcBorders>
          </w:tcPr>
          <w:p w14:paraId="7E4A63E6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left w:val="nil"/>
              <w:right w:val="nil"/>
            </w:tcBorders>
          </w:tcPr>
          <w:p w14:paraId="06E76578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left w:val="nil"/>
              <w:bottom w:val="single" w:sz="4" w:space="0" w:color="auto"/>
              <w:right w:val="nil"/>
            </w:tcBorders>
          </w:tcPr>
          <w:p w14:paraId="762C6A42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F552A0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6F8648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tcBorders>
              <w:left w:val="nil"/>
              <w:right w:val="nil"/>
            </w:tcBorders>
          </w:tcPr>
          <w:p w14:paraId="177F8746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  <w:tcBorders>
              <w:left w:val="nil"/>
              <w:right w:val="nil"/>
            </w:tcBorders>
          </w:tcPr>
          <w:p w14:paraId="12753983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  <w:tcBorders>
              <w:left w:val="nil"/>
              <w:right w:val="nil"/>
            </w:tcBorders>
          </w:tcPr>
          <w:p w14:paraId="362C0918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5265A187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</w:tr>
      <w:tr w:rsidR="00184B06" w:rsidRPr="00C33157" w14:paraId="69451CF9" w14:textId="77777777" w:rsidTr="008E6372">
        <w:trPr>
          <w:gridAfter w:val="2"/>
          <w:wAfter w:w="199" w:type="dxa"/>
        </w:trPr>
        <w:tc>
          <w:tcPr>
            <w:tcW w:w="1815" w:type="dxa"/>
          </w:tcPr>
          <w:p w14:paraId="3A09A34C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Advice to self-manage the condition</w:t>
            </w:r>
          </w:p>
        </w:tc>
        <w:tc>
          <w:tcPr>
            <w:tcW w:w="1483" w:type="dxa"/>
            <w:tcBorders>
              <w:right w:val="nil"/>
            </w:tcBorders>
          </w:tcPr>
          <w:p w14:paraId="1ECA6DC8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 xml:space="preserve">Local arrangements to ensure that staff </w:t>
            </w:r>
            <w:r w:rsidRPr="00C33157">
              <w:rPr>
                <w:rFonts w:ascii="Times New Roman" w:hAnsi="Times New Roman" w:cs="Times New Roman"/>
              </w:rPr>
              <w:lastRenderedPageBreak/>
              <w:t>have access to information and the knowledge needed to signpost to other services</w:t>
            </w:r>
          </w:p>
        </w:tc>
        <w:tc>
          <w:tcPr>
            <w:tcW w:w="1274" w:type="dxa"/>
            <w:tcBorders>
              <w:left w:val="nil"/>
              <w:right w:val="nil"/>
            </w:tcBorders>
          </w:tcPr>
          <w:p w14:paraId="56E25CF5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left w:val="nil"/>
            </w:tcBorders>
          </w:tcPr>
          <w:p w14:paraId="451511E6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45C77CD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 xml:space="preserve">Proportion of people who are given advice and </w:t>
            </w:r>
            <w:r w:rsidRPr="00C33157">
              <w:rPr>
                <w:rFonts w:ascii="Times New Roman" w:hAnsi="Times New Roman" w:cs="Times New Roman"/>
              </w:rPr>
              <w:lastRenderedPageBreak/>
              <w:t>information to self-manage their condition.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6CC5BE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lastRenderedPageBreak/>
              <w:t xml:space="preserve">Percentage of people who receive education and </w:t>
            </w:r>
            <w:r w:rsidRPr="00C33157">
              <w:rPr>
                <w:rFonts w:ascii="Times New Roman" w:hAnsi="Times New Roman" w:cs="Times New Roman"/>
              </w:rPr>
              <w:lastRenderedPageBreak/>
              <w:t>ongoing support for self-management</w:t>
            </w:r>
          </w:p>
        </w:tc>
        <w:tc>
          <w:tcPr>
            <w:tcW w:w="1643" w:type="dxa"/>
            <w:tcBorders>
              <w:left w:val="nil"/>
            </w:tcBorders>
          </w:tcPr>
          <w:p w14:paraId="39EAF4CC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lastRenderedPageBreak/>
              <w:t xml:space="preserve"> Proportion of patients with low back pain who have </w:t>
            </w:r>
            <w:r w:rsidRPr="00C33157">
              <w:rPr>
                <w:rFonts w:ascii="Times New Roman" w:hAnsi="Times New Roman" w:cs="Times New Roman"/>
              </w:rPr>
              <w:lastRenderedPageBreak/>
              <w:t>documented discussions in their medical record about both self-management strategies and staying active by continuing usual activities.</w:t>
            </w:r>
          </w:p>
        </w:tc>
        <w:tc>
          <w:tcPr>
            <w:tcW w:w="1493" w:type="dxa"/>
            <w:tcBorders>
              <w:right w:val="nil"/>
            </w:tcBorders>
          </w:tcPr>
          <w:p w14:paraId="05BE09CF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lastRenderedPageBreak/>
              <w:t>- Number of repeat GP appointments</w:t>
            </w:r>
          </w:p>
          <w:p w14:paraId="668AF98D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lastRenderedPageBreak/>
              <w:t>- Levels of satisfaction</w:t>
            </w:r>
          </w:p>
        </w:tc>
        <w:tc>
          <w:tcPr>
            <w:tcW w:w="1375" w:type="dxa"/>
            <w:tcBorders>
              <w:left w:val="nil"/>
              <w:right w:val="nil"/>
            </w:tcBorders>
          </w:tcPr>
          <w:p w14:paraId="7C948EA1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lastRenderedPageBreak/>
              <w:t xml:space="preserve">- Percentage of people who report </w:t>
            </w:r>
            <w:r w:rsidRPr="00C33157">
              <w:rPr>
                <w:rFonts w:ascii="Times New Roman" w:hAnsi="Times New Roman" w:cs="Times New Roman"/>
              </w:rPr>
              <w:lastRenderedPageBreak/>
              <w:t>feeling confident about self-managing the condition</w:t>
            </w:r>
          </w:p>
        </w:tc>
        <w:tc>
          <w:tcPr>
            <w:tcW w:w="1276" w:type="dxa"/>
            <w:tcBorders>
              <w:left w:val="nil"/>
            </w:tcBorders>
          </w:tcPr>
          <w:p w14:paraId="6A30B2B8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</w:tr>
      <w:tr w:rsidR="00184B06" w:rsidRPr="00C33157" w14:paraId="6DDF8B35" w14:textId="77777777" w:rsidTr="008E6372">
        <w:trPr>
          <w:gridAfter w:val="2"/>
          <w:wAfter w:w="199" w:type="dxa"/>
        </w:trPr>
        <w:tc>
          <w:tcPr>
            <w:tcW w:w="1815" w:type="dxa"/>
          </w:tcPr>
          <w:p w14:paraId="1B757E63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Advice to maintain usual activities</w:t>
            </w:r>
          </w:p>
        </w:tc>
        <w:tc>
          <w:tcPr>
            <w:tcW w:w="1483" w:type="dxa"/>
            <w:tcBorders>
              <w:right w:val="nil"/>
            </w:tcBorders>
          </w:tcPr>
          <w:p w14:paraId="057E4E19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left w:val="nil"/>
              <w:right w:val="nil"/>
            </w:tcBorders>
          </w:tcPr>
          <w:p w14:paraId="5986B60D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left w:val="nil"/>
              <w:bottom w:val="single" w:sz="4" w:space="0" w:color="auto"/>
            </w:tcBorders>
          </w:tcPr>
          <w:p w14:paraId="2002E791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 xml:space="preserve">Evidence of local arrangements to ensure that patients are provided with information, advice and reassurance. </w:t>
            </w:r>
          </w:p>
          <w:p w14:paraId="2A7A6D29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5BA7C50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3FC84D" w14:textId="77777777" w:rsidR="00184B06" w:rsidRPr="00C33157" w:rsidRDefault="00184B06" w:rsidP="008E6372">
            <w:pPr>
              <w:pStyle w:val="Default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33157">
              <w:rPr>
                <w:rFonts w:ascii="Times New Roman" w:hAnsi="Times New Roman" w:cs="Times New Roman"/>
                <w:color w:val="auto"/>
                <w:lang w:val="en-GB"/>
              </w:rPr>
              <w:t xml:space="preserve">- Percentage of people who have documented discussions about staying physically active </w:t>
            </w:r>
          </w:p>
          <w:p w14:paraId="7FF4177F" w14:textId="77777777" w:rsidR="00184B06" w:rsidRPr="00C33157" w:rsidRDefault="00184B06" w:rsidP="008E6372">
            <w:pPr>
              <w:pStyle w:val="Default"/>
              <w:rPr>
                <w:rFonts w:ascii="Times New Roman" w:hAnsi="Times New Roman" w:cs="Times New Roman"/>
                <w:color w:val="auto"/>
                <w:lang w:val="en-GB"/>
              </w:rPr>
            </w:pPr>
          </w:p>
          <w:p w14:paraId="5236680F" w14:textId="77777777" w:rsidR="00184B06" w:rsidRPr="00C33157" w:rsidRDefault="00184B06" w:rsidP="008E6372">
            <w:pPr>
              <w:pStyle w:val="Default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33157">
              <w:rPr>
                <w:rFonts w:ascii="Times New Roman" w:hAnsi="Times New Roman" w:cs="Times New Roman"/>
                <w:color w:val="auto"/>
                <w:lang w:val="en-GB"/>
              </w:rPr>
              <w:t>- Percentage who have documented discussions about continuing work or returning to work</w:t>
            </w:r>
          </w:p>
          <w:p w14:paraId="0C42EA48" w14:textId="77777777" w:rsidR="00184B06" w:rsidRPr="00C33157" w:rsidRDefault="00184B06" w:rsidP="008E6372">
            <w:pPr>
              <w:pStyle w:val="Default"/>
              <w:rPr>
                <w:rFonts w:ascii="Times New Roman" w:hAnsi="Times New Roman" w:cs="Times New Roman"/>
                <w:color w:val="auto"/>
                <w:lang w:val="en-GB"/>
              </w:rPr>
            </w:pPr>
          </w:p>
          <w:p w14:paraId="7E229608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- Number of days from take a leave of absence from work to when they return to work</w:t>
            </w:r>
          </w:p>
        </w:tc>
        <w:tc>
          <w:tcPr>
            <w:tcW w:w="1643" w:type="dxa"/>
            <w:tcBorders>
              <w:left w:val="nil"/>
              <w:bottom w:val="single" w:sz="4" w:space="0" w:color="auto"/>
            </w:tcBorders>
          </w:tcPr>
          <w:p w14:paraId="0FE2B4DC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  <w:tcBorders>
              <w:right w:val="nil"/>
            </w:tcBorders>
          </w:tcPr>
          <w:p w14:paraId="07410A75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  <w:tcBorders>
              <w:left w:val="nil"/>
              <w:right w:val="nil"/>
            </w:tcBorders>
          </w:tcPr>
          <w:p w14:paraId="653AD643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1D3AA52E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</w:tr>
      <w:tr w:rsidR="00184B06" w:rsidRPr="00C33157" w14:paraId="6BC61C23" w14:textId="77777777" w:rsidTr="008E6372">
        <w:trPr>
          <w:gridAfter w:val="2"/>
          <w:wAfter w:w="199" w:type="dxa"/>
        </w:trPr>
        <w:tc>
          <w:tcPr>
            <w:tcW w:w="1815" w:type="dxa"/>
          </w:tcPr>
          <w:p w14:paraId="33EC649E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Psychological support</w:t>
            </w:r>
          </w:p>
        </w:tc>
        <w:tc>
          <w:tcPr>
            <w:tcW w:w="1483" w:type="dxa"/>
            <w:tcBorders>
              <w:right w:val="nil"/>
            </w:tcBorders>
          </w:tcPr>
          <w:p w14:paraId="0EDCDEB0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left w:val="nil"/>
              <w:right w:val="nil"/>
            </w:tcBorders>
          </w:tcPr>
          <w:p w14:paraId="4A57BEE2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left w:val="nil"/>
              <w:bottom w:val="single" w:sz="4" w:space="0" w:color="auto"/>
            </w:tcBorders>
          </w:tcPr>
          <w:p w14:paraId="2342BFBE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 xml:space="preserve">Evidence of a locally approved </w:t>
            </w:r>
            <w:r w:rsidRPr="00C33157">
              <w:rPr>
                <w:rFonts w:ascii="Times New Roman" w:hAnsi="Times New Roman" w:cs="Times New Roman"/>
              </w:rPr>
              <w:lastRenderedPageBreak/>
              <w:t>policy that specifies the referral pathways to clinicians who provide appropriate psychological therapies.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2C2951E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DF897A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tcBorders>
              <w:left w:val="nil"/>
              <w:bottom w:val="single" w:sz="4" w:space="0" w:color="auto"/>
            </w:tcBorders>
          </w:tcPr>
          <w:p w14:paraId="53A9BE2C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 xml:space="preserve">Proportion of patients with low back pain </w:t>
            </w:r>
            <w:r w:rsidRPr="00C33157">
              <w:rPr>
                <w:rFonts w:ascii="Times New Roman" w:hAnsi="Times New Roman" w:cs="Times New Roman"/>
              </w:rPr>
              <w:lastRenderedPageBreak/>
              <w:t>at risk of poor outcomes who were referred to physical and/or psychological clinical services.</w:t>
            </w:r>
          </w:p>
          <w:p w14:paraId="31F1884F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  <w:tcBorders>
              <w:right w:val="nil"/>
            </w:tcBorders>
          </w:tcPr>
          <w:p w14:paraId="1A070EE0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  <w:tcBorders>
              <w:left w:val="nil"/>
              <w:right w:val="nil"/>
            </w:tcBorders>
          </w:tcPr>
          <w:p w14:paraId="1BD2687D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 xml:space="preserve">Percentage of people with </w:t>
            </w:r>
            <w:r w:rsidRPr="00C33157">
              <w:rPr>
                <w:rFonts w:ascii="Times New Roman" w:hAnsi="Times New Roman" w:cs="Times New Roman"/>
              </w:rPr>
              <w:lastRenderedPageBreak/>
              <w:t>identified psychosocial barriers to recovery who has given information and support to manage them</w:t>
            </w:r>
          </w:p>
        </w:tc>
        <w:tc>
          <w:tcPr>
            <w:tcW w:w="1276" w:type="dxa"/>
            <w:tcBorders>
              <w:left w:val="nil"/>
            </w:tcBorders>
          </w:tcPr>
          <w:p w14:paraId="71FF5754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</w:tr>
      <w:tr w:rsidR="00184B06" w:rsidRPr="00C33157" w14:paraId="5236E2A7" w14:textId="77777777" w:rsidTr="008E6372">
        <w:trPr>
          <w:gridAfter w:val="2"/>
          <w:wAfter w:w="199" w:type="dxa"/>
        </w:trPr>
        <w:tc>
          <w:tcPr>
            <w:tcW w:w="1815" w:type="dxa"/>
          </w:tcPr>
          <w:p w14:paraId="2A3256D7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Non-opioids analgesics</w:t>
            </w:r>
          </w:p>
        </w:tc>
        <w:tc>
          <w:tcPr>
            <w:tcW w:w="1483" w:type="dxa"/>
            <w:tcBorders>
              <w:right w:val="nil"/>
            </w:tcBorders>
          </w:tcPr>
          <w:p w14:paraId="683A2DC6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Local arrangements to ensure that no GP prescriptions include paracetamol alone, anticonvulsants or antidepressants</w:t>
            </w:r>
          </w:p>
        </w:tc>
        <w:tc>
          <w:tcPr>
            <w:tcW w:w="1274" w:type="dxa"/>
            <w:tcBorders>
              <w:left w:val="nil"/>
              <w:right w:val="nil"/>
            </w:tcBorders>
          </w:tcPr>
          <w:p w14:paraId="1AFB0390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left w:val="nil"/>
            </w:tcBorders>
          </w:tcPr>
          <w:p w14:paraId="2AC45DBE" w14:textId="77777777" w:rsidR="00184B06" w:rsidRPr="00C33157" w:rsidRDefault="00184B06" w:rsidP="008E6372">
            <w:pPr>
              <w:pStyle w:val="Default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A4CFEDD" w14:textId="77777777" w:rsidR="00184B06" w:rsidRPr="00C33157" w:rsidRDefault="00184B06" w:rsidP="008E6372">
            <w:pPr>
              <w:pStyle w:val="Default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33157">
              <w:rPr>
                <w:rFonts w:ascii="Times New Roman" w:hAnsi="Times New Roman" w:cs="Times New Roman"/>
                <w:color w:val="auto"/>
                <w:lang w:val="en-GB"/>
              </w:rPr>
              <w:t xml:space="preserve">- Proportion of people who are given anticonvulsants </w:t>
            </w:r>
          </w:p>
          <w:p w14:paraId="06DA5103" w14:textId="77777777" w:rsidR="00184B06" w:rsidRPr="00C33157" w:rsidRDefault="00184B06" w:rsidP="008E6372">
            <w:pPr>
              <w:pStyle w:val="Default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33157">
              <w:rPr>
                <w:rFonts w:ascii="Times New Roman" w:hAnsi="Times New Roman" w:cs="Times New Roman"/>
                <w:color w:val="auto"/>
                <w:lang w:val="en-GB"/>
              </w:rPr>
              <w:t>- Proportion of people who are given antidepressants</w:t>
            </w:r>
          </w:p>
          <w:p w14:paraId="006282B6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 xml:space="preserve">- Proportion of people who are given paracetamol 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3D3072" w14:textId="77777777" w:rsidR="00184B06" w:rsidRPr="00C33157" w:rsidRDefault="00184B06" w:rsidP="008E6372">
            <w:pPr>
              <w:pStyle w:val="Default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33157">
              <w:rPr>
                <w:rFonts w:ascii="Times New Roman" w:hAnsi="Times New Roman" w:cs="Times New Roman"/>
                <w:color w:val="auto"/>
                <w:lang w:val="en-GB"/>
              </w:rPr>
              <w:t xml:space="preserve">Percentage of people whose symptoms are not improving with nonpharmacological therapies who are given information on the risks and benefits of nonopioid analgesics </w:t>
            </w:r>
          </w:p>
          <w:p w14:paraId="6C786552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tcBorders>
              <w:left w:val="nil"/>
            </w:tcBorders>
          </w:tcPr>
          <w:p w14:paraId="61D3F632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 xml:space="preserve"> Proportion of patients who received an anticonvulsant</w:t>
            </w:r>
          </w:p>
        </w:tc>
        <w:tc>
          <w:tcPr>
            <w:tcW w:w="1493" w:type="dxa"/>
            <w:tcBorders>
              <w:right w:val="nil"/>
            </w:tcBorders>
          </w:tcPr>
          <w:p w14:paraId="1B98BC4D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 xml:space="preserve">Number of medicines-related adverse events </w:t>
            </w:r>
          </w:p>
        </w:tc>
        <w:tc>
          <w:tcPr>
            <w:tcW w:w="1375" w:type="dxa"/>
            <w:tcBorders>
              <w:left w:val="nil"/>
              <w:right w:val="nil"/>
            </w:tcBorders>
          </w:tcPr>
          <w:p w14:paraId="4D7C8B2C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3DF3EF7A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</w:tr>
      <w:tr w:rsidR="00184B06" w:rsidRPr="00C33157" w14:paraId="390687E9" w14:textId="77777777" w:rsidTr="008E6372">
        <w:trPr>
          <w:gridAfter w:val="2"/>
          <w:wAfter w:w="199" w:type="dxa"/>
        </w:trPr>
        <w:tc>
          <w:tcPr>
            <w:tcW w:w="1815" w:type="dxa"/>
          </w:tcPr>
          <w:p w14:paraId="1EA1F783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Opioids</w:t>
            </w:r>
          </w:p>
        </w:tc>
        <w:tc>
          <w:tcPr>
            <w:tcW w:w="1483" w:type="dxa"/>
            <w:tcBorders>
              <w:right w:val="nil"/>
            </w:tcBorders>
          </w:tcPr>
          <w:p w14:paraId="46A12412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Local arrangements to ensure that no GP prescriptions include opioids to treat chronic low back pain</w:t>
            </w:r>
          </w:p>
        </w:tc>
        <w:tc>
          <w:tcPr>
            <w:tcW w:w="1274" w:type="dxa"/>
            <w:tcBorders>
              <w:left w:val="nil"/>
              <w:right w:val="nil"/>
            </w:tcBorders>
          </w:tcPr>
          <w:p w14:paraId="2EF1AB52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left w:val="nil"/>
            </w:tcBorders>
          </w:tcPr>
          <w:p w14:paraId="08462808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67A7A13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 xml:space="preserve">Proportion of people who are given opioids to treat chronic low back pain 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A9E31A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Percentage of people with acute low back pain who are prescribed an opioid medication</w:t>
            </w:r>
          </w:p>
        </w:tc>
        <w:tc>
          <w:tcPr>
            <w:tcW w:w="1643" w:type="dxa"/>
            <w:tcBorders>
              <w:left w:val="nil"/>
            </w:tcBorders>
          </w:tcPr>
          <w:p w14:paraId="477A18C3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Proportion of patients with low back pain who received an opioid analgesic</w:t>
            </w:r>
          </w:p>
        </w:tc>
        <w:tc>
          <w:tcPr>
            <w:tcW w:w="1493" w:type="dxa"/>
            <w:tcBorders>
              <w:right w:val="nil"/>
            </w:tcBorders>
          </w:tcPr>
          <w:p w14:paraId="3214D326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Number of opioids-related adverse events for chronic low back pain without sciatica</w:t>
            </w:r>
          </w:p>
        </w:tc>
        <w:tc>
          <w:tcPr>
            <w:tcW w:w="1375" w:type="dxa"/>
            <w:tcBorders>
              <w:left w:val="nil"/>
              <w:right w:val="nil"/>
            </w:tcBorders>
          </w:tcPr>
          <w:p w14:paraId="63F51844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4CB0E323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</w:tr>
      <w:tr w:rsidR="00184B06" w:rsidRPr="00C33157" w14:paraId="35905684" w14:textId="77777777" w:rsidTr="008E6372">
        <w:trPr>
          <w:gridAfter w:val="2"/>
          <w:wAfter w:w="199" w:type="dxa"/>
        </w:trPr>
        <w:tc>
          <w:tcPr>
            <w:tcW w:w="1815" w:type="dxa"/>
          </w:tcPr>
          <w:p w14:paraId="4A98D973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lastRenderedPageBreak/>
              <w:t>Non-pharmacological treatment</w:t>
            </w:r>
          </w:p>
        </w:tc>
        <w:tc>
          <w:tcPr>
            <w:tcW w:w="1483" w:type="dxa"/>
            <w:tcBorders>
              <w:right w:val="nil"/>
            </w:tcBorders>
          </w:tcPr>
          <w:p w14:paraId="64DAE884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eastAsia="Calibri" w:hAnsi="Times New Roman" w:cs="Times New Roman"/>
                <w:color w:val="000000" w:themeColor="text1"/>
              </w:rPr>
              <w:t>Local arrangements to ensure that spinal injections are not given, except for radiofrequency denervation for people who meet the criteria.</w:t>
            </w:r>
          </w:p>
        </w:tc>
        <w:tc>
          <w:tcPr>
            <w:tcW w:w="1274" w:type="dxa"/>
            <w:tcBorders>
              <w:left w:val="nil"/>
              <w:right w:val="nil"/>
            </w:tcBorders>
          </w:tcPr>
          <w:p w14:paraId="3D1704B1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left w:val="nil"/>
            </w:tcBorders>
          </w:tcPr>
          <w:p w14:paraId="371BD3FE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1A07B02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Proportion of people who have spinal injections who meet the criteria for radiofrequency denervation.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9BDD5C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Percentage of people whose symptoms do not adequately improve with physical activity, education, reassurance, and self-management support who receive one or more additional nonpharmacological therapies</w:t>
            </w:r>
          </w:p>
        </w:tc>
        <w:tc>
          <w:tcPr>
            <w:tcW w:w="1643" w:type="dxa"/>
            <w:tcBorders>
              <w:left w:val="nil"/>
            </w:tcBorders>
          </w:tcPr>
          <w:p w14:paraId="2A87DFE6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  <w:tcBorders>
              <w:right w:val="nil"/>
            </w:tcBorders>
          </w:tcPr>
          <w:p w14:paraId="39A54D5A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  <w:tcBorders>
              <w:left w:val="nil"/>
              <w:right w:val="nil"/>
            </w:tcBorders>
          </w:tcPr>
          <w:p w14:paraId="15954486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1A727F74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</w:p>
        </w:tc>
      </w:tr>
      <w:tr w:rsidR="00184B06" w:rsidRPr="00C33157" w14:paraId="20D2C160" w14:textId="77777777" w:rsidTr="008E6372">
        <w:tc>
          <w:tcPr>
            <w:tcW w:w="16148" w:type="dxa"/>
            <w:gridSpan w:val="12"/>
          </w:tcPr>
          <w:p w14:paraId="6B687163" w14:textId="77777777" w:rsidR="00184B06" w:rsidRPr="00C33157" w:rsidRDefault="00184B06" w:rsidP="008E6372">
            <w:pPr>
              <w:rPr>
                <w:rFonts w:ascii="Times New Roman" w:hAnsi="Times New Roman" w:cs="Times New Roman"/>
              </w:rPr>
            </w:pPr>
            <w:r w:rsidRPr="00C33157">
              <w:rPr>
                <w:rFonts w:ascii="Times New Roman" w:hAnsi="Times New Roman" w:cs="Times New Roman"/>
              </w:rPr>
              <w:t>Abbreviations: GP, General Practitioner; NICE, National Institute for Health and Care Excellence</w:t>
            </w:r>
            <w:r>
              <w:rPr>
                <w:rFonts w:ascii="Times New Roman" w:hAnsi="Times New Roman" w:cs="Times New Roman"/>
              </w:rPr>
              <w:t>.</w:t>
            </w:r>
            <w:r w:rsidRPr="00C3315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5051549E" w14:textId="77777777" w:rsidR="003D4F29" w:rsidRDefault="003D4F29"/>
    <w:sectPr w:rsidR="003D4F29" w:rsidSect="00184B0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B06"/>
    <w:rsid w:val="000058DC"/>
    <w:rsid w:val="00010622"/>
    <w:rsid w:val="0003550F"/>
    <w:rsid w:val="00036D75"/>
    <w:rsid w:val="00184B06"/>
    <w:rsid w:val="001C79C7"/>
    <w:rsid w:val="001E1B25"/>
    <w:rsid w:val="001E5F37"/>
    <w:rsid w:val="00213307"/>
    <w:rsid w:val="00232D66"/>
    <w:rsid w:val="0034031B"/>
    <w:rsid w:val="0037582B"/>
    <w:rsid w:val="00391133"/>
    <w:rsid w:val="003D4F29"/>
    <w:rsid w:val="004B053C"/>
    <w:rsid w:val="004B7CFE"/>
    <w:rsid w:val="00545EA5"/>
    <w:rsid w:val="0064665B"/>
    <w:rsid w:val="0064676A"/>
    <w:rsid w:val="00682AEC"/>
    <w:rsid w:val="0068396B"/>
    <w:rsid w:val="006A4ECD"/>
    <w:rsid w:val="0070733C"/>
    <w:rsid w:val="007324F4"/>
    <w:rsid w:val="00767F34"/>
    <w:rsid w:val="0077541B"/>
    <w:rsid w:val="00861FAB"/>
    <w:rsid w:val="00877E09"/>
    <w:rsid w:val="00880B23"/>
    <w:rsid w:val="009118A2"/>
    <w:rsid w:val="009133EC"/>
    <w:rsid w:val="00913CEF"/>
    <w:rsid w:val="0091721A"/>
    <w:rsid w:val="00946185"/>
    <w:rsid w:val="009B5B18"/>
    <w:rsid w:val="009C752A"/>
    <w:rsid w:val="00A26527"/>
    <w:rsid w:val="00A40D62"/>
    <w:rsid w:val="00B028B7"/>
    <w:rsid w:val="00B66584"/>
    <w:rsid w:val="00B91387"/>
    <w:rsid w:val="00BB61EF"/>
    <w:rsid w:val="00C42860"/>
    <w:rsid w:val="00D049D7"/>
    <w:rsid w:val="00D81DE8"/>
    <w:rsid w:val="00DB1B7C"/>
    <w:rsid w:val="00DB7989"/>
    <w:rsid w:val="00E14952"/>
    <w:rsid w:val="00E33E4D"/>
    <w:rsid w:val="00EA3D40"/>
    <w:rsid w:val="00F22DF7"/>
    <w:rsid w:val="00FA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9CF2D"/>
  <w15:chartTrackingRefBased/>
  <w15:docId w15:val="{C461E6B2-F968-0947-BC97-53A8D723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B0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84B06"/>
    <w:rPr>
      <w:sz w:val="18"/>
      <w:szCs w:val="18"/>
    </w:rPr>
  </w:style>
  <w:style w:type="table" w:styleId="TableGrid">
    <w:name w:val="Table Grid"/>
    <w:basedOn w:val="TableNormal"/>
    <w:uiPriority w:val="39"/>
    <w:rsid w:val="00184B06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4B06"/>
    <w:pPr>
      <w:autoSpaceDE w:val="0"/>
      <w:autoSpaceDN w:val="0"/>
      <w:adjustRightInd w:val="0"/>
    </w:pPr>
    <w:rPr>
      <w:rFonts w:ascii="Helvetica Neue" w:hAnsi="Helvetica Neue" w:cs="Helvetica Neue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748</Words>
  <Characters>4265</Characters>
  <Application>Microsoft Office Word</Application>
  <DocSecurity>0</DocSecurity>
  <Lines>35</Lines>
  <Paragraphs>10</Paragraphs>
  <ScaleCrop>false</ScaleCrop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Crystian Oliveira</dc:creator>
  <cp:keywords/>
  <dc:description/>
  <cp:lastModifiedBy>Crystian Oliveira</cp:lastModifiedBy>
  <cp:revision>1</cp:revision>
  <dcterms:created xsi:type="dcterms:W3CDTF">2023-12-05T03:40:00Z</dcterms:created>
  <dcterms:modified xsi:type="dcterms:W3CDTF">2023-12-05T03:43:00Z</dcterms:modified>
</cp:coreProperties>
</file>