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2F811" w14:textId="77777777" w:rsidR="00C04C6B" w:rsidRDefault="00C04C6B" w:rsidP="00C04C6B">
      <w:pPr>
        <w:rPr>
          <w:rFonts w:eastAsiaTheme="minorEastAsia"/>
          <w:sz w:val="24"/>
          <w:szCs w:val="24"/>
        </w:rPr>
      </w:pPr>
    </w:p>
    <w:p w14:paraId="4A9356C1" w14:textId="77777777" w:rsidR="00C04C6B" w:rsidRDefault="00C04C6B" w:rsidP="00C04C6B">
      <w:pPr>
        <w:spacing w:after="0" w:line="240" w:lineRule="auto"/>
        <w:textAlignment w:val="baseline"/>
        <w:rPr>
          <w:rFonts w:ascii="Calibri" w:eastAsia="Times New Roman" w:hAnsi="Calibri" w:cs="Calibri"/>
          <w:sz w:val="24"/>
          <w:szCs w:val="24"/>
        </w:rPr>
      </w:pPr>
      <w:r>
        <w:rPr>
          <w:rFonts w:ascii="Calibri" w:eastAsia="Times New Roman" w:hAnsi="Calibri" w:cs="Calibri"/>
          <w:b/>
          <w:bCs/>
          <w:sz w:val="24"/>
          <w:szCs w:val="24"/>
        </w:rPr>
        <w:t>Supplementary Material</w:t>
      </w:r>
    </w:p>
    <w:p w14:paraId="1173F4E5" w14:textId="77777777" w:rsidR="00C04C6B" w:rsidRPr="001B576D" w:rsidRDefault="00C04C6B" w:rsidP="00C04C6B">
      <w:pPr>
        <w:spacing w:after="0" w:line="240" w:lineRule="auto"/>
        <w:textAlignment w:val="baseline"/>
        <w:rPr>
          <w:rFonts w:ascii="Segoe UI" w:eastAsia="Times New Roman" w:hAnsi="Segoe UI" w:cs="Segoe UI"/>
          <w:sz w:val="24"/>
          <w:szCs w:val="24"/>
        </w:rPr>
      </w:pPr>
    </w:p>
    <w:p w14:paraId="576D8ACD" w14:textId="5073C390" w:rsidR="73594718" w:rsidRPr="005E0490" w:rsidRDefault="6658E8B7" w:rsidP="39DC527D">
      <w:pPr>
        <w:spacing w:after="0" w:line="240" w:lineRule="auto"/>
        <w:rPr>
          <w:rFonts w:ascii="Calibri" w:eastAsia="Times New Roman" w:hAnsi="Calibri" w:cs="Calibri"/>
          <w:sz w:val="24"/>
          <w:szCs w:val="24"/>
        </w:rPr>
      </w:pPr>
      <w:r w:rsidRPr="005E0490">
        <w:rPr>
          <w:rFonts w:ascii="Calibri" w:eastAsia="Times New Roman" w:hAnsi="Calibri" w:cs="Calibri"/>
          <w:sz w:val="24"/>
          <w:szCs w:val="24"/>
        </w:rPr>
        <w:t>Figure</w:t>
      </w:r>
      <w:r w:rsidR="73594718" w:rsidRPr="005E0490">
        <w:rPr>
          <w:rFonts w:ascii="Calibri" w:eastAsia="Times New Roman" w:hAnsi="Calibri" w:cs="Calibri"/>
          <w:sz w:val="24"/>
          <w:szCs w:val="24"/>
        </w:rPr>
        <w:t xml:space="preserve"> </w:t>
      </w:r>
      <w:r w:rsidR="60D57CA0" w:rsidRPr="005E0490">
        <w:rPr>
          <w:rFonts w:ascii="Calibri" w:eastAsia="Times New Roman" w:hAnsi="Calibri" w:cs="Calibri"/>
          <w:sz w:val="24"/>
          <w:szCs w:val="24"/>
        </w:rPr>
        <w:t>S</w:t>
      </w:r>
      <w:r w:rsidR="73594718" w:rsidRPr="005E0490">
        <w:rPr>
          <w:rFonts w:ascii="Calibri" w:eastAsia="Times New Roman" w:hAnsi="Calibri" w:cs="Calibri"/>
          <w:sz w:val="24"/>
          <w:szCs w:val="24"/>
        </w:rPr>
        <w:t>1. Flowchart of screening</w:t>
      </w:r>
    </w:p>
    <w:p w14:paraId="4B9C6DC6" w14:textId="0ADB5257" w:rsidR="73594718" w:rsidRDefault="73594718" w:rsidP="39DC527D">
      <w:pPr>
        <w:spacing w:after="0" w:line="240" w:lineRule="auto"/>
      </w:pPr>
    </w:p>
    <w:p w14:paraId="0A3CFB89" w14:textId="462CBE16" w:rsidR="005E0490" w:rsidRDefault="005E0490" w:rsidP="39DC527D">
      <w:pPr>
        <w:spacing w:after="0" w:line="240" w:lineRule="auto"/>
      </w:pPr>
      <w:r w:rsidRPr="005E0490">
        <w:rPr>
          <w:noProof/>
          <w:lang w:val="en-IN" w:eastAsia="en-IN"/>
        </w:rPr>
        <w:drawing>
          <wp:inline distT="0" distB="0" distL="0" distR="0" wp14:anchorId="3D8526D0" wp14:editId="0FB76CF3">
            <wp:extent cx="5943600" cy="5283200"/>
            <wp:effectExtent l="0" t="0" r="0" b="0"/>
            <wp:docPr id="1274699735" name="Picture 1" descr="A flowchart of rec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699735" name="Picture 1" descr="A flowchart of records&#10;&#10;Description automatically generated"/>
                    <pic:cNvPicPr/>
                  </pic:nvPicPr>
                  <pic:blipFill>
                    <a:blip r:embed="rId5"/>
                    <a:stretch>
                      <a:fillRect/>
                    </a:stretch>
                  </pic:blipFill>
                  <pic:spPr>
                    <a:xfrm>
                      <a:off x="0" y="0"/>
                      <a:ext cx="5943600" cy="5283200"/>
                    </a:xfrm>
                    <a:prstGeom prst="rect">
                      <a:avLst/>
                    </a:prstGeom>
                  </pic:spPr>
                </pic:pic>
              </a:graphicData>
            </a:graphic>
          </wp:inline>
        </w:drawing>
      </w:r>
    </w:p>
    <w:p w14:paraId="27568181" w14:textId="69F19E3C" w:rsidR="39DC527D" w:rsidRDefault="39DC527D" w:rsidP="39DC527D">
      <w:pPr>
        <w:spacing w:after="0" w:line="240" w:lineRule="auto"/>
        <w:rPr>
          <w:rFonts w:ascii="Segoe UI" w:eastAsia="Times New Roman" w:hAnsi="Segoe UI" w:cs="Segoe UI"/>
          <w:sz w:val="24"/>
          <w:szCs w:val="24"/>
        </w:rPr>
      </w:pPr>
    </w:p>
    <w:p w14:paraId="68B626AB" w14:textId="65437EB8" w:rsidR="39DC527D" w:rsidRDefault="39DC527D" w:rsidP="39DC527D">
      <w:pPr>
        <w:spacing w:after="0" w:line="240" w:lineRule="auto"/>
        <w:rPr>
          <w:rFonts w:ascii="Calibri" w:eastAsia="Times New Roman" w:hAnsi="Calibri" w:cs="Calibri"/>
          <w:sz w:val="24"/>
          <w:szCs w:val="24"/>
        </w:rPr>
      </w:pPr>
    </w:p>
    <w:p w14:paraId="2886B34F" w14:textId="0BEA5325" w:rsidR="00C04C6B" w:rsidRPr="001B576D" w:rsidRDefault="00C04C6B" w:rsidP="00C04C6B">
      <w:pPr>
        <w:spacing w:after="0" w:line="240" w:lineRule="auto"/>
        <w:textAlignment w:val="baseline"/>
        <w:rPr>
          <w:rFonts w:ascii="Segoe UI" w:eastAsia="Times New Roman" w:hAnsi="Segoe UI" w:cs="Segoe UI"/>
          <w:sz w:val="18"/>
          <w:szCs w:val="18"/>
        </w:rPr>
      </w:pPr>
      <w:r w:rsidRPr="061E8E1D">
        <w:rPr>
          <w:rFonts w:ascii="Calibri" w:eastAsia="Times New Roman" w:hAnsi="Calibri" w:cs="Calibri"/>
          <w:sz w:val="24"/>
          <w:szCs w:val="24"/>
        </w:rPr>
        <w:t xml:space="preserve">Table </w:t>
      </w:r>
      <w:r w:rsidR="773D415F" w:rsidRPr="061E8E1D">
        <w:rPr>
          <w:rFonts w:ascii="Calibri" w:eastAsia="Times New Roman" w:hAnsi="Calibri" w:cs="Calibri"/>
          <w:sz w:val="24"/>
          <w:szCs w:val="24"/>
        </w:rPr>
        <w:t>1</w:t>
      </w:r>
      <w:r w:rsidRPr="061E8E1D">
        <w:rPr>
          <w:rFonts w:ascii="Calibri" w:eastAsia="Times New Roman" w:hAnsi="Calibri" w:cs="Calibri"/>
          <w:sz w:val="24"/>
          <w:szCs w:val="24"/>
        </w:rPr>
        <w:t>. Summary of studies </w:t>
      </w:r>
    </w:p>
    <w:tbl>
      <w:tblPr>
        <w:tblW w:w="0"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64"/>
        <w:gridCol w:w="992"/>
        <w:gridCol w:w="1004"/>
        <w:gridCol w:w="1203"/>
        <w:gridCol w:w="684"/>
        <w:gridCol w:w="676"/>
        <w:gridCol w:w="817"/>
        <w:gridCol w:w="817"/>
        <w:gridCol w:w="1102"/>
      </w:tblGrid>
      <w:tr w:rsidR="00DB60E7" w:rsidRPr="001B576D" w14:paraId="7CCA9113" w14:textId="77777777" w:rsidTr="00814F6D">
        <w:trPr>
          <w:trHeight w:val="36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63EDC2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sz w:val="16"/>
                <w:szCs w:val="16"/>
              </w:rPr>
              <w:t>Author</w:t>
            </w:r>
            <w:r w:rsidRPr="001B576D">
              <w:rPr>
                <w:rFonts w:ascii="Calibri" w:eastAsia="Times New Roman" w:hAnsi="Calibri" w:cs="Calibri"/>
                <w:sz w:val="16"/>
                <w:szCs w:val="16"/>
              </w:rPr>
              <w:t> </w:t>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914A9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sz w:val="16"/>
                <w:szCs w:val="16"/>
              </w:rPr>
              <w:t>Year </w:t>
            </w: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4E67A8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sz w:val="16"/>
                <w:szCs w:val="16"/>
              </w:rPr>
              <w:t>Cohort</w:t>
            </w: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8F8B0A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sz w:val="16"/>
                <w:szCs w:val="16"/>
              </w:rPr>
              <w:t>Country</w:t>
            </w:r>
            <w:r w:rsidRPr="001B576D">
              <w:rPr>
                <w:rFonts w:ascii="Calibri" w:eastAsia="Times New Roman" w:hAnsi="Calibri" w:cs="Calibri"/>
                <w:sz w:val="16"/>
                <w:szCs w:val="16"/>
              </w:rPr>
              <w:t>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79D649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sz w:val="16"/>
                <w:szCs w:val="16"/>
              </w:rPr>
              <w:t>Study Design</w:t>
            </w:r>
            <w:r w:rsidRPr="001B576D">
              <w:rPr>
                <w:rFonts w:ascii="Calibri" w:eastAsia="Times New Roman" w:hAnsi="Calibri" w:cs="Calibri"/>
                <w:sz w:val="16"/>
                <w:szCs w:val="16"/>
              </w:rPr>
              <w:t>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C29973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sz w:val="16"/>
                <w:szCs w:val="16"/>
              </w:rPr>
              <w:t>Sample Size</w:t>
            </w:r>
            <w:r w:rsidRPr="001B576D">
              <w:rPr>
                <w:rFonts w:ascii="Calibri" w:eastAsia="Times New Roman" w:hAnsi="Calibri" w:cs="Calibri"/>
                <w:sz w:val="16"/>
                <w:szCs w:val="16"/>
              </w:rPr>
              <w:t>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29A7A5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sz w:val="16"/>
                <w:szCs w:val="16"/>
              </w:rPr>
              <w:t>Weeks Follow up</w:t>
            </w:r>
            <w:r w:rsidRPr="001B576D">
              <w:rPr>
                <w:rFonts w:ascii="Calibri" w:eastAsia="Times New Roman" w:hAnsi="Calibri" w:cs="Calibri"/>
                <w:sz w:val="16"/>
                <w:szCs w:val="16"/>
              </w:rPr>
              <w:t>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B5403F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sz w:val="16"/>
                <w:szCs w:val="16"/>
              </w:rPr>
              <w:t>Mean age</w:t>
            </w:r>
            <w:r w:rsidRPr="001B576D">
              <w:rPr>
                <w:rFonts w:ascii="Calibri" w:eastAsia="Times New Roman" w:hAnsi="Calibri" w:cs="Calibri"/>
                <w:sz w:val="16"/>
                <w:szCs w:val="16"/>
              </w:rPr>
              <w:t>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129FD7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sz w:val="16"/>
                <w:szCs w:val="16"/>
              </w:rPr>
              <w:t>% Female</w:t>
            </w:r>
            <w:r w:rsidRPr="001B576D">
              <w:rPr>
                <w:rFonts w:ascii="Calibri" w:eastAsia="Times New Roman" w:hAnsi="Calibri" w:cs="Calibri"/>
                <w:sz w:val="16"/>
                <w:szCs w:val="16"/>
              </w:rPr>
              <w:t>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2ECAD8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sz w:val="16"/>
                <w:szCs w:val="16"/>
              </w:rPr>
              <w:t>Measure</w:t>
            </w:r>
            <w:r w:rsidRPr="001B576D">
              <w:rPr>
                <w:rFonts w:ascii="Calibri" w:eastAsia="Times New Roman" w:hAnsi="Calibri" w:cs="Calibri"/>
                <w:sz w:val="16"/>
                <w:szCs w:val="16"/>
              </w:rPr>
              <w:t> </w:t>
            </w:r>
          </w:p>
        </w:tc>
      </w:tr>
      <w:tr w:rsidR="00DB60E7" w:rsidRPr="001B576D" w14:paraId="7272080C" w14:textId="77777777" w:rsidTr="00814F6D">
        <w:trPr>
          <w:trHeight w:val="36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22C6F2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Zhao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{"citationItems":[{"id":"ITEM-1","itemData":{"DOI":"10.1007/s10067-015-2896-z","abstract":"With the rising number of patients with rheumatoid arthritis (RA), there is a limited understanding about sociodemographic factors that influence functional disability in Chinese patients. In order to provide more targeted interventions to improve health-related quality of life (HRQoL) for patients with RA, we conducted a cross-sectional study to investigate the level and influencing factors of functional disability. Convenient samples were collected in outpatients with RA from a rheumatological center in southwest China from September to December 2013. Data were collected by printed questionnaires, and functional disability was measured by the Health Assessment Questionnaire Disability Index (HAQ-DI). The results showed that 58.48 % of 607 outpatients had functional disability. Patients from rural residents, with lower household income and lower education level, were significantly associated with worse functional disability. Multivariate regression findings showed that pain, age, disease duration, total cost for treatment, and frequency of hospitalization were positively associated with functional disability. Meanwhile, subjective and available social support was the protective predictors for functional disability. The results suggested that systematic intervention and therapies should be provided as early as possible. Patients and health care providers should promote the awareness of the importance of accessible health education in early intervention of RA. Besides, pain management and social support are encouraged to postpone the process of disability of patients and improve the HRQoL. Lastly, but not least, prevention and intervention of RA should be incorporated into public health education. © 2015, International League of Associations for Rheumatology (ILAR).","author":[{"dropping-particle":"","family":"Zhao","given":"S","non-dropping-particle":"","parse-names":false,"suffix":""},{"dropping-particle":"","family":"Chen","given":"Y","non-dropping-particle":"","parse-names":false,"suffix":""},{"dropping-particle":"","family":"Chen","given":"H","non-dropping-particle":"","parse-names":false,"suffix":""}],"container-title":"Clinical Rheumatology","id":"ITEM-1","issue":"5","issued":{"date-parts":[["2015"]]},"note":"Cited By :11\n\nExport Date: 5 December 2019","page":"845-851","publisher-place":"West China School of Nursing &amp; Department of Nursing, West China Hospital, Sichuan University, No. 37, Guoxuexiang, Wuhou District, Chengdu, Sichuan  610041, China","title":"Sociodemographic factors associated with functional disability in outpatients with rheumatoid arthritis in Southwest China","type":"article-journal","volume":"34"},"uris":["http://www.mendeley.com/documents/?uuid=4bc16387-2639-4919-9866-eb832ff51d55"]}],"mendeley":{"formattedCitation":"[41]","plainTextFormattedCitation":"[41]","previouslyFormattedCitation":"[42]"},"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[41]</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DB1F32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EC9146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32094E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3FD217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0F9608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126 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F9829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12FF3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7D5DB8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255037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HAQ,  </w:t>
            </w:r>
          </w:p>
        </w:tc>
      </w:tr>
      <w:tr w:rsidR="00DB60E7" w:rsidRPr="001B576D" w14:paraId="56280487"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BABBA2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Matcham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{"citationItems":[{"id":"ITEM-1","itemData":{"DOI":"10.1093/rheumatology/kev306","ISSN":"14620332","abstract":"Objective. The aim of this analysis is to examine the longitudinal impact of symptoms of depression/ anxiety on treatment response, long-term disease activity and physical disability in RA. Methods. Secondary analysis of clinical trial data was performed. Data were collected at baseline and at 6-monthly intervals for 2 years. The EuroQoL (EQ-5DTM) indicated depression/anxiety symptom severity. Our primary outcomes of interest were (i) DAS-28 and (ii) physical disability measured via the HAQ. Secondary outcomes were: tender and swollen joint counts, patient global assessment, ESR and odds of reaching clinical remission. Multilevel models were used to assess the impact of baseline and persistent depression/anxiety on outcomes over 2 years. Results. Data from 379 patients were included. After adjusting for covariates, baseline depression/anxiety symptoms were associated with increased DAS-28 outcomes and increased tender joint counts. Persistent depression/anxiety symptoms were associated with increased DAS-28 scores, HAQ scores, tender joint counts and patient global assessment of disease activity, and reduced odds of reaching clinical remission. Patients with symptoms of depression/anxiety at baseline also showed a 50% reduction in prednisolone treatment effect, in comparison with patients with no symptoms of depression/anxiety at baseline. Conclusion. Baseline and persistent symptoms of depression/anxiety are associated with poorer health outcomes over time, as well as reduced treatment response. Mental health should be routinely measured both in clinical practice and in research, and managed alongside rheumatological disease to optimize health outcomes. Further research is required to examine whether treatment of mental disorders can improve rheumatological outcomes.","author":[{"dropping-particle":"","family":"Matcham","given":"Faith","non-dropping-particle":"","parse-names":false,"suffix":""},{"dropping-particle":"","family":"Norton","given":"Sam","non-dropping-particle":"","parse-names":false,"suffix":""},{"dropping-particle":"","family":"Scott","given":"David L.","non-dropping-particle":"","parse-names":false,"suffix":""},{"dropping-particle":"","family":"Steer","given":"Sophia","non-dropping-particle":"","parse-names":false,"suffix":""},{"dropping-particle":"","family":"Hotopf","given":"Matthew","non-dropping-particle":"","parse-names":false,"suffix":""}],"container-title":"Rheumatology (United Kingdom)","id":"ITEM-1","issue":"2","issued":{"date-parts":[["2015"]]},"page":"268-278","title":"Symptoms of depression and anxiety predict treatment response and long-term physical health outcomes in rheumatoid arthritis: Secondary analysis of a randomized controlled trial","type":"article-journal","volume":"55"},"uris":["http://www.mendeley.com/documents/?uuid=06221923-419b-4b87-8bd0-395ca4553ea1"]}],"mendeley":{"formattedCitation":"[42]","plainTextFormattedCitation":"[42]","previouslyFormattedCitation":"[43]"},"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[42]</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612604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A04A7B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FA3C1A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847C0F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3C1784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385 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30F5E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156167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59 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EA825D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81  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3BFF50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HAQ, ESR, TJC, SJC, PGA </w:t>
            </w:r>
          </w:p>
        </w:tc>
      </w:tr>
      <w:tr w:rsidR="00DB60E7" w:rsidRPr="001B576D" w14:paraId="48697736"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4299F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van den Hoek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{"citationItems":[{"id":"ITEM-1","itemData":{"DOI":"http://dx.doi.org/10.1002/acr.22812","ISSN":"2151-464X","abstract":"Objective: Patients with rheumatoid arthritis (RA) have a significantly increased risk of mortality compared with the general population. One of the most important predictors for mortality is somatic comorbidity. Moreover, studies have demonstrated that comorbid depression is associated with mortality. Which specific comorbidities are associated with mortality is less investigated. The purpose of this study was to investigate the association of a wide range of comorbidities with mortality in patients with RA. Method(s): Longitudinal data over a 14-year period were collected from 882 patients with RA. Data were assessed with questionnaires. The mortality status was obtained from the Statistics Netherlands for the period 1996-2011 for 99% of the patients. Somatic comorbidity was assessed in 1997, 1998, 1999, and 2008 and measured by a national population-based questionnaire including 20 chronic diseases. Comorbid depression was assessed in 1997, 1998, and 1999 and measured with the Center for Epidemiologic Studies Depression Scale. Cox regression was used to study the relationship between comorbidity and mortality. Result(s): At baseline, 72% of the patients were women. The mean +/- SD age was 59.3 +/- 14.8 years, and the median (interquartile range) disease duration was 5.0 (2.0-14.0) years. A total of 345 patients died during the study period. Comorbidities that were associated with mortality were circulatory conditions (hazard ratio [HR] 1.60 [95% confidence interval (95% CI) 1.15-2.22]), respiratory conditions (HR 1.43 [95% CI 1.09-1.89]), cancer (HR 2.00 [95% CI 1.28-3.12]), and depression (HR 1.35 [95% CI 1.06-1.72]). Conclusion(s): Comorbid circulatory conditions, respiratory conditions, cancer, and depression are associated with mortality among patients with RA. Careful monitoring of these comorbidities during the course of the disease and adequate referral may improve health outcomes and chances of surviving.Copyright © 2016, American College of Rheumatology","author":[{"dropping-particle":"","family":"Hoek","given":"J.","non-dropping-particle":"van den","parse-names":false,"suffix":""},{"dropping-particle":"","family":"Boshuizen","given":"H.C.","non-dropping-particle":"","parse-names":false,"suffix":""},{"dropping-particle":"","family":"Roorda","given":"L.D.","non-dropping-particle":"","parse-names":false,"suffix":""},{"dropping-particle":"","family":"Tijhuis","given":"G.J.","non-dropping-particle":"","parse-names":false,"suffix":""},{"dropping-particle":"","family":"Nurmohamed","given":"M.T.","non-dropping-particle":"","parse-names":false,"suffix":""},{"dropping-particle":"","family":"Dekker","given":"J.","non-dropping-particle":"","parse-names":false,"suffix":""}],"container-title":"Arthritis Care and Research","id":"ITEM-1","issue":"8","issued":{"date-parts":[["2016"]]},"language":"English","page":"1055-1060","publisher":"John Wiley and Sons Inc. (P.O.Box 18667, Newark NJ 07191-8667, United States)","publisher-place":"J. van den Hoek, Amsterdam Rehabilitation Research Center, Reade, and Academic Medical Center, University of Amsterdam, Amsterdam, Netherlands. E-mail: j.vd.hoek@reade.nl","title":"Association of Somatic Comorbidities and Comorbid Depression With Mortality in Patients With Rheumatoid Arthritis: A 14-Year Prospective Cohort Study","type":"article-journal","volume":"68"},"uris":["http://www.mendeley.com/documents/?uuid=a1b1b511-508f-45ac-adee-14b32446552d"]}],"mendeley":{"formattedCitation":"[43]","plainTextFormattedCitation":"[43]","previouslyFormattedCitation":"[44]"},"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[43]</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E197A4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2752F6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4A7E63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Netherlands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838CD5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62A53E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882 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0E1A1D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156 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B0A24D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59 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F3462B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72 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7BBBDB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HAQ, EGA, Mortality </w:t>
            </w:r>
          </w:p>
        </w:tc>
      </w:tr>
      <w:tr w:rsidR="00DB60E7" w:rsidRPr="001B576D" w14:paraId="483A5091" w14:textId="77777777" w:rsidTr="00814F6D">
        <w:trPr>
          <w:trHeight w:val="36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10F1DC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Miwa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{"citationItems":[{"id":"ITEM-1","itemData":{"DOI":"http://dx.doi.org/10.1136/annrheumdis-2015-eular.1124","ISSN":"0003-4967","abstract":"Background: Biologic agents are highly effective for rheumatoid arthritis (RA); however, not all cases achieve clinical remission. It is difficult to predict the effectiveness before starting the treatment. Objective(s): To study predictive factors for clinical remission, which is one of the treatment goals in RA, after using biologic agents for 6 months. Method(s): The subjects were 333 RA patients treated with biologic agents. The following patient's characteristics were investigated: age, gender, the type of biologic agents, the number of previous drugs, disease duration, baseline steroid dosage, MTX dosage, serum RF, MMP-3, ACPA, TNF-alpha, and IL-6. For evaluation we used SDAI for RA disease activity, HAQ for ADL, Short Form (SF)-36 for QOL, and Hamilton Depression Rating Scale (HAM-D) or Self-rating depression scale (SDS) for depression status, respectively. Clinical remission was defined by SDAI3.3 after 6 months of treatment. The subjects were divided into two groups: patients with SDAI3.3 and patients with SDAI &gt;3.3 at 6 months, and a retrospective study was conducted. 101 patients were excluded from the study due to loss to 6-month follow-up, and a total of 232 patients were analyzed. Result(s): Compared with a group of RA patients without clinical remission (n=167), a group of patients with clinical remission (n=65) had younger age (50.0+/-15.5 vs. 59.6+/-14.1, p&lt;0.001), lower steroid dosage (1.9+/-2.4 mg/day vs. 4.3+/-3.8, p&lt;0.001), lower serum MMP-3 (151+/-197 ng/ml vs. 239+/-244, p&lt;0.05), lower serum TNF-alpha (28.4+/-57.7 pg/ml vs. 76.0+/-193.8, p=0.028), and lower serum IL-6 (12.5+/-22.8 pg/ml vs. 60.6+/-180.8, p=0.017) at baseline. In addition, those who achieved remission showed lower SDAI (17.9+/-11.7 vs. 28.0+/-13.7, p&lt;0.001), lower HAQ (0.26+/-0.38 vs. 0.71+/-0.63, p&lt;0.001), higher SF-36 (p&lt;0.05 in all categories), lower SDS (38.0+/-9.5 vs. 42.5+/-9.7, p=0.0061), and lower HAM-D (4.7+/-3.6 vs. 6.4+/-5.2, p&lt;0.05) at baseline. On the other hand, there was no significant difference on gender, the types of biologic agents, the order of drugs used in the treatment, MTX dosage, disease duration, serum RF, and ACPA. Conclusion(s): It was suggested that RA patients with lower disease activity, lower dosage of steroid, younger age, higher ADL and QOL, lower depression scores, and lower serum TNF-alpha and IL-6 at baseline are more likely to achieve clinical remission with biologic treatment.","author":[{"dropping-particle":"","family":"Miwa","given":"Y.","non-dropping-particle":"","parse-names":false,"suffix":""},{"dropping-particle":"","family":"Takahashi","given":"R.","non-dropping-particle":"","parse-names":false,"suffix":""},{"dropping-particle":"","family":"Isojima","given":"S.","non-dropping-particle":"","parse-names":false,"suffix":""},{"dropping-particle":"","family":"Isozaki","given":"T.","non-dropping-particle":"","parse-names":false,"suffix":""},{"dropping-particle":"","family":"Saito","given":"M.","non-dropping-particle":"","parse-names":false,"suffix":""},{"dropping-particle":"","family":"Oguro","given":"N.","non-dropping-particle":"","parse-names":false,"suffix":""},{"dropping-particle":"","family":"S., Nishimi","given":"S.","non-dropping-particle":"","parse-names":false,"suffix":""},{"dropping-particle":"","family":"Kasama","given":"T.","non-dropping-particle":"","parse-names":false,"suffix":""},{"dropping-particle":"","family":"Oh","given":"K.","non-dropping-particle":"","parse-names":false,"suffix":""},{"dropping-particle":"","family":"Y.","given":"Toyoshima","non-dropping-particle":"","parse-names":false,"suffix":""}],"collection-title":"Annual European Congress of Rheumatology of the European League Against Rheumatism, EULAR 2015. Rome Italy.","container-title":"Annals of the Rheumatic Diseases","id":"ITEM-1","issue":"SUPPL. 2","issued":{"date-parts":[["2015"]]},"language":"English","page":"1003","publisher":"BMJ Publishing Group","publisher-place":"Y. Miwa, Department of Medicine, Showa University, School of Medicine, Tokyo, Japan","title":"A study on characteristics of rheumatoid arthritis patients achieving clinical remission after 6 months of treatment with biologic agents","type":"article-journal","volume":"74"},"uris":["http://www.mendeley.com/documents/?uuid=7797cb73-c262-4b08-84ab-9c00077d0601"]}],"mendeley":{"formattedCitation":"[44]","plainTextFormattedCitation":"[44]","previouslyFormattedCitation":"[45]"},"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[44]</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BF5EF8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4F2C32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0361A2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Japan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695C8E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B48CFA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333 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353516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E66891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EA581A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E6AF4B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SDAI </w:t>
            </w:r>
          </w:p>
        </w:tc>
      </w:tr>
      <w:tr w:rsidR="00DB60E7" w:rsidRPr="001B576D" w14:paraId="3DF8CBBB"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31A6D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Brown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{"citationItems":[{"id":"ITEM-1","itemData":{"abstract":"There is considerable controversy in the literature regarding the extent to which chronic pain and depression are associated and the possible causal relationship of such an association. The present study examines these issues with a sample of 243 patients diagnosed with rheumatoid arthritis (RA) who were mailed questionnaires for six waves of data collection. The results indicated that RA patients experience higher levels of depressive symptomatology than community samples. Using a twolatent-variable, cross-lagged design, covariance structural modeling was conducted on self-report measures of pain and depression over 6-month intervals. Results most strongly supported a causal model in which pain predicts depression during the last 12 months of the study.","author":[{"dropping-particle":"","family":"Brown","given":"G K","non-dropping-particle":"","parse-names":false,"suffix":""}],"container-title":"Journal of Abnormal Psychology","id":"ITEM-1","issue":"2","issued":{"date-parts":[["1990"]]},"note":"Cited By :208\n\nExport Date: 5 December 2019","page":"127-137","publisher-place":"Department of Psychiatry, University of Pennsylvania, United States","title":"A Causal Analysis of Chronic Pain and Depression","type":"article-journal","volume":"99"},"uris":["http://www.mendeley.com/documents/?uuid=7bd86412-daf5-4f85-ba72-859d1769d8f8"]}],"mendeley":{"formattedCitation":"[45]","plainTextFormattedCitation":"[45]","previouslyFormattedCitation":"[46]"},"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[45]</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BDA499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1990 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46FF2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EB656D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USA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42E5A0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141D72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387 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5E6D32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182 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33E26B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53 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25F841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75 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55AF86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VAS pain </w:t>
            </w:r>
          </w:p>
        </w:tc>
      </w:tr>
      <w:tr w:rsidR="00DB60E7" w:rsidRPr="001B576D" w14:paraId="79F7D465"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AC9AE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Kronisch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author":[{"dropping-particle":"","family":"Kronisch","given":"Caroline","non-dropping-particle":"","parse-names":false,"suffix":""},{"dropping-particle":"","family":"Mclernon","given":"David","non-dropping-particle":"","parse-names":false,"suffix":""},{"dropping-particle":"","family":"Dale","given":"James","non-dropping-particle":"","parse-names":false,"suffix":""},{"dropping-particle":"","family":"Paterson","given":"Caron","non-dropping-particle":"","parse-names":false,"suffix":""},{"dropping-particle":"","family":"Ralston","given":"Stuart H.","non-dropping-particle":"","parse-names":false,"suffix":""},{"dropping-particle":"","family":"Reid","given":"David M.","non-dropping-particle":"","parse-names":false,"suffix":""},{"dropping-particle":"","family":"Tierney","given":"Ann","non-dropping-particle":"","parse-names":false,"suffix":""},{"dropping-particle":"","family":"Harvie","given":"John","non-dropping-particle":"","parse-names":false,"suffix":""},{"dropping-particle":"","family":"McKay","given":"Neil","non-dropping-particle":"","parse-names":false,"suffix":""},{"dropping-particle":"","family":"Wilson","given":"Hilary E.","non-dropping-particle":"","parse-names":false,"suffix":""},{"dropping-particle":"","family":"Munro","given":"Robin","non-dropping-particle":"","parse-names":false,"suffix":""},{"dropping-particle":"","family":"Saunders","given":"Sarah","non-dropping-particle":"","parse-names":false,"suffix":""},{"dropping-particle":"","family":"Richmond","given":"Ruth","non-dropping-particle":"","parse-names":false,"suffix":""},{"dropping-particle":"","family":"Baxter","given":"Derek","non-dropping-particle":"","parse-names":false,"suffix":""},{"dropping-particle":"","family":"McMahon","given":"Mike","non-dropping-particle":"","parse-names":false,"suffix":""},{"dropping-particle":"","family":"Kumar","given":"Vinod","non-dropping-particle":"","parse-names":false,"suffix":""},{"dropping-particle":"","family":"McLaren","given":"John","non-dropping-particle":"","parse-names":false,"suffix":""},{"dropping-particle":"","family":"Siebert","given":"Stefan","non-dropping-particle":"","parse-names":false,"suffix":""},{"dropping-particle":"","family":"McInnes","given":"Iain B.","non-dropping-particle":"","parse-names":false,"suffix":""},{"dropping-particle":"","family":"Porter","given":"Duncan","non-dropping-particle":"","parse-names":false,"suffix":""},{"dropping-particle":"","family":"Macfarlane","given":"Gary J.","non-dropping-particle":"","parse-names":false,"suffix":""},{"dropping-particle":"","family":"Basu","given":"Neil","non-dropping-particle":"","parse-names":false,"suffix":""}],"container-title":"ACR/ARHP Annual Meeting","id":"ITEM-1","issued":{"date-parts":[["2015"]]},"title":"A Clinical Risk Score to Predict Functional Disability at 1 Year in an Early Rheumatoid Arthritis Inception Cohort","type":"article-journal","volume":"3254"},"uris":["http://www.mendeley.com/documents/?uuid=19e5126e-3727-47ac-b9de-6be066bb5970"]}],"mendeley":{"formattedCitation":"[46]","plainTextFormattedCitation":"[46]","previouslyFormattedCitation":"[47]"},"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[46]</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BE6A5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w:t>
            </w:r>
            <w:r>
              <w:rPr>
                <w:rFonts w:ascii="Calibri" w:eastAsia="Times New Roman" w:hAnsi="Calibri" w:cs="Calibri"/>
                <w:sz w:val="16"/>
                <w:szCs w:val="16"/>
              </w:rPr>
              <w:t>5</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801E20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SERA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B48BAE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037D92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92C34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578 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E59416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12F978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61 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9D551B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65 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7AD99F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HAQ </w:t>
            </w:r>
          </w:p>
        </w:tc>
      </w:tr>
      <w:tr w:rsidR="00DB60E7" w:rsidRPr="001B576D" w14:paraId="3C09982D"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39C0DB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Corominas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{"citationItems":[{"id":"ITEM-1","itemData":{"author":[{"dropping-particle":"","family":"Corominas","given":"H.","non-dropping-particle":"","parse-names":false,"suffix":""},{"dropping-particle":"de","family":"Miguel","given":"C. Alegre","non-dropping-particle":"","parse-names":false,"suffix":""},{"dropping-particle":"","family":"Rodríguez-Gόmez","given":"M.","non-dropping-particle":"","parse-names":false,"suffix":""},{"dropping-particle":"","family":"Fernandez-Cid","given":"C. Marras","non-dropping-particle":"","parse-names":false,"suffix":""},{"dropping-particle":"","family":"Maceiras-Pan","given":"F.","non-dropping-particle":"","parse-names":false,"suffix":""}],"container-title":"Annals of the Rheumatic Diseases","id":"ITEM-1","issue":"500","issued":{"date-parts":[["2014"]]},"title":"FRI0317 Act-Axis Study: Impact of Roactemra® (TOCILIZUMAB) on Fatigue and Related Factors in Patients with Arthritis Rheumatoid in Daily Clinical Practice in Spain","type":"article-journal","volume":"73"},"uris":["http://www.mendeley.com/documents/?uuid=a9e7eae5-5f61-4ee9-ab27-349ccb9ea4f5"]}],"mendeley":{"formattedCitation":"[47]","plainTextFormattedCitation":"[47]","previouslyFormattedCitation":"[48]"},"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[47]</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4C71C6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2014 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5990C4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B790BD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Spain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DC7D6E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68B29D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120 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3CFF39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104 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BC1D32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5CF834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87 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4ECD08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w:t>
            </w:r>
          </w:p>
        </w:tc>
      </w:tr>
      <w:tr w:rsidR="00DB60E7" w:rsidRPr="001B576D" w14:paraId="2123201C" w14:textId="77777777" w:rsidTr="00814F6D">
        <w:trPr>
          <w:trHeight w:val="36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71FBFD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Gwinnutt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{"citationItems":[{"id":"ITEM-1","itemData":{"DOI":"http://dx.doi.org/10.1093/rheumatology/kez107.017","ISSN":"1462-0332","abstract":"Background: Assessing the association between baseline factors and treatment response with work outcomes (leaving work, sick-leave, presenteeism) for patients with rheumatoid arthritis (RA) is important for developing strategies that keep patients in work/limit presenteeism. Method(s): Patients with RA starting methotrexate (MTX) or biologic treatment were recruited to two UK cohorts: RAMS (MTX) and BRAGGSS (biologics). Patients were seen before commencing therapy, and at 6 and 12 months. Inclusion criteria for this analysis were: aged 18-65 years, in full/part-time employment at baseline, and completed &gt;=1 follow-up. Baseline data included age, gender, smoking-status, swollen joint count, Health Assessment Questionnaire (HAQ), pain/fatigue visual analogue scales (VAS), Hospital Anxiety and Depression Scale (HADS-A/HADS-D), EQ5D, comorbidities and occupation (NS-SEC; Table). EULAR response was calculated between baseline and 6 months. Work outcomes measured were: left work (yes/no) for any reason, sick-leave (absent during last month, yes/no) and presenteeism (0-10 scale; RA-specific Work Productivity Survey). Two analyses were performed to investigate the associations between i) baseline measures (backward selection) and work outcomes and ii) EULAR response and work outcomes using repeated-measures logistic (left-work, sick-leave) and negative binomial (presenteeism) regression. Result(s): This study included 463 MTX-starters (median [IQR] age=52 [45,57] years; 68% women) and 309 biologic-starters (age=52 [45,57] years; 72% women). More biologic-starters left work (6 months: MTXstarters 6.4%, biologic-starters 26.3%; 12 months: MTX-starters 5.4%, biologic-starters 13.1%), whereas more MTX-starters reported sick-leave (6 months: MTX-starters 18.2%, biologic-starters 11.0%; 12 months: MTX-starters 14.4%, biologic-starters 8.7%). Presenteeism scores were similar (median [IQR] 6 months: MTX-starters=2 [0,5], biologic-starters=2 [0,5]; 12 months: MTX-starters=2 [0,4], biologicstarters =1 [0,4]). Good EULAR response at six months was associated with lower odds of sick-leave and lower presenteeism scores but not job loss compared with non-responders (Table). HAQ score was associated with work outcomes (MTX-starters: leaving work, sickleave; biologic-starters: sick-leave, presenteeism). Patients reporting more anxiety and lower occupation level were also more likely to have worse work outcomes (Table 1). Conclusion(s): Good response was associated with absente…","author":[{"dropping-particle":"","family":"Gwinnutt","given":"J.","non-dropping-particle":"","parse-names":false,"suffix":""},{"dropping-particle":"","family":"Leggett","given":"S.","non-dropping-particle":"","parse-names":false,"suffix":""},{"dropping-particle":"","family":"Lunt","given":"M.","non-dropping-particle":"","parse-names":false,"suffix":""},{"dropping-particle":"","family":"Barton","given":"A.","non-dropping-particle":"","parse-names":false,"suffix":""},{"dropping-particle":"","family":"Hyrich","given":"K.","non-dropping-particle":"","parse-names":false,"suffix":""},{"dropping-particle":"","family":"Walker-Bone","given":"K.","non-dropping-particle":"","parse-names":false,"suffix":""}],"collection-title":"2019 Annual Conference of the British Society for Rheumatology, BSR 2019. United Kingdom.","container-title":"Rheumatology (United Kingdom)","id":"ITEM-1","issue":"Supplement 3","issued":{"date-parts":[["2019"]]},"language":"English","publisher":"Oxford University Press","publisher-place":"J. Gwinnutt, Arthritis Research UK Centre for Epidemiology, University of Manchester, Manchester, United Kingdom","title":"Anxiety, occupation and functional ability at the start of treatment and EULAR response are the main predictors of work outcomes in patients with rheumatoid arthritis commencing either methotrexate or biologics","type":"article-journal","volume":"58"},"uris":["http://www.mendeley.com/documents/?uuid=3e2e8c1a-5632-40f2-b289-ce5bad151a9a"]}],"mendeley":{"formattedCitation":"[48]","plainTextFormattedCitation":"[48]","previouslyFormattedCitation":"[49]"},"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[48]</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80FEF4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2019 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65C466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RAMS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D05806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71C0F5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A8461B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463 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3A60B7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12A77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AAFC59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68 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3C1CA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Work disability (work leave, sick leave, presenteeism) </w:t>
            </w:r>
          </w:p>
        </w:tc>
      </w:tr>
      <w:tr w:rsidR="00DB60E7" w:rsidRPr="001B576D" w14:paraId="2BB4F39E"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B93A0E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Rathbun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{"citationItems":[{"id":"ITEM-1","itemData":{"DOI":"https://dx.doi.org/10.1016/j.clinthera.2016.06.007","ISSN":"1879-114X","abstract":"PURPOSE: Depressive symptoms are common in rheumatoid arthritis (RA) and may affect disease activity and treatment outcomes. The objective of this study was to determine if prevalent depressive symptoms modify biologic treatment response through their effect on RA disease activity., METHODS: RA patients with depressive symptoms, initiating biologic treatment, were identified from a US RA registry sample. Patients with depression were compared with control subjects (ie, those patients with no reports of depressive symptoms at, or before, initiating therapy) in terms of clinical disease activity index (CDAI) remission and low disease activity (LDA), and the changes in the component measures that comprise this scale at 6 and 12 months of follow-up. Inverse probability weighting was used to account for differences in baseline disease severity, concomitant treatment characteristics, and other possible confounders. Logistic and linear regression models estimated differences in response rates and changes in component disease activity measures., FINDINGS: Depressive symptoms were associated with a decreased likelihood of CDAI remission at 6 months (odds ratio, 0.43 [95% CI, 0.19-0.96]) but not at 12 months (odds ratio, 0.83 [95% CI, 0.43-1.60]), and there was no effect on CDAI LDA. Adjusted core component measurement changes showed smaller decreases in global assessment ratings in patients with depressive symptoms; these associations were not statistically significant., IMPLICATIONS: Poorer treatment outcomes among RA patients with depressive symptoms may be a result of higher baseline disease severity. Adjusted estimates indicated symptoms of depression only affected remission at 6 months' follow-up through patient and physician global assessments. Thus, any impact of depressive symptoms during biologic treatment might not be due to a definitive impact on joint swelling and tenderness. Copyright © 2016 Elsevier HS Journals, Inc. All rights reserved.","author":[{"dropping-particle":"","family":"Rathbun","given":"A","non-dropping-particle":"","parse-names":false,"suffix":""},{"dropping-particle":"","family":"Harrold","given":"L","non-dropping-particle":"","parse-names":false,"suffix":""},{"dropping-particle":"","family":"Reed","given":"G","non-dropping-particle":"","parse-names":false,"suffix":""}],"container-title":"Clinical therapeutics","id":"ITEM-1","issue":"7","issued":{"date-parts":[["2016"]]},"page":"1759-1772.e3","publisher-place":"United States","title":"A Prospective Evaluation of the Effects of Prevalent Depressive Symptoms on Disease Activity in Rheumatoid Arthritis Patients Treated With Biologic Response Modifiers.","type":"article-journal","volume":"38"},"uris":["http://www.mendeley.com/documents/?uuid=1f62b14b-f4f9-48d2-bb2e-447b659c3417"]}],"mendeley":{"formattedCitation":"[49]","plainTextFormattedCitation":"[49]","previouslyFormattedCitation":"[50]"},"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[49]</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99153E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74C9A6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CORRONA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CC91A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USA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2FC6F8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94FB9A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1820 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291392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84A0A4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58 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B77E98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75 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245D2C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CDAI </w:t>
            </w:r>
          </w:p>
        </w:tc>
      </w:tr>
      <w:tr w:rsidR="00DB60E7" w:rsidRPr="001B576D" w14:paraId="4FFF2495"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7F2B28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Matcham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{"citationItems":[{"id":"ITEM-1","itemData":{"DOI":"http://dx.doi.org/10.1186/s12891-016-1011-1","ISSN":"1471-2474 (electronic)","abstract":"Background: This study aimed to investigate the impact of depression and anxiety scores on disease activity at 1-year follow-up in people with Rheumatoid Arthritis (RA). Method(s): The Hospital Anxiety Depression Scale (HADS) was used to measure depression and anxiety in a cross-section of RA patients. The primary outcome of interest was disease activity (DAS28), measured one-year after baseline assessment. Secondary outcomes were: tender joint count, swollen joint count, erythrocyte sedimentation rate and patient global assessment, also measured one-year after baseline assessment. We also examined the impact of baseline depression and anxiety on odds of reaching clinical remission at 1-year follow-up. Result(s): In total, 56 RA patients were eligible for inclusion in this analysis. Before adjusting for key demographic and disease variables, increased baseline depression and anxiety were associated with increased disease activity at one-year follow-up, although this was not sustained after adjusting for baseline disease activity. There was a strong association between depression and anxiety and the subjective components of the DAS28 at 12-month follow-up: tender joint count and patient global assessment. After adjusting for age, gender, disease duration and baseline tender joint count and patient global assessment respectively, higher levels of depression and anxiety at baseline were associated with increased tender joint count and patient global assessment scores at 1-year follow-up. Conclusion(s): Symptoms of depression and anxiety have implications for disease activity, as measured via the DAS28, primarily due to their influence on tender joints and patient global assessment. These findings have implications for treatment decision-making as inflated DAS28 despite well controlled inflammatory disease markers may indicate significant psychological morbidity and related non-inflammatory pain, rather than true disease activity.Copyright © 2016 Matcham et al.","author":[{"dropping-particle":"","family":"Matcham","given":"Faith","non-dropping-particle":"","parse-names":false,"suffix":""},{"dropping-particle":"","family":"Ali","given":"S.","non-dropping-particle":"","parse-names":false,"suffix":""},{"dropping-particle":"","family":"Irving","given":"K.","non-dropping-particle":"","parse-names":false,"suffix":""},{"dropping-particle":"","family":"Hotopf","given":"M.","non-dropping-particle":"","parse-names":false,"suffix":""}],"container-title":"BMC Musculoskeletal Disorders","id":"ITEM-1","issue":"1","issued":{"date-parts":[["2016"]]},"language":"English","page":"155","publisher":"BioMed Central Ltd. (E-mail: info@biomedcentral.com)","publisher-place":"F. Matcham, Department of Psychological Medicine, Institute of Psychiatry, Psychology and Neuroscience, King's College London, 10 Cutcombe road, London SE5 9RJ, United Kingdom. E-mail: faith.matcham@kcl.ac.uk","title":"Are depression and anxiety associated with disease activity in rheumatoid arthritis? A prospective study","type":"article-journal","volume":"17"},"uris":["http://www.mendeley.com/documents/?uuid=418587d0-8c2f-4334-8ca6-be2f98199806"]}],"mendeley":{"formattedCitation":"[33]","plainTextFormattedCitation":"[33]","previouslyFormattedCitation":"[34]"},"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[33]</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4B73BA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79783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305FFC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831F2F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F42FC1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56 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7CE030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557FDD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BB2CF9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79 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5D2B89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ESR, TJC, SJC, PGA </w:t>
            </w:r>
          </w:p>
        </w:tc>
      </w:tr>
      <w:tr w:rsidR="00DB60E7" w:rsidRPr="001B576D" w14:paraId="5A921DDA"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A2B51C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Kronisch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{"citationItems":[{"id":"ITEM-1","itemData":{"DOI":"http://dx.doi.org/10.1002/art.39627","ISSN":"2326-5191","abstract":"Objective: To identify baseline prognostic indicators of disability at 1 year within a contemporary early inflammatory arthritis inception cohort and then develop a clinically useful tool to support early patient education and decision-making. Method(s): The Scottish Early Rheumatoid Arthritis (SERA) inception cohort is a multicenter, prospective study of patients with newly presenting RA or undifferentiated arthritis. SERA data were analyzed to determine baseline predictors of disability (defined as a Health Assessment Questionnaire [HAQ] score of &gt;=1) at 1 year. Clinical and psychosocial baseline exposures were entered into a forward stepwise logistic regression model. The model was externally validated using newly accrued SERA data and subsequently converted into a prediction tool. Result(s): Of the 578 participants (64.5% female), 36.7% (n = 212) reported functional disability at 1 year. Functional disability was independently predicted by baseline disability (odds ratio [OR] 2.67 [95% confidence interval (95% CI) 1.98, 3.59]), depression (OR 2.52 [95% CI 1.18, 5.37]), anxiety (OR 2.37 [95% CI 1.33, 4.21]), being in paid employment with absenteeism during the last week (OR 1.19 [95% CI 0.63, 2.23]), not being in paid employment (OR 2.36 [95% CI 1.38, 4.03]), and being overweight (OR 1.61 [95% CI 1.04, 2.50]). External validation (using 113 newly acquired patients) evidenced good discriminative performance with a C statistic of 0.74, and the calibration slope showed no evidence of model overfit (P = 0.31). Conclusion(s): In the context of modern early inflammatory arthritis treatment paradigms, predictors of disability at 1 year appear to be dominated by psychosocial rather than more traditional clinical measures. This indicates the potential benefit of early access to nonpharmacologic interventions targeting key psychosocial factors, such as mental health and work disability.Copyright © 2016, American College of Rheumatology","author":[{"dropping-particle":"","family":"Kronisch","given":"C.","non-dropping-particle":"","parse-names":false,"suffix":""},{"dropping-particle":"","family":"McLernon","given":"D.J.","non-dropping-particle":"","parse-names":false,"suffix":""},{"dropping-particle":"","family":"Dale","given":"J.","non-dropping-particle":"","parse-names":false,"suffix":""},{"dropping-particle":"","family":"Paterson","given":"C.","non-dropping-particle":"","parse-names":false,"suffix":""},{"dropping-particle":"","family":"Ralston","given":"S.H.","non-dropping-particle":"","parse-names":false,"suffix":""},{"dropping-particle":"","family":"Reid","given":"D.M.","non-dropping-particle":"","parse-names":false,"suffix":""},{"dropping-particle":"","family":"Tierney","given":"A.","non-dropping-particle":"","parse-names":false,"suffix":""},{"dropping-particle":"","family":"Harvie","given":"J.","non-dropping-particle":"","parse-names":false,"suffix":""},{"dropping-particle":"","family":"McKay","given":"N.","non-dropping-particle":"","parse-names":false,"suffix":""},{"dropping-particle":"","family":"Wilson","given":"H.E.","non-dropping-particle":"","parse-names":false,"suffix":""},{"dropping-particle":"","family":"Munro","given":"R.","non-dropping-particle":"","parse-names":false,"suffix":""},{"dropping-particle":"","family":"Saunders","given":"S.","non-dropping-particle":"","parse-names":false,"suffix":""},{"dropping-particle":"","family":"Richmond","given":"R.","non-dropping-particle":"","parse-names":false,"suffix":""},{"dropping-particle":"","family":"Baxter","given":"D.","non-dropping-particle":"","parse-names":false,"suffix":""},{"dropping-particle":"","family":"McMahon","given":"M.","non-dropping-particle":"","parse-names":false,"suffix":""},{"dropping-particle":"","family":"Kumar","given":"V.","non-dropping-particle":"","parse-names":false,"suffix":""},{"dropping-particle":"","family":"McLaren","given":"J.","non-dropping-particle":"","parse-names":false,"suffix":""},{"dropping-particle":"","family":"Siebert","given":"S.","non-dropping-particle":"","parse-names":false,"suffix":""},{"dropping-particle":"","family":"McInnes","given":"I.B.","non-dropping-particle":"","parse-names":false,"suffix":""},{"dropping-particle":"","family":"Porter","given":"D.","non-dropping-particle":"","parse-names":false,"suffix":""},{"dropping-particle":"","family":"Macfarlane","given":"G.J.","non-dropping-particle":"","parse-names":false,"suffix":""},{"dropping-particle":"","family":"Basu","given":"N.","non-dropping-particle":"","parse-names":false,"suffix":""},{"dropping-particle":"","family":"Dale","given":"J.","non-dropping-particle":"","parse-names":false,"suffix":""}],"container-title":"Arthritis and Rheumatology","id":"ITEM-1","issue":"7","issued":{"date-parts":[["2016"]]},"language":"English","page":"1596-1602","publisher":"John Wiley and Sons Inc. (P.O.Box 18667, Newark NJ 07191-8667, United States)","publisher-place":"N. Basu, University of Aberdeen, Aberdeen, United Kingdom. E-mail: neilbasu@abdn.ac.uk","title":"Brief Report: Predicting Functional Disability: One-Year Results From the Scottish Early Rheumatoid Arthritis Inception Cohort","type":"article-journal","volume":"68"},"uris":["http://www.mendeley.com/documents/?uuid=c6c7ed1f-a694-4ce9-a4dc-13150e8d540e"]}],"mendeley":{"formattedCitation":"[50]","plainTextFormattedCitation":"[50]","previouslyFormattedCitation":"[51]"},"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[50]</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AED1D7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590B78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SERA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BDD603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6C1750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B34CD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1140 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7985A0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AC3A58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61 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EB1E8B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65 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3A531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HAQ </w:t>
            </w:r>
          </w:p>
        </w:tc>
      </w:tr>
      <w:tr w:rsidR="00DB60E7" w:rsidRPr="001B576D" w14:paraId="24F58336" w14:textId="77777777" w:rsidTr="00814F6D">
        <w:trPr>
          <w:trHeight w:val="13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2900A2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Miwa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{"citationItems":[{"id":"ITEM-1","itemData":{"DOI":"10.1136/annrheumdis-2017-eular.1443","abstract":"Background: Approximately 15% of RA patients also suffer from depression, with an odds ratio of 1.42 (95% CI 1.3 ‐ 1.5) compared with healthy people. A previous study reported that biological agents can improve the depressed state associated with RA. Although previous studies have been cross‐sectional, there were no reports that analyzed factors that led to depression remission. Objectives: To examine the relationship between baseline factors and depression remission after six‐month biologic agent treatment in rheumatoid arthritis (RA) patients. Methods: The subjects were 384 RA patients treated with biologic agents. The following patient's characteristics were investigated: age, gender, number of previous drugs, disease duration, type of biologic agents, baseline steroid dosage, methotrexate dosage and serum matrix metalloproteinase‐3 (MMP‐3) levels. For evaluation, we used the Simplified Disease Activity Index for RA disease activity; the Health Assessment Questionnaire Disability Index (HAQ‐DI) score for activities of daily living; the Short Form‐36 for nonspecific health‐related quality of life; and Hamilton Depression Rating Scale (HAM‐D) scores for depression status. Depression remission was defined by HAM‐DDELTA7 after 6 months of treatment. The subjects were divided into two groups according to the presence or absence of depression, and a retrospective study was performed. Results: We included 152 patients in the analysis. Two hundred thirty‐two patients were excluded due to primary and secondary failure, complications, loss to 6‐month follow‐up, incomplete data, etc. Compared with a group of RA patients with depression remission (n=124), a group of patients with no depression remission (n=28) had a younger age (p=0.000), female sex (p=0.039), lower serum MMP‐3 levels (p=0.021), lower HAQ‐DI (p=0.018), lower HAM‐D score (p=0.000), and higher Role/Social component summary score of the SF‐36 (p=0.009) by univariate analyses. The binominal logistic analyses findings were as follows: younger age (p=0.0045, odd ratio: 0.94, 95% CI: 0.8‐0.98), female sex (p=0.021, odd ratio: 0.21, 95% CI: 0.054‐0.79), and lower HAM‐D scores (p=0.0073, odd ratio: 0.85, 95% CI: 0.76‐0.96). Conclusions: It was suggested that RA patients who are female, younger in age and have lower depression scores at baseline are more likely to achieve depression remission status with the biologic treatment.","author":[{"dropping-particle":"","family":"Miwa","given":"Y","non-dropping-particle":"","parse-names":false,"suffix":""},{"dropping-particle":"","family":"Yajima","given":"N","non-dropping-particle":"","parse-names":false,"suffix":""},{"dropping-particle":"","family":"Isozaki","given":"T","non-dropping-particle":"","parse-names":false,"suffix":""},{"dropping-particle":"","family":"Takahashi","given":"R","non-dropping-particle":"","parse-names":false,"suffix":""},{"dropping-particle":"","family":"Miura","given":"Y","non-dropping-particle":"","parse-names":false,"suffix":""},{"dropping-particle":"","family":"Ikari","given":"Y","non-dropping-particle":"","parse-names":false,"suffix":""},{"dropping-particle":"","family":"Hatano","given":"M","non-dropping-particle":"","parse-names":false,"suffix":""},{"dropping-particle":"","family":"Hayashi","given":"T","non-dropping-particle":"","parse-names":false,"suffix":""},{"dropping-particle":"","family":"Kasama","given":"T","non-dropping-particle":"","parse-names":false,"suffix":""},{"dropping-particle":"","family":"Sanada","given":"K","non-dropping-particle":"","parse-names":false,"suffix":""}],"container-title":"Annals of the rheumatic diseases. Conference: annual european congress of rheumatology, EULAR 2017. Spain","id":"ITEM-1","issue":"Supplement 2","issued":{"date-parts":[["2017"]]},"page":"800‐801","title":"A study on characteristics of rheumatoid arthritis patients achieving depression remission with 6 months of biologic agent treatment","type":"article-journal","volume":"76"},"uris":["http://www.mendeley.com/documents/?uuid=21105887-1db4-4aae-8908-59eecf0ea345"]}],"mendeley":{"formattedCitation":"[51]","plainTextFormattedCitation":"[51]","previouslyFormattedCitation":"[52]"},"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[51]</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AE1C7A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2017 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2B5B4A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FDF3F3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Japan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289A3D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Retrospective 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55FF83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232 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DC1AF1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A66FB2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55 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BBD829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71 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047FE5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HAQ </w:t>
            </w:r>
          </w:p>
        </w:tc>
      </w:tr>
      <w:tr w:rsidR="00DB60E7" w:rsidRPr="001B576D" w14:paraId="20E516B7"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9B7712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Ang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{"citationItems":[{"id":"ITEM-1","itemData":{"abstract":"Objective. Whether comorbid depression increases mortality in patients with rheumatoid arthritis (RA) is unknown. Our objective was to determine whether the presence of depression predicted mortality in patients with RA. Methods. We followed 1290 consecutive outpatients with RA who met our stringent inclusion criteria during an 18-year observation period. Since 1981, demographic, clinic, and self-report data were collected and entered into a computer database at the time of each clinic visit. The comorbidity data were consistently recorded beginning in 1991. Our primary independent variable was the mean of the Arthritis Impact Measurement Scales (AIMS) depression scores during the first 4 years of entry into the clinic cohort (average 4-year depression). Data were analyzed using Cox proportional hazard models. Results. After adjusting for covariates, the hazard ratio (HR) for each unit increase in the average 4-year depression score on mortality was 1.14 (p &lt; 0.0001). Using only the data obtained from 1991 to 2003, the mortality risk was slightly increased (HR 1.35, p &lt; 0.0001). To reduce residual confounding due to RA disease activity and/or comorbid medical conditions, we then excluded deaths during the first 2 years after study onset. With this method, the HR for the average 4-year depression remained significant (HR 1.35, p &lt; 0.0001). Because an AIMS depression score ≥ 4 is consistent with clinical depression, we analyzed the dataset using the average 4-year depression score as a dichotomous variable (score &lt; 4 or ≥ 4). The HR of clinical depression on mortality was 2.2 (95% CI 1.2-3.9, P = 0.01). Conclusion. Depression increases the risk of mortality in RA. Our study highlights the importance of comorbid depression in patients with RA.","author":[{"dropping-particle":"","family":"Ang","given":"D C","non-dropping-particle":"","parse-names":false,"suffix":""},{"dropping-particle":"","family":"Choi","given":"H","non-dropping-particle":"","parse-names":false,"suffix":""},{"dropping-particle":"","family":"Kroenke","given":"K","non-dropping-particle":"","parse-names":false,"suffix":""},{"dropping-particle":"","family":"Wolfe","given":"F","non-dropping-particle":"","parse-names":false,"suffix":""}],"container-title":"Journal of Rheumatology","id":"ITEM-1","issue":"6","issued":{"date-parts":[["2005"]]},"note":"Cited By :167\n\nExport Date: 5 December 2019","page":"1013-1019","publisher-place":"Division of Rheumatology, Indiana University School of Medicine, Indianapolis, IN, United States","title":"Comorbid depression is an independent risk factor for mortality in patients with rheumatoid arthritis","type":"article-journal","volume":"32"},"uris":["http://www.mendeley.com/documents/?uuid=4122f4f7-369e-441e-b420-64ee09dc1c71"]}],"mendeley":{"formattedCitation":"[52]","plainTextFormattedCitation":"[52]","previouslyFormattedCitation":"[53]"},"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[52]</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D7CCA6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2005 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76D6DD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1ABEB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USA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9128F5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123D9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1290 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ED2D30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939 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8F5A9D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57 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380E30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73 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292B2E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Mortality </w:t>
            </w:r>
          </w:p>
        </w:tc>
      </w:tr>
      <w:tr w:rsidR="00DB60E7" w:rsidRPr="001B576D" w14:paraId="5B63E3A5" w14:textId="77777777" w:rsidTr="00814F6D">
        <w:trPr>
          <w:trHeight w:val="36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FA52E1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Parenti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author":[{"dropping-particle":"","family":"Parenti","given":"D.","non-dropping-particle":"","parse-names":false,"suffix":""},{"dropping-particle":"","family":"Reed","given":"G.","non-dropping-particle":"","parse-names":false,"suffix":""},{"dropping-particle":"","family":"Kafka","given":"S.","non-dropping-particle":"","parse-names":false,"suffix":""},{"dropping-particle":"","family":"Ellis","given":"L.","non-dropping-particle":"","parse-names":false,"suffix":""},{"dropping-particle":"","family":"J.D. Greenberg","given":"R","non-dropping-particle":"","parse-names":false,"suffix":""},{"dropping-particle":"","family":"DeHoratius","given":"J.","non-dropping-particle":"","parse-names":false,"suffix":""}],"container-title":"Annals of the Rheumatic Diseases","id":"ITEM-1","issue":"2","issued":{"date-parts":[["2016"]]},"title":"THU0130 Comorbidities and Efficacy of anti-TNF Therapies: History of Depression as A Possible Indicator of Lower Response","type":"article-journal","volume":"75"},"uris":["http://www.mendeley.com/documents/?uuid=57a787ad-7a97-4889-b8b0-a77fb8a006cd"]}],"mendeley":{"formattedCitation":"[53]","plainTextFormattedCitation":"[53]","previouslyFormattedCitation":"[54]"},"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[53]</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EE515D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584E1B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5D494F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USA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764370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Retrospective 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AA0CDB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4064 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00666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6477F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15B520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767278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 28, CDAI </w:t>
            </w:r>
          </w:p>
        </w:tc>
      </w:tr>
      <w:tr w:rsidR="00DB60E7" w:rsidRPr="001B576D" w14:paraId="3D03896C" w14:textId="77777777" w:rsidTr="00814F6D">
        <w:trPr>
          <w:trHeight w:val="36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22111F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Cui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author":[{"dropping-particle":"","family":"Cui","given":"Kangping","non-dropping-particle":"","parse-names":false,"suffix":""},{"dropping-particle":"","family":"Bombardier","given":"Claire","non-dropping-particle":"","parse-names":false,"suffix":""},{"dropping-particle":"","family":"Tomlinson","given":"George A.","non-dropping-particle":"","parse-names":false,"suffix":""}],"container-title":"ACR/ARHP Annual Meeting","id":"ITEM-1","issued":{"date-parts":[["2015"]]},"title":"Contributions of Social Determinants of Health on Probability of Remission in Early and Established Rheumatoid Arthritis Patients","type":"article-journal","volume":"45"},"uris":["http://www.mendeley.com/documents/?uuid=b4d5923e-71f5-42d3-923a-dc07d9cc811e"]}],"mendeley":{"formattedCitation":"[54]","plainTextFormattedCitation":"[54]","previouslyFormattedCitation":"[55]"},"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[54]</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9BB5FE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5B616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OBRI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B4C4F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Canada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1F5576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C26E72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2305 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B7FA49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DAA08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04C58B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BF54FC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SDAI </w:t>
            </w:r>
          </w:p>
        </w:tc>
      </w:tr>
      <w:tr w:rsidR="00DB60E7" w:rsidRPr="001B576D" w14:paraId="34A16EAB" w14:textId="77777777" w:rsidTr="00814F6D">
        <w:trPr>
          <w:trHeight w:val="36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BBBCA2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Corominas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{"citationItems":[{"id":"ITEM-1","itemData":{"DOI":"10.1097/MD.0000000000015947","abstract":"To assess the hypothesis if tocilizumab (TCZ) is effective on disease activity, and also its effect in fatigue and other clinical and psychological disease-related factors in patients with rheumatoid arthritis (RA) treated with TCZ.A 24-week, multicenter, prospective, observational study in patients with moderate to severe RA receiving TCZ after failure or intolerance to disease-modifying antirheumatic drugs or tumor necrosis factor-alpha was conducted.Of the 122 patients included, 85 were evaluable for effectiveness (85% female, 51.9 ± 12.5 years, disease duration 8.7 ± 7.4 years). Mean change in C-reactive protein level from baseline to week 12 was -11.2 ± 4.0 (P &lt; .001). Mean Disease Activity Index score (DAS28) decreased from 5.5 ± 1.0 at baseline to 2.7 ± 1.3 (P &lt; .001) at week 24. Mean change in Functional Assessment of Chronic Illness Therapy score was -5.4 ± 11.2 points at week 24. Multiple regression analysis showed that the improvement in DAS28, sleep, and depression explained 56% and 47% of fatigue variance at week 12 and 24, respectively.Tocilizumab is effective in reducing disease activity and results in a clinically significant improvement in fatigue, pain, swollen joint count, morning stiffness, sleepiness, depression, and DAS28; the last 3 were specifically identified as factors explaining fatigue variance with the use of TCZ in RA patients.","author":[{"dropping-particle":"","family":"Corominas","given":"H","non-dropping-particle":"","parse-names":false,"suffix":""},{"dropping-particle":"","family":"Alegre","given":"C","non-dropping-particle":"","parse-names":false,"suffix":""},{"dropping-particle":"","family":"Narváez","given":"J","non-dropping-particle":"","parse-names":false,"suffix":""},{"dropping-particle":"","family":"Fernández-Cid","given":"C.M","non-dropping-particle":"","parse-names":false,"suffix":""},{"dropping-particle":"","family":"Torrente-Segarra","given":"V","non-dropping-particle":"","parse-names":false,"suffix":""},{"dropping-particle":"","family":"Gómez","given":"M R","non-dropping-particle":"","parse-names":false,"suffix":""},{"dropping-particle":"","family":"Pan","given":"F M","non-dropping-particle":"","parse-names":false,"suffix":""},{"dropping-particle":"","family":"Morlà","given":"R M","non-dropping-particle":"","parse-names":false,"suffix":""},{"dropping-particle":"","family":"Martínez","given":"F J R","non-dropping-particle":"","parse-names":false,"suffix":""},{"dropping-particle":"","family":"Gómez-Centeno","given":"A","non-dropping-particle":"","parse-names":false,"suffix":""},{"dropping-particle":"","family":"Ares","given":"L L","non-dropping-particle":"","parse-names":false,"suffix":""},{"dropping-particle":"","family":"Molina","given":"R G","non-dropping-particle":"","parse-names":false,"suffix":""},{"dropping-particle":"","family":"González-Albo","given":"S P","non-dropping-particle":"","parse-names":false,"suffix":""},{"dropping-particle":"","family":"Dalmau-Carolà","given":"J","non-dropping-particle":"","parse-names":false,"suffix":""},{"dropping-particle":"","family":"Pérez-García","given":"C","non-dropping-particle":"","parse-names":false,"suffix":""},{"dropping-particle":"","family":"Álvarez","given":"C B","non-dropping-particle":"","parse-names":false,"suffix":""},{"dropping-particle":"","family":"Ercole","given":"L","non-dropping-particle":"","parse-names":false,"suffix":""},{"dropping-particle":"","family":"Terrancle","given":"M Á","non-dropping-particle":"","parse-names":false,"suffix":""},{"dropping-particle":"","family":"Group","given":"ACT-AXIS Study","non-dropping-particle":"","parse-names":false,"suffix":""}],"container-title":"Medicine","id":"ITEM-1","issue":"26","issued":{"date-parts":[["2019"]]},"note":"Export Date: 5 December 2019","page":"e15947","publisher-place":"Rheumatology Department, Hospital Sant Joan Despí Moises Broggi","title":"Correlation of fatigue with other disease related and psychosocial factors in patients with rheumatoid arthritis treated with tocilizumab: ACT-AXIS study","type":"article-journal","volume":"98"},"uris":["http://www.mendeley.com/documents/?uuid=bb891b31-b6ed-4f46-8376-5f1eda1d3e21"]}],"mendeley":{"formattedCitation":"[55]","plainTextFormattedCitation":"[55]","previouslyFormattedCitation":"[56]"},"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[55]</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E48074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2019 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C4CDE7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BFFCF8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Spain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FC851E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2FA835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2305 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F8DE04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0E1A95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C2A12C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51FEBB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FACIT-F </w:t>
            </w:r>
          </w:p>
        </w:tc>
      </w:tr>
      <w:tr w:rsidR="00DB60E7" w:rsidRPr="001B576D" w14:paraId="259538CF" w14:textId="77777777" w:rsidTr="00814F6D">
        <w:trPr>
          <w:trHeight w:val="13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01F64A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Michelsen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{"citationItems":[{"id":"ITEM-1","itemData":{"DOI":"https://dx.doi.org/10.1136/annrheumdis-2017-211284","ISSN":"1468-2060","abstract":"OBJECTIVE: To investigate the predictive value of baseline depression/anxiety on the likelihood of achieving joint remission in rheumatoid arthritis (RA) and psoriatic arthritis (PsA) as well as the associations between baseline depression/anxiety and the components of the remission criteria at follow-up., METHODS: We included 1326 patients with RA and 728 patients with PsA from the prospective observational NOR-DMARD study starting first-time tumour necrosis factor inhibitors or methotrexate. The predictive value of depression/anxiety on remission was explored in prespecified logistic regression models and the associations between baseline depression/anxiety and the components of the remission criteria in prespecified multiple linear regression models., RESULTS: Baseline depression/anxiety according to EuroQoL-5D-3L, Short Form-36 (SF-36) Mental Health subscale &lt;=56 and SF-36 Mental Component Summary &lt;=38 negatively predicted 28-joint Disease Activity Score &lt;2.6, Simplified Disease Activity Index &lt;=3.3, Clinical Disease Activity Index &lt;=2.8, ACR/EULAR Boolean and Disease Activity Index for Psoriatic Arthritis &lt;=4 remission after 3 and 6 months treatment in RA (p&lt;=0.008) and partly in PsA (p from 0.001 to 0.73). Baseline depression/anxiety was associated with increased patient's and evaluator's global assessment, tender joint count and joint pain in RA at follow-up, but not with swollen joint count and acute phase reactants., CONCLUSION: Depression and anxiety may reduce likelihood of joint remission based on composite scores in RA and PsA and should be taken into account in individual patients when making a shared decision on a treatment target. Copyright © Article author(s) (or their employer(s) unless otherwise stated in the text of the article) 2017. All rights reserved. No commercial use is permitted unless otherwise expressly granted.","author":[{"dropping-particle":"","family":"Michelsen","given":"Brigitte","non-dropping-particle":"","parse-names":false,"suffix":""},{"dropping-particle":"","family":"Kristianslund","given":"Eirik Klami","non-dropping-particle":"","parse-names":false,"suffix":""},{"dropping-particle":"","family":"Sexton","given":"Joseph","non-dropping-particle":"","parse-names":false,"suffix":""},{"dropping-particle":"","family":"Hammer","given":"Hilde Berner","non-dropping-particle":"","parse-names":false,"suffix":""},{"dropping-particle":"","family":"Fagerli","given":"Karen Minde","non-dropping-particle":"","parse-names":false,"suffix":""},{"dropping-particle":"","family":"Lie","given":"Elisabeth","non-dropping-particle":"","parse-names":false,"suffix":""},{"dropping-particle":"","family":"Wierod","given":"Ada","non-dropping-particle":"","parse-names":false,"suffix":""},{"dropping-particle":"","family":"Kalstad","given":"Synove","non-dropping-particle":"","parse-names":false,"suffix":""},{"dropping-particle":"","family":"Rodevand","given":"Erik","non-dropping-particle":"","parse-names":false,"suffix":""},{"dropping-particle":"","family":"Kroll","given":"Frode","non-dropping-particle":"","parse-names":false,"suffix":""},{"dropping-particle":"","family":"Haugeberg","given":"Glenn","non-dropping-particle":"","parse-names":false,"suffix":""},{"dropping-particle":"","family":"Kvien","given":"Tore K","non-dropping-particle":"","parse-names":false,"suffix":""}],"collection-title":"[Comment in: Ann Rheum Dis. 2019 Jan;78(1):e1; PMID: 29311145 [https://www.ncbi.nlm.nih.gov/pubmed/29311145]][Comment in: Ann Rheum Dis. 2019 Jan;78(1):e2; PMID: 29358284 [https://www.ncbi.nlm.nih.gov/pubmed/29358284]]","container-title":"Annals of the rheumatic diseases","id":"ITEM-1","issue":"11","issued":{"date-parts":[["2017"]]},"note":"Comment in (CIN), Comment in (CIN)","page":"1906-1910","publisher-place":"England","title":"Do depression and anxiety reduce the likelihood of remission in rheumatoid arthritis and psoriatic arthritis? Data from the prospective multicentre NOR-DMARD study.","type":"article-journal","volume":"76"},"uris":["http://www.mendeley.com/documents/?uuid=52c6800a-4e3b-48d1-a0d8-bbd2521645cb"]}],"mendeley":{"formattedCitation":"[56]","plainTextFormattedCitation":"[56]","previouslyFormattedCitation":"[57]"},"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[56]</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F64F59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2017 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F2D9D8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NOR-DMARD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014CC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Norway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0EBA7D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B91CCD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1326 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36D7FF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AD2473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00232A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75 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F5E740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CDAI, SDAI </w:t>
            </w:r>
          </w:p>
        </w:tc>
      </w:tr>
      <w:tr w:rsidR="00DB60E7" w:rsidRPr="001B576D" w14:paraId="1EB0720A"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8B12CF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Kleinert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author":[{"dropping-particle":"","family":"Kleinert","given":"S.","non-dropping-particle":"","parse-names":false,"suffix":""},{"dropping-particle":"","family":"Marx","given":"A.","non-dropping-particle":"","parse-names":false,"suffix":""},{"dropping-particle":"","family":"Faller","given":"H.","non-dropping-particle":"","parse-names":false,"suffix":""},{"dropping-particle":"","family":"Tony","given":"H.-P.","non-dropping-particle":"","parse-names":false,"suffix":""},{"dropping-particle":"","family":"Feuchtenberger","given":"M.","non-dropping-particle":"","parse-names":false,"suffix":""},{"dropping-particle":"","family":"Kneitz","given":"C.","non-dropping-particle":"","parse-names":false,"suffix":""},{"dropping-particle":"","family":"Lehmann","given":"S.","non-dropping-particle":"","parse-names":false,"suffix":""},{"dropping-particle":"","family":"Angermann","given":"C.","non-dropping-particle":"","parse-names":false,"suffix":""},{"dropping-particle":"","family":"Ertl","given":"G.","non-dropping-particle":"","parse-names":false,"suffix":""},{"dropping-particle":"","family":"Störk","given":"S.","non-dropping-particle":"","parse-names":false,"suffix":""},{"dropping-particle":"","family":"Breunig","given":"M.","non-dropping-particle":"","parse-names":false,"suffix":""}],"container-title":"nnals of the Rheumatic Diseases","id":"ITEM-1","issue":"483","issued":{"date-parts":[["2016"]]},"title":"FRI0150 Depression, Inflammation and Mortality in Patients with Rheumatoid Arthritis","type":"article-journal","volume":"75"},"uris":["http://www.mendeley.com/documents/?uuid=4b91ca75-5c9e-4cde-89df-7cecced6eaa9"]}],"mendeley":{"formattedCitation":"[57]","plainTextFormattedCitation":"[57]","previouslyFormattedCitation":"[58]"},"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[57]</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181DA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835B86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FEF23B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Germany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439684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962A5B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764 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87B43B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261 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BE21AE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C2ECBB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80 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A49DD0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Mortality </w:t>
            </w:r>
          </w:p>
        </w:tc>
      </w:tr>
      <w:tr w:rsidR="00DB60E7" w:rsidRPr="001B576D" w14:paraId="17CFCEDC"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213BB1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Hider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{"citationItems":[{"id":"ITEM-1","itemData":{"DOI":"10.1093/rheumatology/kep170","abstract":"Objective: Depression is common in RA and may be influenced by both disease activity and severity. The aims of this study were to investigate the prevalence of depression in RA patients starting anti-TNF therapy, to investigate how mood alters after exposure to anti-TNF and to determine whether depression is recognized and appropriately managed in the clinic. Methods: Patients starting anti-TNF therapy were assessed for depression using the Hospital Anxiety and Depression Scale (HADS-D), and classified as depressed with an HADS-D of ≥8. Change in mood was assessed at 6 weeks, 4 months and 12 months. Disease activity data were recorded at baseline, 3 and 12 months. Patients who remained persistently depressed at 4 months had their clinical case notes reviewed to determine whether their low mood had been recognized or treated. Results: Depression was common in this cohort. Depressed patients had higher disease activity scores (DAS28) at all time points, and patients with persistent depression had smaller reductions in DAS28 [median (interquartile range or IQR) change DAS28 1.71 (0-2.6) vs 2.2 (1.5-3.2); P=0.005]. Only 57% (13/23) patients with persistent depression at 4 months had their depression recognized or managed within the rheumatology clinic. Conclusions: Depression is common but under-recognized in RA patients starting on anti-TNF therapy. Patients with persistent depression tended to respond less well to anti-TNF, with smaller reductions in DAS28. Given that a significant reduction in DAS28 is a requirement for continuing therapy, recognition and appropriate management of depression may improve TNF effectiveness. © The Author 2009. Published by Oxford University Press on behalf of the British Society for Rheumatology. All rights reserved.","author":[{"dropping-particle":"","family":"Hider","given":"S L","non-dropping-particle":"","parse-names":false,"suffix":""},{"dropping-particle":"","family":"Tanveer","given":"W","non-dropping-particle":"","parse-names":false,"suffix":""},{"dropping-particle":"","family":"Brownfield","given":"A","non-dropping-particle":"","parse-names":false,"suffix":""},{"dropping-particle":"","family":"Mattey","given":"D L","non-dropping-particle":"","parse-names":false,"suffix":""},{"dropping-particle":"","family":"Packham","given":"J C","non-dropping-particle":"","parse-names":false,"suffix":""}],"container-title":"Rheumatology","id":"ITEM-1","issue":"9","issued":{"date-parts":[["2009"]]},"note":"Cited By :67\n\nExport Date: 5 December 2019","page":"1152-1154","publisher-place":"Staffordshire Rheumatology Centre, University Hospitals of North Staffordshire, Stoke on Trent, United Kingdom","title":"Depression in RA patients treated with anti-TNF is common and under-recognized in the rheumatology clinic","type":"article-journal","volume":"48"},"uris":["http://www.mendeley.com/documents/?uuid=f51b996c-09bf-4468-b664-fdb25c707b7c"]}],"mendeley":{"formattedCitation":"[58]","plainTextFormattedCitation":"[58]","previouslyFormattedCitation":"[59]"},"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[58]</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9FCD91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2009 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422081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9E7E5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3613A1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3FECC4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160 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EF17D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F730D8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BDA5C7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72 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3192C9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w:t>
            </w:r>
          </w:p>
        </w:tc>
      </w:tr>
      <w:tr w:rsidR="00DB60E7" w:rsidRPr="001B576D" w14:paraId="416D9AC1"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A3F7E0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Bode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{"citationItems":[{"id":"ITEM-1","itemData":{"DOI":"http://dx.doi.org/10.1002/art.37735","ISSN":"0004-3591","abstract":"Background/Purpose: Depression rates are elevated among individuals with rheumatoid arthritis (RA).Studies in cardiovascular disease and among elderly populations have found that depression is a risk factor for mortality, but the risk of mortality from depression in RA has received little attention. Method(s): Data were derived from a longitudinal cohort study of individuals with RA recruited from community rheumatology practices and interviewed annually by telephone.To be eligible for the current analysis, participants had to have an interview in either 2002 or 2003 and have at least one follow-up interview (n=530).Subjects were followed until 2009. Cox regression models estimated the association of depression with the risk of all-cause mortality.Depression was defined as a score &gt;=5 on the 15-item Geriatric Depression Scale (GDS). Using a time-dependent value, depression was defined as GDS&gt;=5 in the last interview prior to death or censorship. In separate analyses we also examined the risk of a 2-point increase in GDS score from the penultimate to the last interview prior to death or censorship. Analyses controlled for age, gender, disease duration, and presence of any cardiovascular disease risk factors.Separate analyses also examined the conjoint effects of gender and depression. Result(s): Mean age (+/-SD) was 60 (+/-13), mean disease duration was 19 (+/-12) years, 84% were female, and 46% reported at least one cardiovascular risk factor. Subjects were followed for a mean of 4.9 (+/-1.6) years until death or censorship.63 (12%) participants died during the follow-up period. In bivariate analyses, depression was associated with an increased risk of death (HR=3.5 [95% CI 2.1, 5.8]).Worsening of GDS score by &gt;=2 points was also associated with an increased mortality risk (HR=2.5 [1.5, 4.2]).Controlling for covariates, both depression and an increase in GDS remained significant predictors of mortality (see Table). Interaction models showed men with depression had 5 times the risk of death compared to women with no depression.Men without depression also had a greater mortality risk than women with no depression after controlling for covariates. (Table Presented) Conclusion(s): Depression and increase in depressive symptoms are significant risk factors for all-cause mortality in RA.Men with either of these characteristics are particularly at risk. These findings provide additional evidence of the importance of identifying and treating depression among pe…","author":[{"dropping-particle":"","family":"Bode","given":"C.","non-dropping-particle":"","parse-names":false,"suffix":""},{"dropping-particle":"","family":"Tonner","given":"C.","non-dropping-particle":"","parse-names":false,"suffix":""},{"dropping-particle":"","family":"Trupin","given":"L.","non-dropping-particle":"","parse-names":false,"suffix":""}],"collection-title":"Annual Scientific Meeting of the American College of Rheumatology and Association of Rheumatology Health Professionals 2012. Washington, DC United States.","container-title":"Arthritis and Rheumatism","id":"ITEM-1","issue":"SUPPL. 10","issued":{"date-parts":[["2012"]]},"language":"English","page":"S380","publisher":"John Wiley and Sons Inc.","publisher-place":"C. Bode, University of Twente, Enschede, Netherlands","title":"Depression predicts mortality in RA","type":"article-journal","volume":"64"},"uris":["http://www.mendeley.com/documents/?uuid=b2d4d0c6-21b1-4c6f-bcdd-cac4de9e1e20"]}],"mendeley":{"formattedCitation":"[59]","plainTextFormattedCitation":"[59]","previouslyFormattedCitation":"[60]"},"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[59]</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0D29D8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2012 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AF2D6E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12A597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USA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0B7217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C8AC58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530 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2C82E2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255 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49F2F8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60 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EE87E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84 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EE0CEE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Mortality </w:t>
            </w:r>
          </w:p>
        </w:tc>
      </w:tr>
      <w:tr w:rsidR="00DB60E7" w:rsidRPr="001B576D" w14:paraId="7C8C3B6F"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4D6B21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Leblanc-Trudeau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{"citationItems":[{"id":"ITEM-1","itemData":{"DOI":"10.1093/rheumatology/kev272","abstract":"Objective. To determine whether depressive symptoms assessed in treated patients with early inflammatory polyarthritis (EPA) influence disease activity during follow-up. Methods. Consecutively recruited EPA patients were actively treated to remission. Simple disease activity index (SDAI) and Center for Epidemiologic Studies Depression Scale (CES-D) scores were calculated at inclusion and up to 42 months into disease. SDAI scores were log-transformed to compute univariate and multivariate linear regressions. Parametric interval-censored Kaplan-Meier and survival regressions using Weibull distribution were used to assess time to and predictors of SDAI remission. Results. A total of 275 EPA patients were recruited at a median of 4 months into disease. In multivariate linear regression models, accounting for baseline demographic, clinical, serological and functional variables and 12-month inflammation markers, CES-D scores at 12 months into disease were correlated (r2 = 0.14) with subsequent SDAI scores. Patients with 12-month high CES-D (≥19; suggestive of depression) had a lower proportion of SDAI remission (31.3% vs 84.3%; P&lt;0.001) and reached SDAI remission less rapidly [hazard ratio = 0.25 (95% CI 0.12, 0.53); P&lt;0.001]. Conclusion. Each follow-up SDAI correlated significantly with 12-month depressive symptoms, a median of 7 months after initiation of treatment. CES-D scores suggestive of depression at 12 months were strongly correlated with delay and failure to reach remission later on. Depressive symptoms in treated EPA patients represent important clinical issues with long-term association with disease activity. Interventions to alleviate persistent depressive symptoms in treated EPA warrant careful evaluation of their potential to improve disease remission rates. ©The Author 2015.","author":[{"dropping-particle":"","family":"Leblanc-Trudeau","given":"C","non-dropping-particle":"","parse-names":false,"suffix":""},{"dropping-particle":"","family":"Dobkin","given":"P L","non-dropping-particle":"","parse-names":false,"suffix":""},{"dropping-particle":"","family":"Carrier","given":"N","non-dropping-particle":"","parse-names":false,"suffix":""},{"dropping-particle":"","family":"Cossette","given":"P","non-dropping-particle":"","parse-names":false,"suffix":""},{"dropping-particle":"","family":"Brum-Fernandes","given":"A.J.de","non-dropping-particle":"","parse-names":false,"suffix":""},{"dropping-particle":"","family":"Liang","given":"P","non-dropping-particle":"","parse-names":false,"suffix":""},{"dropping-particle":"","family":"Masetto","given":"A","non-dropping-particle":"","parse-names":false,"suffix":""},{"dropping-particle":"","family":"Boire","given":"G","non-dropping-particle":"","parse-names":false,"suffix":""}],"container-title":"Rheumatology (United Kingdom)","id":"ITEM-1","issue":"12","issued":{"date-parts":[["2015"]]},"note":"Cited By :9\n\nExport Date: 5 December 2019","page":"2205-2214","publisher-place":"Department of Medicine, Faculty of Medicine and Health Sciences, Universitéde Sherbrooke, Canada","title":"Depressive symptoms predict future simple disease activity index scores and simple disease activity index remission in a prospective cohort of patients with early inflammatory polyarthritis","type":"article-journal","volume":"54"},"uris":["http://www.mendeley.com/documents/?uuid=05796ee1-f4ee-4484-b125-6636fc712458"]}],"mendeley":{"formattedCitation":"[60]","plainTextFormattedCitation":"[60]","previouslyFormattedCitation":"[61]"},"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[60]</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B7BA76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1D1DBF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EUPA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AF1038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Canada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B220A1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3EB0F3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275 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BB2B30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182 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18AE06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61 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7D050A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63 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DB2B9B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SDAI </w:t>
            </w:r>
          </w:p>
        </w:tc>
      </w:tr>
      <w:tr w:rsidR="00DB60E7" w:rsidRPr="001B576D" w14:paraId="61929D0D"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AD0FEF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McFarlane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{"citationItems":[{"id":"ITEM-1","itemData":{"abstract":"The hypothesis that the duration and activity of rheumatoid arthritis (RA) determine a patient's psychological state and adjustment was tested with a longitudinal research design using quantitative measures. A group of 30 patients with RA was examined on 2 occasions, 3 years apart. There were few significant relationships between duration of illness, disease severity and the psychological measures. A strong correlation occurred between disability and attitude to illnes. Our data suggest that a patient's psychological state needs to be assessed as a variable, independent of physical impairment.","author":[{"dropping-particle":"","family":"McFarlane","given":"A C","non-dropping-particle":"","parse-names":false,"suffix":""},{"dropping-particle":"","family":"Brooks","given":"P M","non-dropping-particle":"","parse-names":false,"suffix":""}],"container-title":"Journal of Rheumatology","id":"ITEM-1","issue":"6","issued":{"date-parts":[["1988"]]},"note":"Cited By :70\n\nExport Date: 5 December 2019","page":"926-931","publisher-place":"School of Medicine, Flinders University of South Australia, Bedford Park, SA, Australia","title":"An analysis of the relationship between psychological morbidity and disease activity in rheumatoid arthritis","type":"article-journal","volume":"15"},"uris":["http://www.mendeley.com/documents/?uuid=a58e3d93-dab8-40e7-bd2e-50656e669685"]}],"mendeley":{"formattedCitation":"[61]","plainTextFormattedCitation":"[61]","previouslyFormattedCitation":"[62]"},"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[61]</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ED159D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1988 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07145D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491C2D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Australia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6EC9B9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E1A598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30 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3EA8B0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156 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7E481B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53 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450C17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66 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91ABB5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w:t>
            </w:r>
          </w:p>
        </w:tc>
      </w:tr>
      <w:tr w:rsidR="00DB60E7" w:rsidRPr="001B576D" w14:paraId="79395516" w14:textId="77777777" w:rsidTr="00814F6D">
        <w:trPr>
          <w:trHeight w:val="13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9FD36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Norton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{"citationItems":[{"id":"ITEM-1","itemData":{"ISSN":"1462-0324","abstract":"Background: The aim of the present study was to identify groups of individuals following distinct psychological distress trajectories over 10-years following diagnosis of rheumatoid arthritis (RA), and to examine the distribution of demographic and clinical characteristics as well as mortality profiles across these groups. Currently the presence of multiple psychological response trajectories has not been assessed in RA although there is emerging evidence that this is the case in myocardial infarction and breast cancer populations. Method(s): Psychological distress as measured by the Hospital Anxiety and Depression Scale (HADS) was recorded annually from diagnosis in 784 patients (67% female, mean age at onset 57.0 years) enrolled in a multi-centre inception cohort (ERAS). Growth mixture modelling was used to identify distinct psychological distress trajectory groups, ANOVA to compare demographic and clinical characteristics of the groups and survival analysis to compare all-cause mortality. Result(s): Four distinct psychological distress patterns were observed: Resilient (68%), most individuals fell into a group that experienced consistently low levels of psychological distress; Chronic (12%), the second group consisted of individuals reporting consistently high levels of psychological distress with HADS total scores consistently above the caseness criteria for depressive/anxiety disorder; Recovered (9%), a further group involved individuals with psychological distress that was above the HADS caseness criteria at the time of diagnosis but rapidly decreased to normal levels after 1 to 2-years; Delayed (11%), individuals in the final group had psychological distress levels that were within the normal range at the time of diagnosis but dramatically increased over the period of follow-up with average scores exceeding the caseness criteria after 2 to 3-years. Self-reported somatic symptoms at the time of diagnosis and after 3- years were significantly related to group membership (HAQ, tender joints, VAS pain, morning stiffness all p&lt;.05). Demographic characteristics and objective physiological markers of disease activity (ESR &amp;CRP) were not (p&gt;.05). The chronic and delayed groups experienced significantly greater mortality risk compared to the resilient and recovered groups after controlling for demographic and clinical factors (HR=1.69; 95% CI=1.15, 2.48). Conclusion(s): Although the majority of individuals developing RA are resilient to the effects of the…","author":[{"dropping-particle":"","family":"Norton","given":"S.J.","non-dropping-particle":"","parse-names":false,"suffix":""},{"dropping-particle":"","family":"Young","given":"A.","non-dropping-particle":"","parse-names":false,"suffix":""},{"dropping-particle":"","family":"Sacker","given":"A.","non-dropping-particle":"","parse-names":false,"suffix":""}],"collection-title":"Rheumatology 2011. Brighton United Kingdom.","container-title":"Rheumatology","id":"ITEM-1","issue":"SUPPL. 3","issued":{"date-parts":[["2011"]]},"language":"English","publisher":"Oxford University Press","publisher-place":"S.J. Norton, Centre for Lifespan and Chronic Illness Research, University of Hertfordshire, Hatfield, United Kingdom","title":"Distinct trajectories of psychological distress over 10 years following diagnosis of rheumatoid arthritis are related to subjective appraisal of disease severity and mortality","type":"article-journal","volume":"50"},"uris":["http://www.mendeley.com/documents/?uuid=b74d7972-3c3d-435a-8bcd-cd899dd45054"]}],"mendeley":{"formattedCitation":"[62]","plainTextFormattedCitation":"[62]","previouslyFormattedCitation":"[63]"},"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[62]</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E7D6AB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2011 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C748C1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ERAS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E2FD18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B86338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674D70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784 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B6A1EE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156 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1306B5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57 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91F5B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67 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F8D426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HAQ </w:t>
            </w:r>
          </w:p>
        </w:tc>
      </w:tr>
      <w:tr w:rsidR="00DB60E7" w:rsidRPr="001B576D" w14:paraId="0EA013DE"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7822DD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Michelsen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author":[{"dropping-particle":"","family":"Michelsen","given":"B.","non-dropping-particle":"","parse-names":false,"suffix":""},{"dropping-particle":"","family":"Kristianslund","given":"E.K.","non-dropping-particle":"","parse-names":false,"suffix":""},{"dropping-particle":"","family":"Fageli","given":"K.M.","non-dropping-particle":"","parse-names":false,"suffix":""},{"dropping-particle":"","family":"Lie","given":"E.","non-dropping-particle":"","parse-names":false,"suffix":""},{"dropping-particle":"","family":"Hammer","given":"H.B.","non-dropping-particle":"","parse-names":false,"suffix":""},{"dropping-particle":"","family":"Haugeberg","given":"G.","non-dropping-particle":"","parse-names":false,"suffix":""},{"dropping-particle":"","family":"Kvien","given":"T.K.","non-dropping-particle":"","parse-names":false,"suffix":""}],"container-title":"Annals of Rheumatic Diseases","id":"ITEM-1","issued":{"date-parts":[["2017"]]},"title":"Depression and Anxiety Reduce the Likelihood of Achieving Remission in Patients with Rheumatoid Arthritis: Real Life Data from the NOR-DMARD Study","type":"article-journal"},"uris":["http://www.mendeley.com/documents/?uuid=6a2010d4-90ba-4c8f-9395-eaf82453e58b"]}],"mendeley":{"formattedCitation":"[63]","plainTextFormattedCitation":"[63]","previouslyFormattedCitation":"[64]"},"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[63]</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82687A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2017 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92FAC2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NOR-DMARD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4EBFF6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Norway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CB1E4D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FA4DE7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1326 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2F6D39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22044C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AFABEE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75 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79E05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CDAI, SDAI </w:t>
            </w:r>
          </w:p>
        </w:tc>
      </w:tr>
      <w:tr w:rsidR="00DB60E7" w:rsidRPr="001B576D" w14:paraId="3D81B745"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E26F03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Kuijper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{"citationItems":[{"id":"ITEM-1","itemData":{"DOI":"10.1080/03009742.2017.1349176","abstract":"Objectives: To investigate whether, apart from effects of patient- and disease-related factors, psychosocial factors have additional effects on disease activity; and which factors are most influential during the first year of treatment in early rheumatoid arthritis (RA). Method: The study assessed 15 month follow-up data from patients in tREACH, a randomized clinical trial comparing initial triple disease-modifying anti-rheumatic drug therapy to methotrexate monotherapy, with glucocorticoid bridging in both groups. Patients were evaluated every 3 months and treated to target. Associations between Disease Activity Score (DAS) at 3, 9, and 15 months and psychosocial factors (anxiety, depression, fatigue, and coping with pain) at the previous visit were assessed by multivariable linear regression correcting for demographic, clinical, and treatment-related factors. Results: At 3, 9, and 15 months of follow-up, 265, 251, and 162 patients, respectively, were available for analysis. Baseline anxiety and coping with pain were associated with DAS at 3 months; coping with pain at 6 months was associated with DAS at 9 months, and fatigue at 12 months with DAS at 15 months. Psychosocial factors were moderately correlated. Effects on DAS were mainly due to tender joint count and global health. Conclusion: Psychosocial factors have additional effects on DAS throughout the first year of treatment in early RA. A change was observed from anxiety and coping with pain at baseline being associated with subsequent DAS towards fatigue being associated with subsequent DAS at 12 months. Owing to the explorative nature of this study, more research is needed to confirm this pattern. © 2018 The Author(s). Published by Informa UK Limited, trading as Taylor &amp; Francis Group.","author":[{"dropping-particle":"","family":"Kuijper","given":"T M","non-dropping-particle":"","parse-names":false,"suffix":""},{"dropping-particle":"","family":"Luime","given":"J J","non-dropping-particle":"","parse-names":false,"suffix":""},{"dropping-particle":"","family":"Xiong","given":"H","non-dropping-particle":"","parse-names":false,"suffix":""},{"dropping-particle":"","family":"Jong","given":"P H P","non-dropping-particle":"de","parse-names":false,"suffix":""},{"dropping-particle":"","family":"Lubbe","given":"P.A.H.M.","non-dropping-particle":"van der","parse-names":false,"suffix":""},{"dropping-particle":"","family":"Zeben","given":"D","non-dropping-particle":"van","parse-names":false,"suffix":""},{"dropping-particle":"","family":"Tchetverikov","given":"I","non-dropping-particle":"","parse-names":false,"suffix":""},{"dropping-particle":"","family":"Hazes","given":"J M W","non-dropping-particle":"","parse-names":false,"suffix":""},{"dropping-particle":"","family":"Weel","given":"A.E.A.M.","non-dropping-particle":"","parse-names":false,"suffix":""}],"container-title":"Scandinavian Journal of Rheumatology","id":"ITEM-1","issue":"3","issued":{"date-parts":[["2018"]]},"note":"Export Date: 5 December 2019","page":"178-184","publisher-place":"Department of Rheumatology, Maasstad Hospital, Rotterdam, Netherlands","title":"Effects of psychosocial factors on monitoring treatment effect in newly diagnosed rheumatoid arthritis patients over time: response data from the tREACH study","type":"article-journal","volume":"47"},"uris":["http://www.mendeley.com/documents/?uuid=d49ac1ed-4e35-4419-9c96-46e231dc4af2"]}],"mendeley":{"formattedCitation":"[27]","plainTextFormattedCitation":"[27]","previouslyFormattedCitation":"[28]"},"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[27]</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6DA02D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2018 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4AAAC1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298057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Netherlands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D1627F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6079C5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281 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D06D57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65 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A37C76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53 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8E911A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68 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573B1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ESR, SJC </w:t>
            </w:r>
          </w:p>
        </w:tc>
      </w:tr>
      <w:tr w:rsidR="00DB60E7" w:rsidRPr="001B576D" w14:paraId="64FAFAE5"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609F7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Feldthusen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{"citationItems":[{"id":"ITEM-1","itemData":{"DOI":"10.2340/16501977-2090","ISSN":"16501977","PMID":"27097684","abstract":"Objective: To investigate the impact of disease-related aspects on long-term variations in fatigue in persons with rheumatoid arthritis. Design: Observational longitudinal study. Methods: Sixty-five persons with rheumatoid arthritis, age range 20-65 years, were invited to a clinical examination at 4 time-points during the 4 seasons. Outcome measures were: general fatigue rated on visual analogue scale (0-100) and aspects of fatigue assessed by the Bristol Rheumatoid Arthritis Fatigue Multidimensional Questionnaire. Diseaserelated variables were: disease activity (erythrocyte sedimentation rate), pain threshold (pressure algometer), physical capacity (six-minute walk test), pain (visual analogue scale (0-100)), depressive mood (Hospital Anxiety and Depression scale, depression subscale), personal factors (age, sex, body mass index) and season. Multivariable regression analysis, linear mixed effects models were applied. Results: The strongest explanatory factors for all fatigue outcomes, when recorded at the same time-point as fatigue, were pain threshold and depressive mood. Self-reported pain was an explanatory factor for physical aspects of fatigue and body mass index contributed to explaining the consequences of fatigue on everyday living. For predicting later fatigue pain threshold and depressive mood were the strongest predictors. Conclusion: Pain threshold and depressive mood were the most important factors for fatigue in persons with rheumatoid arthritis.","author":[{"dropping-particle":"","family":"Feldthusen","given":"Caroline","non-dropping-particle":"","parse-names":false,"suffix":""},{"dropping-particle":"","family":"Grimby-Ekman","given":"Anna","non-dropping-particle":"","parse-names":false,"suffix":""},{"dropping-particle":"","family":"Forsblad-D'Elia","given":"Helena","non-dropping-particle":"","parse-names":false,"suffix":""},{"dropping-particle":"","family":"Jacobsson","given":"Lennart","non-dropping-particle":"","parse-names":false,"suffix":""},{"dropping-particle":"","family":"Mannerkorpi","given":"Kaisa","non-dropping-particle":"","parse-names":false,"suffix":""}],"container-title":"Journal of Rehabilitation Medicine","id":"ITEM-1","issue":"5","issued":{"date-parts":[["2016"]]},"page":"469-476","title":"Explanatory factors and predictors of fatigue in persons with rheumatoid arthritis: A longitudinal study","type":"article-journal","volume":"48"},"uris":["http://www.mendeley.com/documents/?uuid=fc158fd3-2284-485b-9c14-337db49de055"]}],"mendeley":{"formattedCitation":"[64]","plainTextFormattedCitation":"[64]","previouslyFormattedCitation":"[65]"},"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[64]</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9D28A6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D15242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F19D58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Sweden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D2237B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4C0823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65 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850087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161959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7B3E1C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74 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AEA2E3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VAS fatigue </w:t>
            </w:r>
          </w:p>
        </w:tc>
      </w:tr>
      <w:tr w:rsidR="00DB60E7" w:rsidRPr="001B576D" w14:paraId="2FF318E1"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B780F0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Gonzalez-Lopez</w:t>
            </w:r>
            <w:r>
              <w:rPr>
                <w:rFonts w:ascii="Calibri" w:eastAsia="Times New Roman" w:hAnsi="Calibri" w:cs="Calibri"/>
                <w:sz w:val="16"/>
                <w:szCs w:val="16"/>
              </w:rPr>
              <w:t xml:space="preserve">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{"citationItems":[{"id":"ITEM-1","itemData":{"DOI":"10.1007/s00296-012-2395-3","abstract":"To evaluate impact of working days lost and factors for developing sick leave episodes in Mexicans workers with rheumatoid arthritis (RA). A prospective cohort of 123 patients with RA was followed for 1 year. Factors evaluated for sick leave episodes included: demographics, job characteristics, comorbidity, depressive symptoms, and clinical/therapeutic variables. Rates of sick leave episodes, working days lost, and permanent work disability (PWD) were identified. Statistical analysis included Cox regression models estimating hazard risks (HR) and their 95 % confidence intervals (95% CI). Cumulative time of follow-up for the cohort was 43,380 days, 24 % of workers had at least one episode of sick leave, with a mean of working days lost per patient-year of 18.36; 4.1 % developed PWD. Development of sick leave in the Kaplan-Meier analysis was associated with: age ≥40 years (p = 0.04), having a couple (p = 0.04), performing manual work (p = 0.03), suffering depressive symptoms (p = 0.04), limitations in functioning (p = 0.01), and poor global functional status ≥ III (p = 0.01). Cox regression models identified HAQ-Di ≥ 0.6 as the stronger predictor for sick leave (HR = 4.04, 95 % CI 1.41-11.58, p = 0.009) followed by age (HR = 1.05, 95 % CI 1.01-1.11, p = 0.04), ≥4 risk factors had a HR to 9.4 (95 % CI: 2.1-42.7) for sick leave. In this prospective cohort of Mexican workers with RA, we identified several factors associated with sick leave episodes and working days lost that should be potentially addressed by a multidisciplinary approach, being required to revaluate these strategies with the aim of increasing the work permanence of these patients. © 2012 Springer-Verlag.","author":[{"dropping-particle":"","family":"Gonzalez-Lopez","given":"L","non-dropping-particle":"","parse-names":false,"suffix":""},{"dropping-particle":"","family":"Morales-Romero","given":"J","non-dropping-particle":"","parse-names":false,"suffix":""},{"dropping-particle":"","family":"Vazquez-Villegas","given":"M L","non-dropping-particle":"","parse-names":false,"suffix":""},{"dropping-particle":"","family":"Villa-Manzano","given":"R","non-dropping-particle":"","parse-names":false,"suffix":""},{"dropping-particle":"","family":"Rocha-Muñoz","given":"A D","non-dropping-particle":"","parse-names":false,"suffix":""},{"dropping-particle":"","family":"Barragan-Enriquez","given":"A","non-dropping-particle":"","parse-names":false,"suffix":""},{"dropping-particle":"","family":"Celis","given":"A","non-dropping-particle":"","parse-names":false,"suffix":""},{"dropping-particle":"","family":"Cabrera-Pivaral","given":"C E","non-dropping-particle":"","parse-names":false,"suffix":""},{"dropping-particle":"","family":"Gamez-Nava","given":"J I","non-dropping-particle":"","parse-names":false,"suffix":""}],"container-title":"Rheumatology International","id":"ITEM-1","issue":"3","issued":{"date-parts":[["2013"]]},"note":"Cited By :6\n\nExport Date: 5 December 2019","page":"561-569","publisher-place":"Department of Internal Medicine-Rheumatology, Hospital General Regional 110, Instituto Mexicano Del Seguro Social (IMSS), Guadalajara, Mexico","title":"Factors influencing sick leave episodes in Mexican workers with rheumatoid arthritis and its impact on working days lost","type":"article-journal","volume":"33"},"uris":["http://www.mendeley.com/documents/?uuid=78787b37-48ca-4568-8b02-ab074d994519"]}],"mendeley":{"formattedCitation":"[38]","plainTextFormattedCitation":"[38]","previouslyFormattedCitation":"[39]"},"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[38]</w:t>
            </w:r>
            <w:r>
              <w:rPr>
                <w:rFonts w:ascii="Calibri" w:eastAsia="Times New Roman" w:hAnsi="Calibri" w:cs="Calibri"/>
                <w:sz w:val="16"/>
                <w:szCs w:val="16"/>
              </w:rPr>
              <w:fldChar w:fldCharType="end"/>
            </w:r>
            <w:r>
              <w:rPr>
                <w:rFonts w:ascii="Calibri" w:eastAsia="Times New Roman" w:hAnsi="Calibri" w:cs="Calibri"/>
                <w:sz w:val="16"/>
                <w:szCs w:val="16"/>
              </w:rPr>
              <w:t xml:space="preserve"> </w:t>
            </w:r>
            <w:r w:rsidRPr="001B576D">
              <w:rPr>
                <w:rFonts w:ascii="Calibri" w:eastAsia="Times New Roman" w:hAnsi="Calibri" w:cs="Calibri"/>
                <w:sz w:val="16"/>
                <w:szCs w:val="16"/>
              </w:rPr>
              <w:t> </w:t>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7E4CE8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w:t>
            </w:r>
            <w:r>
              <w:rPr>
                <w:rFonts w:ascii="Calibri" w:eastAsia="Times New Roman" w:hAnsi="Calibri" w:cs="Calibri"/>
                <w:sz w:val="16"/>
                <w:szCs w:val="16"/>
              </w:rPr>
              <w:t>3</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FD465E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2569D6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Mexico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FE202C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C91CEF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123 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BD631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C8F84A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8E1F5C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73 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F9FC91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Sick leave </w:t>
            </w:r>
          </w:p>
        </w:tc>
      </w:tr>
      <w:tr w:rsidR="00DB60E7" w:rsidRPr="001B576D" w14:paraId="63C8CBF7" w14:textId="77777777" w:rsidTr="00814F6D">
        <w:trPr>
          <w:trHeight w:val="36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C0E442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Tanaka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{"citationItems":[{"id":"ITEM-1","itemData":{"DOI":"http://dx.doi.org/10.1136/annrheumdis-2019-eular.1168","ISSN":"1468-2060","abstract":"Background: Rheumatoid arthritis (RA) is a major cause of work disability, sickness-related absence from work, presenteeism, and loss of productivity. The decrease in work productivity that results from persistent pain, impaired mobility and function, and reduced quality of life (QOL) has important personal, societal, and economic consequences[1]. The efficacy of tocilizumab (TCZ) as monotherapy and in combination with methotrexate for RA is well known. Thus, in this study, we expected TCZ treatment to improve work productivity on the basis of interim results of up to 52 weeks[2]. Objective(s): We aimed to evaluate the long-term (104 weeks) control of RA in Japanese paid workers and house workers treated with TCZ and identify factors affecting the response (responder/non-responder) to TCZ in terms of work productivity. Method(s): The FIRST ACT-SC Study (UMIN-CTR: UMIN000012306) was a cohort study that assessed the 2-year treatment outcome of TCZ-SC (administered alone or with disease modifying anti rheumatic drugs) in biologics-naive Japanese patients with RA. Logistic regression analysis was performed to determine the factors contributing to treatment response in terms of activity impairment (AI) in the WPAI questionnaire, which is an index for the evaluation of overall daily life performance. In addition, the associations of these responses to treatment withdrawal rate and QOL were also evaluated. Result(s): Of the 377 enrolled participants, 357 who were treated with TCZ-SC were included in the analysis. AI was improved from 56.2% at baseline to 22.9% at 104 weeks in the patients who received TCZ. In the single regression analysis, the factors that were statistically significant in the logistic regression analysis were job type (p=0.045), K6 as a measure of psychological distress (p=0.030), Health Assessment Questionnaire- Disability Index (HAQ-DI; p=0.023), and EuroQol five-dimensional descriptive system (EQ-5D) score (p=0.006). In the multiple logistic regression analysis, disease duration, academic background, AI, EQ-5D score, ESR, and CRP level were identified as factors that affected response. The results showed a strong association between the results of the subjective assessments such as the utility value of EQ-5D. At 104 weeks, the mean difference in AI between the EQ-5D scores of &lt;0.6 at baseline and &gt;=0.6 was significant (-22.94% vs -30.50%; p=0.029). Moreover, the mean difference between the HAQ-DI of &lt;1.5 at baseline and &gt;=1.5 was signific…","author":[{"dropping-particle":"","family":"Tanaka","given":"Y.","non-dropping-particle":"","parse-names":false,"suffix":""},{"dropping-particle":"","family":"Kameda","given":"H.","non-dropping-particle":"","parse-names":false,"suffix":""},{"dropping-particle":"","family":"Kazuyoshi","given":"S.","non-dropping-particle":"","parse-names":false,"suffix":""},{"dropping-particle":"","family":"Kaneko","given":"Y.","non-dropping-particle":"","parse-names":false,"suffix":""},{"dropping-particle":"","family":"Tanaka","given":"E.","non-dropping-particle":"","parse-names":false,"suffix":""},{"dropping-particle":"","family":"Yasuda","given":"S.","non-dropping-particle":"","parse-names":false,"suffix":""},{"dropping-particle":"","family":"Tamura","given":"N.","non-dropping-particle":"","parse-names":false,"suffix":""},{"dropping-particle":"","family":"Fujio","given":"K.","non-dropping-particle":"","parse-names":false,"suffix":""},{"dropping-particle":"","family":"Fujii","given":"T.","non-dropping-particle":"","parse-names":false,"suffix":""},{"dropping-particle":"","family":"Kojima","given":"T.","non-dropping-particle":"","parse-names":false,"suffix":""},{"dropping-particle":"","family":"Anzai","given":"T.","non-dropping-particle":"","parse-names":false,"suffix":""},{"dropping-particle":"","family":"Fujino","given":"Y.","non-dropping-particle":"","parse-names":false,"suffix":""},{"dropping-particle":"","family":"Matsuda","given":"S.","non-dropping-particle":"","parse-names":false,"suffix":""}],"collection-title":"Annual European Congress of Rheumatology, EULAR 2019. Spain.","container-title":"Annals of the Rheumatic Diseases","id":"ITEM-1","issue":"Supplement 2","issued":{"date-parts":[["2019"]]},"language":"English","page":"1667","publisher":"BMJ Publishing Group","publisher-place":"Y. Tanaka, University of Occupational and Environmental Health, Fukuoka, Japan","title":"Factors that affect the response to tocilizumab with regard to work productivity in patients with rheumatoid arthritis: A 2-year follow-up of the first ACTSC study","type":"article-journal","volume":"78"},"uris":["http://www.mendeley.com/documents/?uuid=12c88fba-2735-4f2f-9e1b-cbfeffc24a69"]}],"mendeley":{"formattedCitation":"[65]","plainTextFormattedCitation":"[65]","previouslyFormattedCitation":"[66]"},"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[65]</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5A8DB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2019 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EFCCDF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375BCE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Japan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6DC59F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E73F1C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377 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10E6C9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104 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168401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76F490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3529FC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WPAI </w:t>
            </w:r>
          </w:p>
        </w:tc>
      </w:tr>
      <w:tr w:rsidR="00DB60E7" w:rsidRPr="001B576D" w14:paraId="4E6D1540"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945BCC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Doeglas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{"citationItems":[{"id":"ITEM-1","itemData":{"DOI":"10.1023/B:QURE.0000031339.04589.63","abstract":"Objective: First, to investigate the patterns of functional ability, depressive feelings, and social support in early stage rheumatoid arthritis (RA) patients. Second, to demonstrate the stress buffering effect of social support. Social support is thought to reduce the impact of chronic stress on psychological well-being; for patients without social support the impact of functional ability on depressive feelings will be stronger. Methods: In 4 waves with an intervening period of 1 year, longitudinal data was collected of 264 Dutch RA patients, of which 65% was female. At T1, the mean age of these patients was 53 years, while their mean disease duration was 22 months. In an interview at the patients' homes, data was collected on functional ability, social support en psychological well-being. The buffering effect of social support was examined by testing the significance of the (computed) stressor by social support interaction term in a regression analysis on depressive feelings. Results: Although large differences between subjects existed, the mean scores on functional ability, social support, and depressive feelings barely changed from year to year. Patients who deteriorated in functional ability during one year had the best chances to improve next year, and visa versa. Furthermore, the stress by support interaction terms had no significant effect on depressive feelings in a regression analysis. Conclusions: This study demonstrated clearly the fluctuating pattern of RA in the first years after onset. The patients' level of depressive feelings was linearly related to the level of functional ability. Like many other studies, also this study could not provide evidence for the stress buffering effect of social support.","author":[{"dropping-particle":"","family":"Doeglas","given":"D M","non-dropping-particle":"","parse-names":false,"suffix":""},{"dropping-particle":"","family":"Suurmeijer","given":"Th.P.B.M.","non-dropping-particle":"","parse-names":false,"suffix":""},{"dropping-particle":"","family":"Heuvel","given":"W J A","non-dropping-particle":"Van Den","parse-names":false,"suffix":""},{"dropping-particle":"","family":"Krol","given":"B","non-dropping-particle":"","parse-names":false,"suffix":""},{"dropping-particle":"","family":"Rijswijk","given":"M H","non-dropping-particle":"Van","parse-names":false,"suffix":""},{"dropping-particle":"","family":"Leeuwen","given":"M A","non-dropping-particle":"Van","parse-names":false,"suffix":""},{"dropping-particle":"","family":"Sanderman","given":"R","non-dropping-particle":"","parse-names":false,"suffix":""}],"container-title":"Quality of Life Research","id":"ITEM-1","issue":"6","issued":{"date-parts":[["2004"]]},"note":"Cited By :45\n\nExport Date: 5 December 2019","page":"1053-1065","publisher-place":"Department of Psychology, Heymans Institute, Univ. Groningen, Netherlands; R., Netherlands","title":"Functional ability, social support, and depression in rheumatoid arthritis","type":"article-journal","volume":"13"},"uris":["http://www.mendeley.com/documents/?uuid=f19b16ff-6f88-4025-a29c-905fbf2d8f22"]}],"mendeley":{"formattedCitation":"[66]","plainTextFormattedCitation":"[66]","previouslyFormattedCitation":"[67]"},"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[66]</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368671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200</w:t>
            </w:r>
            <w:r>
              <w:rPr>
                <w:rFonts w:ascii="Calibri" w:eastAsia="Times New Roman" w:hAnsi="Calibri" w:cs="Calibri"/>
                <w:sz w:val="16"/>
                <w:szCs w:val="16"/>
              </w:rPr>
              <w:t>4</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748227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56011B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Netherlands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194807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90FEBD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264 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2D7052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156 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DEC6B2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53 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1D7786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65 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233F5E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GARS </w:t>
            </w:r>
          </w:p>
        </w:tc>
      </w:tr>
      <w:tr w:rsidR="00DB60E7" w:rsidRPr="001B576D" w14:paraId="12D353F9" w14:textId="77777777" w:rsidTr="00814F6D">
        <w:trPr>
          <w:trHeight w:val="25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9D527F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Verstappen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{"citationItems":[{"id":"ITEM-1","itemData":{"abstract":"Objective. To evaluate the association between clinical, demographic, and psychological factors and the functional Health Assessment Questionnaire (HAQ) and psychological HAQ (PSHAQ) in patients with rheumatoid arthritis (RA). Methods. After a mean followup time of 7 years after diagnosis, 112 patients with RA were asked to fill out the HAQ and the PSHAQ. Several clinical variables [erythrocyte sedimentation rate (ESR), visual analog scale (VAS) pain, VAS general well-being, Thompson joint score, and morning stiffness] had been assessed at diagnosis and at followup. In addition, the Impact of Rheumatic diseases on General health and Lifestyle questionnaire, comprising different domains of psychological distress, was assessed at diagnosis. Spearman correlations were calculated to determine associations between functional HAQ and clinical and psychological variables at baseline and to determine the associations between clinical variables and the HAQ and PSHAQ score at followup. Univariate logistic regression analyses were performed to identify possible predictors at diagnosis for a worse HAQ score and PSHAQ score (score &gt; 1) at followup. Results. At followup the functional HAQ score was associated with all clinical variables, whereas the PSHAQ was only associated with more subjective patient related variables (VAS pain, VAS general well-being, and morning stiffness). The final model of the multivariate regression analyses to predict a worse HAQ score at followup only included worse functional ability [odds ratio (OR) 2.63, 95% confidence interval (CI) 1.30-5.32, p = 0.007]. Anxiety (OR 1.13, 95% CI 1.03-1.24, p = 0.007) and a lower ESR value (OR 0.98, 95% CI 0.96-1.00, p = 0.05) assessed at diagnosis were included into the final model as predictors for a high PSHAQ score. Conclusion. Overall, the HAQ score, reflecting limitations of daily functioning, is a good representation of disease activity at diagnosis and after a mean disease duration of 7 years, whereas PSHAQ is not.","author":[{"dropping-particle":"","family":"Verstappen","given":"S M M","non-dropping-particle":"","parse-names":false,"suffix":""},{"dropping-particle":"","family":"Jacobs","given":"J W G","non-dropping-particle":"","parse-names":false,"suffix":""},{"dropping-particle":"","family":"Huisman","given":"A.-M.","non-dropping-particle":"","parse-names":false,"suffix":""},{"dropping-particle":"","family":"Rijthoven","given":"A.W.A.M.","non-dropping-particle":"Van","parse-names":false,"suffix":""},{"dropping-particle":"","family":"Sokka","given":"T","non-dropping-particle":"","parse-names":false,"suffix":""},{"dropping-particle":"","family":"Bijlsma","given":"J W J","non-dropping-particle":"","parse-names":false,"suffix":""}],"container-title":"Journal of Rheumatology","id":"ITEM-1","issue":"9","issued":{"date-parts":[["2007"]]},"note":"Cited By :19\n\nExport Date: 5 December 2019","page":"1837-1840","publisher-place":"Department of Rheumatology and Clinical Immunology, University Medical Center Utrecht, Utrecht, Netherlands","title":"Functional Health Assessment Questionnaire (HAQ) and psychological HAQ are associated with and predicted by different factors in rheumatoid arthritis","type":"article-journal","volume":"34"},"uris":["http://www.mendeley.com/documents/?uuid=ae446fff-8179-4108-a5a5-4f614574e9f6"]}],"mendeley":{"formattedCitation":"[67]","plainTextFormattedCitation":"[67]","previouslyFormattedCitation":"[68]"},"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[67]</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16B284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w:t>
            </w:r>
            <w:r>
              <w:rPr>
                <w:rFonts w:ascii="Calibri" w:eastAsia="Times New Roman" w:hAnsi="Calibri" w:cs="Calibri"/>
                <w:sz w:val="16"/>
                <w:szCs w:val="16"/>
              </w:rPr>
              <w:t>07</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6F4840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D79094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Netherlands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764FC3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82CE90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112 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DF5897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FA769B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49 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48FFA1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68 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278E41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75FADA97">
              <w:rPr>
                <w:rFonts w:ascii="Calibri" w:eastAsia="Times New Roman" w:hAnsi="Calibri" w:cs="Calibri"/>
                <w:sz w:val="16"/>
                <w:szCs w:val="16"/>
              </w:rPr>
              <w:t> HAQ</w:t>
            </w:r>
          </w:p>
        </w:tc>
      </w:tr>
      <w:tr w:rsidR="00DB60E7" w:rsidRPr="001B576D" w14:paraId="2A324ED0"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49367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Hommel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{"citationItems":[{"id":"ITEM-1","itemData":{"DOI":"10.1023/A:1022999704062","abstract":"We examined the relative efficacy of disease-specific and disease- unrelated appraisals of helplessness in predicting depression in rheumatoid arthritis over the course of 1 year. Forty-two individuals from an outpatient rheumatology clinic completed measures of depression, disease-unrelated causal attributions, arthritis-specific helplessness, pain, and disability. Results revealed that disease-unrelated causal attributions, assessed at Time 1 contributed significant variance to depression assessed at Time 2, after controlling for initial levels of depression and concurrent disease status variables. Arthritis-specific helplessness did not relate to subsequent levels of depression. In general, our findings indicated that causal attributions for disease-unrelated events were more reliable predictors of depression in rheumatoid arthritis than was arthritis-specific helplessness. Discussion of the implications of our findings for future research follows from the results.","author":[{"dropping-particle":"","family":"Hommel","given":"K A","non-dropping-particle":"","parse-names":false,"suffix":""},{"dropping-particle":"","family":"Chaney","given":"J M","non-dropping-particle":"","parse-names":false,"suffix":""},{"dropping-particle":"","family":"Mullins","given":"L L","non-dropping-particle":"","parse-names":false,"suffix":""},{"dropping-particle":"","family":"Palmer","given":"W","non-dropping-particle":"","parse-names":false,"suffix":""},{"dropping-particle":"","family":"Wees","given":"S","non-dropping-particle":"","parse-names":false,"suffix":""},{"dropping-particle":"","family":"Klein","given":"H","non-dropping-particle":"","parse-names":false,"suffix":""}],"container-title":"International Journal of Rehabilitation and Health","id":"ITEM-1","issue":"1","issued":{"date-parts":[["1998"]]},"note":"Cited By :9\n\nExport Date: 4 December 2019","page":"59-67","publisher-place":"Oklahoma State University, United States","title":"Relative contributions of attributional style and arthritis helplessness to depression in rheumatoid arthritis: A longitudinal investigation","type":"article-journal","volume":"4"},"uris":["http://www.mendeley.com/documents/?uuid=103318ef-fe56-42e9-bcaf-f34988495e1e"]}],"mendeley":{"formattedCitation":"[68]","plainTextFormattedCitation":"[68]","previouslyFormattedCitation":"[69]"},"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[68]</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3BB909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1998 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DA668B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40B097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USA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67813A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79677D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42 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281015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1E7A2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53 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E41A99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81 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814349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MHAQ </w:t>
            </w:r>
          </w:p>
        </w:tc>
      </w:tr>
      <w:tr w:rsidR="00DB60E7" w:rsidRPr="001B576D" w14:paraId="0C2641D2" w14:textId="77777777" w:rsidTr="00814F6D">
        <w:trPr>
          <w:trHeight w:val="13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7063FC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Fifield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{"citationItems":[{"id":"ITEM-1","itemData":{"DOI":"10.1207/S15324796ABM2301_6","abstract":"This study examines whether the general level and rate of change of fatique over time is different for those rheumatoid arthritis (RA) patients with and those without a history of affective disorder (AD). Four hundred fifteen RA patients from a national panel had yearly telephone interviews to obtain fatigue and distress reports, and a one-time semistructured assessment of the history of depression and generalized anxiety, disorder Growth-curve analysis was used to capture variations in initial fatigue levels and changes in fatigue over 7 years for those with and without a history RA patients with a history of major AD reported levels of fatigue that were 10% higher than those without a history in the 1st year of the study. Their fatigue reports remained elevated over 7 years. Further analysis showed that the effects of a history of Ad on fatigue are fully mediated through current distress, although those with a history had a significantly smaller distress-fatigue slope. Thus, a history of AD leaves Ra patients at risk for a 7-year trajectory of fatigue that is consistently higher than that of patients without a history. The elevation in fatigue reports is, at least in part, a function of enduring levels of distress.","author":[{"dropping-particle":"","family":"Fifield","given":"J","non-dropping-particle":"","parse-names":false,"suffix":""},{"dropping-particle":"","family":"McQuillan","given":"J","non-dropping-particle":"","parse-names":false,"suffix":""},{"dropping-particle":"","family":"Tennen","given":"H","non-dropping-particle":"","parse-names":false,"suffix":""},{"dropping-particle":"","family":"Sheehan","given":"T J","non-dropping-particle":"","parse-names":false,"suffix":""},{"dropping-particle":"","family":"Reisine","given":"S","non-dropping-particle":"","parse-names":false,"suffix":""},{"dropping-particle":"","family":"Hesselbrock","given":"V","non-dropping-particle":"","parse-names":false,"suffix":""},{"dropping-particle":"","family":"Rothfield","given":"N","non-dropping-particle":"","parse-names":false,"suffix":""}],"container-title":"Annals of Behavioral Medicine","id":"ITEM-1","issue":"1","issued":{"date-parts":[["2001"]]},"note":"Cited By :29\n\nExport Date: 5 December 2019","page":"34-41","publisher-place":"The University of Connecticut, School of Medicine, United States","title":"History of affective disorder and the temporal trajectory of fatigue in rheumatoid arthritis","type":"article-journal","volume":"23"},"uris":["http://www.mendeley.com/documents/?uuid=74602972-ec7f-41d1-8d47-96888f2602b9"]}],"mendeley":{"formattedCitation":"[69]","plainTextFormattedCitation":"[69]","previouslyFormattedCitation":"[70]"},"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[69]</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5C89FC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2001 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CA7BA1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99AE1C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USA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5D4EFA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F9C6E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415 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D4FAC5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417 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492353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58 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810ECC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83 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C59628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VAS fatigue </w:t>
            </w:r>
          </w:p>
        </w:tc>
      </w:tr>
      <w:tr w:rsidR="00DB60E7" w:rsidRPr="001B576D" w14:paraId="7CC22A15" w14:textId="77777777" w:rsidTr="00814F6D">
        <w:trPr>
          <w:trHeight w:val="25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2B7C82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Looper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{"citationItems":[{"id":"ITEM-1","itemData":{"DOI":"10.1016/j.jpsychores.2010.12.012","abstract":"Objective: Psychosocial research in arthritis consistently demonstrates a relationship between depression and disease characteristics such as severity of illness and physical disability. In this study, we examine how a history of clinical depression identified through diagnostic interviews influences disease outcome measures in patients with early inflammatory arthritis (EIA) in the absence of current depression. Methods: Patients in the early phase (more than 6-weeks, less than 1-year duration) of inflammatory arthritis were recruited from a larger EIA registry, which recorded sociodemographic data, current depressive symptoms and measures of disease severity. Current and history of major depression was assessed by a structured clinical interview. Eighty-one patients without current major depression were divided into two groups: 28 with and 53 without a history of depression. Results: There were no significant differences between the two groups in age, sex, education, income, or level of current depressive symptoms. Compared with patients with no history of major depression, those with a history of depressive episodes had higher self-ratings of disease activity and were assessed as having more severe disease and poorer physical functioning by their physicians. Conclusion: This study indicates that a history of major depression represents a risk factor for disease severity in EIA. This may reflect an enduring physiological effect of depression that influences subsequent inflammatory arthritis or an underlying shared process between these two disease entities. © 2011 Elsevier Inc.","author":[{"dropping-particle":"","family":"Looper","given":"K","non-dropping-particle":"","parse-names":false,"suffix":""},{"dropping-particle":"","family":"Mustafa","given":"S","non-dropping-particle":"","parse-names":false,"suffix":""},{"dropping-particle":"","family":"Zelkowitz","given":"P","non-dropping-particle":"","parse-names":false,"suffix":""},{"dropping-particle":"","family":"Purden","given":"M","non-dropping-particle":"","parse-names":false,"suffix":""},{"dropping-particle":"","family":"Baron","given":"M","non-dropping-particle":"","parse-names":false,"suffix":""}],"container-title":"Journal of Psychosomatic Research","id":"ITEM-1","issue":"1","issued":{"date-parts":[["2011"]]},"note":"Cited By :3\n\nExport Date: 6 December 2019","page":"28-31","publisher-place":"Department of Psychiatry, Jewish General Hospital and McGill University, Montreal, Canada","title":"History of depressive episodes as a risk factor for illness severity in early inflammatory arthritis","type":"article-journal","volume":"71"},"uris":["http://www.mendeley.com/documents/?uuid=68294c3b-5da7-475d-8b70-933c01efac4d"]}],"mendeley":{"formattedCitation":"[70]","plainTextFormattedCitation":"[70]","previouslyFormattedCitation":"[71]"},"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[70]</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F86D9E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2011 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36293A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McEAR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7C6C5C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Canada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F9F57C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Retrospective observational with history of depression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EF6AB4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104 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815C20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Pr>
                <w:rFonts w:ascii="Calibri" w:eastAsia="Times New Roman" w:hAnsi="Calibri" w:cs="Calibri"/>
                <w:sz w:val="16"/>
                <w:szCs w:val="16"/>
              </w:rPr>
              <w:t>Medical History</w:t>
            </w:r>
            <w:r w:rsidRPr="001B576D">
              <w:rPr>
                <w:rFonts w:ascii="Calibri" w:eastAsia="Times New Roman" w:hAnsi="Calibri" w:cs="Calibri"/>
                <w:sz w:val="16"/>
                <w:szCs w:val="16"/>
              </w:rPr>
              <w:t>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5C123F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D8E898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61 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3E2FF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42791759">
              <w:rPr>
                <w:rFonts w:ascii="Calibri" w:eastAsia="Times New Roman" w:hAnsi="Calibri" w:cs="Calibri"/>
                <w:sz w:val="16"/>
                <w:szCs w:val="16"/>
              </w:rPr>
              <w:t> HAQ</w:t>
            </w:r>
          </w:p>
        </w:tc>
      </w:tr>
      <w:tr w:rsidR="00DB60E7" w:rsidRPr="001B576D" w14:paraId="6D57FAF2"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FD5594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Nugaliyadde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{"citationItems":[{"id":"ITEM-1","itemData":{"DOI":"http://dx.doi.org/10.1093/rheumatology/kex062.001","ISSN":"1462-0332","abstract":"Background: Prevalence of depression among patients with rheumatoid arthritis (RA) is found to be around 9.5-41.5%, much higher than that of the general population. This may affect the management decisions, disease activity and adherence to medication. Previous studies have shown that the outcome in terms of disability and quality of life is worse when associated with depression. This study was carried out as a pilot study to find out the burden of depression in patients with Rheumatoid Arthritis and its impact on disease activity and non-adherence to medication at three months. Method(s): This is a pilot, prospective, observational cohort study, for the duration of three months per participant. Patients were selected sequentially from those attending Rheumatology outpatient clinic at Basildon and Thurrock University Hospitals with confirmed diagnosis of RA (ACR/EULAR criteria), and had been planned to start on a new DMARD by the treating physician. Baseline data included demographics, disease characteristics and data in terms of depression which included a Beck's depression inventory, previous diagnosis of depression and its treatment. Disease activity was measured with DAS28-CRP at baseline and at 3 months. Patients were reviewed at three months to look at DMARD adherence and any side effects. Adherence was defined as continuation of the medication at three months. Logistic regression was used to investigate the effects of Beck's scores and disease characteristics on continuation therapy. The effect of previous diagnosis of depression and demographic data on treatment duration was investigated using Kaplan-Meier survival plots. The effect of baseline variables including previous diagnosis of depression on the change in DAS28 was also investigated using regression analysis. Result(s): Fifty-one patients were recruited to the study. Median age of the recruits was 61 years (IQR 46-71), 73% were female and 92% were Caucasians. Seventy-three percent of the patients were seropositive, 32% were newly diagnosed with RA and DMARD naive. At baseline evaluation 10 (20%) of the patients were already diagnosed with depression. A further 24% of patients with depression were picked up from the Beck's scores. The mean DAS28-CRP at Baseline and at 3 months was 4.13 and 3.19, respectively. Patients with a diagnosis of depression showed less improvement in disease activity at 3 months compared with patients who did not (Change in DAS28-CRP of 0.2 versus 1, p=0.065). The…","author":[{"dropping-particle":"","family":"Nugaliyadde","given":"A.","non-dropping-particle":"","parse-names":false,"suffix":""},{"dropping-particle":"","family":"Culfear","given":"K.","non-dropping-particle":"","parse-names":false,"suffix":""},{"dropping-particle":"","family":"Nandagudi","given":"A.","non-dropping-particle":"","parse-names":false,"suffix":""}],"collection-title":"Rheumatology 2017. United Kingdom.","container-title":"Rheumatology (United Kingdom)","id":"ITEM-1","issue":"Supplement 2","issued":{"date-parts":[["2017"]]},"language":"English","publisher":"Oxford University Press","publisher-place":"A. Nugaliyadde, Rheumatology, Basildon and Thurrock University Hospital, Basildon, United Kingdom","title":"High prevalence of depression and its impact on disease activity in patients with rheumatoid arthritis in a district general hospital of the United Kingdom","type":"article-journal","volume":"56"},"uris":["http://www.mendeley.com/documents/?uuid=9089b557-49cc-4624-9baa-5dde0c060c74"]}],"mendeley":{"formattedCitation":"[71]","plainTextFormattedCitation":"[71]","previouslyFormattedCitation":"[72]"},"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[71]</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6CF813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2017 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19CF53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D774D5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4DDE13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F15A4B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13 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C5CE10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51 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23301E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61 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9DC9B5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73 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F410B3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w:t>
            </w:r>
          </w:p>
        </w:tc>
      </w:tr>
      <w:tr w:rsidR="00DB60E7" w:rsidRPr="001B576D" w14:paraId="5BD0B570" w14:textId="77777777" w:rsidTr="00814F6D">
        <w:trPr>
          <w:trHeight w:val="36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342F81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Chung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author":[{"dropping-particle":"","family":"Chung","given":"A.","non-dropping-particle":"","parse-names":false,"suffix":""},{"dropping-particle":"","family":"Lau","given":"W.","non-dropping-particle":"","parse-names":false,"suffix":""},{"dropping-particle":"","family":"Perera","given":"C.","non-dropping-particle":"","parse-names":false,"suffix":""},{"dropping-particle":"","family":"Doraj","given":"Rai","non-dropping-particle":"","parse-names":false,"suffix":""},{"dropping-particle":"","family":"Khoo","given":"K.","non-dropping-particle":"","parse-names":false,"suffix":""},{"dropping-particle":"","family":"Tymms","given":"K.","non-dropping-particle":"","parse-names":false,"suffix":""}],"container-title":"Internal Medicine Journal","id":"ITEM-1","issued":{"date-parts":[["2013"]]},"title":"ARA-P18 Impact of mental health on physical outcomes in rheumatoid arthritis patients on BDMARDs","type":"article-journal"},"uris":["http://www.mendeley.com/documents/?uuid=d852bef1-62c9-4f6e-aaa5-cc289eb50b4f"]}],"mendeley":{"formattedCitation":"[72]","plainTextFormattedCitation":"[72]","previouslyFormattedCitation":"[73]"},"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[72]</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B33A26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2013 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6EB324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7F478E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Australia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8CE143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4EAA94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114 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96D933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261 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BB661B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ECF087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78386A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HAQ </w:t>
            </w:r>
          </w:p>
        </w:tc>
      </w:tr>
      <w:tr w:rsidR="00DB60E7" w:rsidRPr="001B576D" w14:paraId="347A7A04"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CD798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England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{"citationItems":[{"id":"ITEM-1","itemData":{"DOI":"http://dx.doi.org/10.1002/art.39448","ISSN":"2326-5191","abstract":"Background/Purpose: Biologic therapy is now a cornerstone of RA management, but treatment response is variable, failing in up to 40% of patients. To direct appropriate treatments towards those patients most likely to benefit, reliable predictors of treatment response must be identified. Response is usually measured using DAS28, using clinical, biochemical, and patient-reported data. It has recently been shown that psychological factors influence individual DAS28 components, notably tender joint count and patient visual analogue scale (VAS) (Arthritis Care Res 2014, 66:861- 868). We hypothesised that psychological factors also influence change in DAS28 after biologic therapy, and that individual components of DAS28 would be affected disproportionately. Method(s): Data from the BRAGGSS cohort was used: a multicentre, observational study of RA patients with severe active disease according to NICE criteria and undergoing biologic therapy. Clinical and demographic data were collected from patients about to commence a biologic drug, then at three and six months. Illness beliefs, treatment beliefs, and mood were assessed at the same timepoints using validated measures: the Brief Illness Perceptions Questionnaire (B-IPQ), the Beliefs about Medications Questionnaire (BMQ), and the Hospital Anxiety and Depression Scale (HADS), respectively. The relationships between psychological factors at baseline and 3- and 6-month change in DAS28 components were analysed using linear regression. Result(s): At baseline, 75.5% of 1847 patients were female, with a mean age of 58.4, DAS28 of 5.74 and HAQ of 1.74. 73.1% patients received anti-TNF drugs. There were significant associations (p&lt;0.05) between nine of the 12 psychological factors with patient VAS, and six psychological factors with tender joint count. Three B-IPQ items and HADS depression were associated with CRP (p&lt;0.05). At six months, no associations between baseline B-IPQ scores and changes in composite DAS28 were observed but BMQ and HADS anxiety scores showed a significant association (p&lt;0.05). Interestingly, an association was found between baseline illness beliefs and changes in CRP, indicating that with lower baseline psychological scores inflammation was more reduced; for example, personal control (beta=-0.786, p=0.05), treatment control (beta=-1.48, p=0.005) and coherence (beta=-1.623, p=&lt;0.001). This was true at both three and six months follow-up. Conclusion(s): This study confirms earlier findings suggest…","author":[{"dropping-particle":"","family":"England","given":"B.","non-dropping-particle":"","parse-names":false,"suffix":""},{"dropping-particle":"","family":"Cordingley","given":"L.","non-dropping-particle":"","parse-names":false,"suffix":""},{"dropping-particle":"","family":"Plant","given":"D.","non-dropping-particle":"","parse-names":false,"suffix":""},{"dropping-particle":"","family":"Morgan","given":"A.","non-dropping-particle":"","parse-names":false,"suffix":""},{"dropping-particle":"","family":"Wilson","given":"A.","non-dropping-particle":"","parse-names":false,"suffix":""},{"dropping-particle":"","family":"Hyrich","given":"K.L.","non-dropping-particle":"","parse-names":false,"suffix":""}],"collection-title":"American College of Rheumatology/Association of Rheumatology Health Professionals Annual Scientific Meeting, ACR/ARHP 2015. San Francisco, CA United States.","container-title":"Arthritis and Rheumatology","id":"ITEM-1","issue":"SUPPL. 10","issued":{"date-parts":[["2015"]]},"language":"English","publisher":"John Wiley and Sons Inc.","publisher-place":"B. England, University of Manchester, Manchester, United Kingdom","title":"Investigating psychological predictors of biologic treatment response in patients with severe active rheumatoid arthritis","type":"article-journal","volume":"67"},"uris":["http://www.mendeley.com/documents/?uuid=b5a983d6-5a48-4ee3-a3e5-61e917865d99"]}],"mendeley":{"formattedCitation":"[73]","plainTextFormattedCitation":"[73]","previouslyFormattedCitation":"[74]"},"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[73]</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5BD1DB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328F8B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BRAGGS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5DAC0D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25376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2CB137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1847 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3B71DD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30097E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58 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8CF2CE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76 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EF9E95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w:t>
            </w:r>
          </w:p>
        </w:tc>
      </w:tr>
      <w:tr w:rsidR="00DB60E7" w:rsidRPr="001B576D" w14:paraId="418D6297"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A7AE2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Sergeant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{"citationItems":[{"id":"ITEM-1","itemData":{"DOI":"http://dx.doi.org/10.1136/annrheumdis-2015-eular.5305","ISSN":"0003-4967","abstract":"Background: Methotrexate (MTX) is the disease modifying drug of first choice for most patients with rheumatoid arthritis (RA). However, response to MTX varies and attempts to identify predictors of response have proved inconsistent. Objective(s): To evaluate potential lifestyle, clinical and novel psychosocial predictors of response to MTX in the Rheumatoid Arthritis Medication Study (RAMS), a cohort of RA patients commencing MTX therapy for the first time. Method(s): RAMS is a multi-centre observational study recruiting RA patients from across the UK who are &gt;=18 years old and starting MTX for the first time. Predictors of response to MTX are acquired via questionnaires and from case notes at baseline 3, 6 and 12 months after MTX commencement. Response to treatment was defined at 6 months using the EULAR definition of good response: disease activity score-28 (DAS28) &lt;=3.2 and reduction in DAS28 from baseline &gt;1.2. Associations between good response at six months and baseline measures of body mass index (BMI), smoking status (current/former/never), alcohol intake, symptom duration, DAS28, functional disability (Health Assessment Questionnaire, HAQ), C-reactive protein (CRP), creatinine, rheumatoid factor (RF), socioeconomic status (Index of Multiple Deprivation, IMD), anxiety and depression (Hospital Anxiety and Depression Scale, HADS), beliefs about medicines (Beliefs about Medicines Questionnaire, BMQ) and illness representation (Brief Illness Perceptions Questionnaire (BIPQ)) were assessed using chi-square or Mann-Whitney tests and adjusted for age and sex using multiple logistic regression. Result(s): Complete data on baseline predictors and response at six months was available on 460 participants: 338 female (73%), median age 60 (IQR 48-68) years, median symptom duration 9 (IQR 5-30) months. 130 participants (28%) were good responders. Baseline measures for good responders and non-good responders, together with group comparisons and adjusted odds ratios are shown in Table 1. Good response was negatively associated with BMI, current smoking and anxiety and depression, and positively associated with baseline DAS28, elevated CRP, RF positivity and positive illness representation. Conclusion(s): Lifestyle, clincial, and novel psychosocial factors were found to be predictors of response to MTX at six months. Notably those with higher values of baseline disease activity and serological and inflammatory markers were more likely to be good responders, perh…","author":[{"dropping-particle":"","family":"Sergeant","given":"J. C.","non-dropping-particle":"","parse-names":false,"suffix":""},{"dropping-particle":"","family":"Hope","given":"H.F.","non-dropping-particle":"","parse-names":false,"suffix":""},{"dropping-particle":"","family":"Anderson","given":"J.","non-dropping-particle":"","parse-names":false,"suffix":""},{"dropping-particle":"","family":"Barton","given":"A.","non-dropping-particle":"","parse-names":false,"suffix":""},{"dropping-particle":"","family":"Hyrich","given":"K.L.","non-dropping-particle":"","parse-names":false,"suffix":""}],"collection-title":"Annual European Congress of Rheumatology of the European League Against Rheumatism, EULAR 2015. Rome Italy.","container-title":"Annals of the Rheumatic Diseases","id":"ITEM-1","issue":"SUPPL. 2","issued":{"date-parts":[["2015"]]},"language":"English","page":"783-784","publisher":"BMJ Publishing Group","publisher-place":"J.C. Sergeant, Arthritis Research UK Centre for Epidemiology, Manchester Academic Health Science Centre, University of Manchester, Manchester, United Kingdom","title":"Lifestyle, clinical and psychosocial predictors of good response to methotrexate therapy in the rheumatoid arthritis medication study (RAMS)","type":"article-journal","volume":"74"},"uris":["http://www.mendeley.com/documents/?uuid=184bbd35-35e1-4e91-808f-fc6da660939f"]}],"mendeley":{"formattedCitation":"[74]","plainTextFormattedCitation":"[74]","previouslyFormattedCitation":"[75]"},"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[74]</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0D067E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62E038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RAMS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E4ADF6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96998E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31BED5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460 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16D4CD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929C85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60 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2F6C12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73 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F5C434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w:t>
            </w:r>
          </w:p>
        </w:tc>
      </w:tr>
      <w:tr w:rsidR="00DB60E7" w:rsidRPr="001B576D" w14:paraId="1105D8E4"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80C216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Morris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{"citationItems":[{"id":"ITEM-1","itemData":{"DOI":"10.1177/1359105310386635","abstract":"Long-term patterns of depression, and associations with health and function were examined among 1115 individuals with rheumatoid arthritis, using 18 years of panel data, summarized in 9653 interviews. Depression was defined by scores on the Geriatric Depression Scale (6 or above). Participants were classified, using cluster analysis, into three distinct patterns of depression over repeated assessments: nondepressed (65.8%), intermittent (25.2%), and chronic (9.0%). GEE analyses assessed outcomes over time as a function of patterns of depression; controlling for demographic and clinical factors. Results indicated that patterns of depression had significant adverse effects on health and function over time.","author":[{"dropping-particle":"","family":"Morris","given":"A","non-dropping-particle":"","parse-names":false,"suffix":""},{"dropping-particle":"","family":"Yelin","given":"E H","non-dropping-particle":"","parse-names":false,"suffix":""},{"dropping-particle":"","family":"Panopalis","given":"P","non-dropping-particle":"","parse-names":false,"suffix":""},{"dropping-particle":"","family":"Julian","given":"L","non-dropping-particle":"","parse-names":false,"suffix":""},{"dropping-particle":"","family":"Katz","given":"P P","non-dropping-particle":"","parse-names":false,"suffix":""}],"container-title":"Journal of Health Psychology","id":"ITEM-1","issue":"4","issued":{"date-parts":[["2011"]]},"note":"Cited By :25\n\nExport Date: 5 December 2019","page":"667-677","publisher-place":"Arthritis Research Group, Department of Medicine, University of California, San Francisco, CA, United States","title":"Long-term patterns of depression and associations with health and function in a panel study of rheumatoid arthritis","type":"article-journal","volume":"16"},"uris":["http://www.mendeley.com/documents/?uuid=63c5ea7b-dc3b-461b-90e0-255fb3db5921"]}],"mendeley":{"formattedCitation":"[75]","plainTextFormattedCitation":"[75]","previouslyFormattedCitation":"[76]"},"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[75]</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6B6C5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2011 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828880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UCSF RA panel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5F7F58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USA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493D6B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6A243E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1115 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A1347E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939 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B9A2E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55 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CAC91F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80 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369E86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HAQ </w:t>
            </w:r>
          </w:p>
        </w:tc>
      </w:tr>
      <w:tr w:rsidR="00DB60E7" w:rsidRPr="001B576D" w14:paraId="0B91AD18"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85E670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Van Den Hoek </w:t>
            </w:r>
            <w:r w:rsidRPr="006D19C0">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{"citationItems":[{"id":"ITEM-1","itemData":{"DOI":"https://dx.doi.org/10.1002/acr.21950","ISSN":"2151-4658","abstract":"OBJECTIVE: To describe long-term physical functioning and its association with somatic comorbidity and comorbid depression in patients with established rheumatoid arthritis (RA)., METHODS: Longitudinal data over a period of 11 years were collected from 882 patients with RA at study inclusion. Patient-reported outcomes were collected in 1997, 1998, 1999, 2002, and 2008. Physical functioning was measured with the Health Assessment Questionnaire and the physical component summary score of the Short Form 36 health survey. Somatic comorbidity was measured by a questionnaire including 12 chronic diseases. Comorbid depression was measured with the Center for Epidemiologic Studies Depression Scale. We distinguished 4 groups of patients based on comorbidity at baseline., RESULTS: Seventy-two percent of the patients at baseline were women. The mean +/- SD age was 59.3 +/- 14.8 years and the median disease duration was 5.0 years (interquartile range 2.0-14.0 years). For the total group of patients with RA, physical functioning improved over time. Patients with somatic comorbidity, comorbid depression, or both demonstrated worse physical functioning than patients without comorbidity at all data collection points. Both groups with comorbid depression had the lowest scores. Only patients with both somatic comorbidity and comorbid depression showed significantly less improvement in physical functioning over time., CONCLUSION: Both somatic comorbidity and comorbid depression were negatively associated with physical functioning during an 11-year followup period. Furthermore, their combination seems to be especially detrimental to physical functioning over time. These results emphasize the need to take somatic comorbidity and comorbid depression into account in the screening and treatment of patients with RA. Copyright © 2013 by the American College of Rheumatology.","author":[{"dropping-particle":"","family":"Hoek","given":"J","non-dropping-particle":"van den","parse-names":false,"suffix":""},{"dropping-particle":"","family":"Roorda","given":"L D","non-dropping-particle":"","parse-names":false,"suffix":""},{"dropping-particle":"","family":"Boshuizen","given":"H C","non-dropping-particle":"","parse-names":false,"suffix":""},{"dropping-particle":"","family":"Hees","given":"J","non-dropping-particle":"van","parse-names":false,"suffix":""},{"dropping-particle":"","family":"Rupp","given":"I","non-dropping-particle":"","parse-names":false,"suffix":""},{"dropping-particle":"","family":"Tijhuis","given":"G J","non-dropping-particle":"","parse-names":false,"suffix":""},{"dropping-particle":"","family":"Dekker","given":"J","non-dropping-particle":"","parse-names":false,"suffix":""},{"dropping-particle":"","family":"Bos","given":"G A M","non-dropping-particle":"van den","parse-names":false,"suffix":""}],"container-title":"Arthritis care &amp; research","id":"ITEM-1","issue":"7","issued":{"date-parts":[["2013"]]},"page":"1157-1165","publisher-place":"United States","title":"Long-term physical functioning and its association with somatic comorbidity and comorbid depression in patients with established rheumatoid arthritis: a longitudinal study.","type":"article-journal","volume":"65"},"uris":["http://www.mendeley.com/documents/?uuid=cf7079b7-6619-4811-b37b-89aed2352279"]}],"mendeley":{"formattedCitation":"[76]","plainTextFormattedCitation":"[76]","previouslyFormattedCitation":"[77]"},"properties":{"noteIndex":0},"schema":"https://github.com/citation-style-language/schema/raw/master/csl-citation.json"}</w:instrText>
            </w:r>
            <w:r w:rsidRPr="006D19C0">
              <w:rPr>
                <w:rFonts w:ascii="Calibri" w:eastAsia="Times New Roman" w:hAnsi="Calibri" w:cs="Calibri"/>
                <w:sz w:val="16"/>
                <w:szCs w:val="16"/>
              </w:rPr>
              <w:fldChar w:fldCharType="separate"/>
            </w:r>
            <w:r w:rsidRPr="00193ED0">
              <w:rPr>
                <w:rFonts w:ascii="Calibri" w:eastAsia="Times New Roman" w:hAnsi="Calibri" w:cs="Calibri"/>
                <w:noProof/>
                <w:sz w:val="16"/>
                <w:szCs w:val="16"/>
              </w:rPr>
              <w:t>[76]</w:t>
            </w:r>
            <w:r w:rsidRPr="006D19C0">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8A2C32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w:t>
            </w:r>
            <w:r>
              <w:rPr>
                <w:rFonts w:ascii="Calibri" w:eastAsia="Times New Roman" w:hAnsi="Calibri" w:cs="Calibri"/>
                <w:sz w:val="16"/>
                <w:szCs w:val="16"/>
              </w:rPr>
              <w:t>3</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72623B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D35B85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Netherlands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0EDC1A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2B6B5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882 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8C2384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574 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DF6F5A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59 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63B087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72 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1C0C6A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HAQ, SF-36 </w:t>
            </w:r>
          </w:p>
        </w:tc>
      </w:tr>
      <w:tr w:rsidR="00DB60E7" w:rsidRPr="001B576D" w14:paraId="082C20CF" w14:textId="77777777" w:rsidTr="00814F6D">
        <w:trPr>
          <w:trHeight w:val="13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EAA1CA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Bechman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{"citationItems":[{"id":"ITEM-1","itemData":{"DOI":"10.1136/rmdopen-2018-000676","abstract":"Background Tapering of anti-tumour necrosis factor (TNF) therapy appears feasible, safe and effective in selected patients with rheumatoid arthritis (RA). Depression is highly prevalent in RA and may impact on flare incidence through various mechanisms. This study aims to investigate if psychological states predict flare in patients' dose tapering their anti-TNF therapy. Methods This study is a post-hoc analysis of the Optimizing TNF Tapering in RA trial, a multicentre, randomised, open-label study investigating anti-TNF tapering in RA patients with sustained low disease activity. Patient-reported outcomes (Health Assessment Questionnaire, EuroQol 5-dimension scale, Functional Assessment of Chronic Illness Therapy fatigue scale (FACIT-F), 36-Item Short Form Survey (SF-36)) were collected at baseline. The primary outcome was flare, defined as an increase in 28-joint count Disease Activity Score (DAS28) ≥0.6 and ≥1 swollen joint. Discrete-time survival models were used to identify patient-reported outcomes that predict flare. Results Ninety-seven patients were randomised to taper their anti-TNF dose by either 33% or 66%. Forty-one patients flared. Higher baseline DAS28 score was associated with flare (adjusted HR 1.96 (95% CI 1.18 to 3.24), p=0.01). Disability (SF-36 physical component score), fatigue (FACIT-F) and mental health (SF-36 mental health subscale (MH)) predicted flare in unadjusted models. In multivariate analyses, only SF-36 MH remained a statistically significant predictor of flare (adjusted HR per 10 units 0.74 (95% CI 0.60 to 0.93), p=0.01). Conclusions Baseline DAS28 and mental health status are independently associated with flare in patients who taper their anti-TNF therapy. Fatigue and function also associate with flare but the effect disappears when adjusting for confounders. Given these findings, mental health and functional status should be considered in anti-TNF tapering decisions in order to optimise the likelihood of success. © Article author(s) (or their employer(s) unless otherwise stated in the text of the article) 2018.","author":[{"dropping-particle":"","family":"Bechman","given":"K.","non-dropping-particle":"","parse-names":false,"suffix":""},{"dropping-particle":"","family":"Sin","given":"F E.","non-dropping-particle":"","parse-names":false,"suffix":""},{"dropping-particle":"","family":"Ibrahim","given":"F.","non-dropping-particle":"","parse-names":false,"suffix":""},{"dropping-particle":"","family":"Norton","given":"S.","non-dropping-particle":"","parse-names":false,"suffix":""},{"dropping-particle":"","family":"Matcham","given":"F.","non-dropping-particle":"","parse-names":false,"suffix":""},{"dropping-particle":"","family":"Scott","given":"D L.","non-dropping-particle":"","parse-names":false,"suffix":""},{"dropping-particle":"","family":"Cope","given":"A.","non-dropping-particle":"","parse-names":false,"suffix":""},{"dropping-particle":"","family":"Galloway","given":"J.","non-dropping-particle":"","parse-names":false,"suffix":""}],"container-title":"RMD Open","id":"ITEM-1","issue":"1","issued":{"date-parts":[["2018"]]},"note":"Cited By :3\n\nExport Date: 5 December 2019","publisher-place":"Academic Department of Rheumatology, King's College London, London, United Kingdom","title":"Mental health, fatigue and function are associated with increased risk of disease flare following TNF inhibitor tapering in patients with rheumatoid arthritis: An exploratory analysis of data from the Optimizing TNF Tapering in RA (OPTTIRA) trial","type":"article-journal","volume":"4"},"uris":["http://www.mendeley.com/documents/?uuid=87100682-346a-484d-acfe-257e54060cf8"]}],"mendeley":{"formattedCitation":"[11]","plainTextFormattedCitation":"[11]","previouslyFormattedCitation":"[11]"},"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[11]</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F1A0F9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2018 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5D4839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OPTTIRA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4C94E7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9D3E27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A3510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97 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468986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BAB112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57 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CBE5F9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74 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E67336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w:t>
            </w:r>
          </w:p>
        </w:tc>
      </w:tr>
      <w:tr w:rsidR="00DB60E7" w:rsidRPr="001B576D" w14:paraId="418DEAF4"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FF35AA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McFarlane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{"citationItems":[{"id":"ITEM-1","itemData":{"DOI":"10.1016/0022-3999(87)90024-9","abstract":"A three year prospective study of 30 patients with established rheumatoid arthritis demonstrated that symptoms of depression and anxiety predicted a good outcome whilst externalised hostility predicted a poorer outcome. A multiple regression analysis further showed that patients who denied the emotional significance of their illness faired worse. Psychological variables accounted for 32% of the variance of outcome. © 1987.","author":[{"dropping-particle":"","family":"McFarlane","given":"A C","non-dropping-particle":"","parse-names":false,"suffix":""},{"dropping-particle":"","family":"Kalucy","given":"R S","non-dropping-particle":"","parse-names":false,"suffix":""},{"dropping-particle":"","family":"Brooks","given":"P M","non-dropping-particle":"","parse-names":false,"suffix":""}],"container-title":"Journal of Psychosomatic Research","id":"ITEM-1","issue":"6","issued":{"date-parts":[["1987"]]},"note":"Cited By :25\n\nExport Date: 5 December 2019","page":"757-764","title":"Psychological predictors of disease course in rheumatoid arthritis","type":"article-journal","volume":"31"},"uris":["http://www.mendeley.com/documents/?uuid=cf53730c-0ae6-458f-bbfb-aee2f1f46211"]}],"mendeley":{"formattedCitation":"[77]","plainTextFormattedCitation":"[77]","previouslyFormattedCitation":"[78]"},"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[77]</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5E8732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1987 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196A6D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B8C444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Australia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F232E8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3BCE4B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40 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9FC52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156 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C5B669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53 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7BD7F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80 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F191D8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75FADA97">
              <w:rPr>
                <w:rFonts w:ascii="Calibri" w:eastAsia="Times New Roman" w:hAnsi="Calibri" w:cs="Calibri"/>
                <w:sz w:val="16"/>
                <w:szCs w:val="16"/>
              </w:rPr>
              <w:t> DAS-28</w:t>
            </w:r>
          </w:p>
        </w:tc>
      </w:tr>
      <w:tr w:rsidR="00DB60E7" w:rsidRPr="001B576D" w14:paraId="50EEF761"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C7B6D9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Odegard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{"citationItems":[{"id":"ITEM-1","itemData":{"DOI":"10.1136/ard.2006.064287","ISSN":"0003-4967","abstract":"Objective: To examine rheumatoid arthritis ( RA) with short disease\nduration over 10 years, and to identify factors that are associated with\nthe course of pain, depression and anxiety.\nMethods: A cohort of 238 patients with RA ( age 20-70 years, mean\ndisease duration 2.3 years, 68% rheumatoid factor positive) was\nfollowed with assessments at baseline and after 1, 2, 5 and 10 years.\nSelf-reported health status was assessed by pain on a 100 mm visual\nanalogue scale, the Arthritis Impact Measurement Scales ( AIMS), the\n28-item version of General Health Questionnaires, and the Health\nAssessment Questionnaire. We also examined the erythrocyte sedimentation\nratio, grip strength ( kg) and radiographic progression of the hands (\nvan der Heijde modified Sharp score). Repeated measures analyses of\nvariance were used to explore the effect of time on measures of outcome\namong completers, whereas repeated measures analyses using a mixed model\nwere applied to identify factors that were longitudinally associated\nwith pain, depression and anxiety.\nResults: At the various assessment points 30% had a visual analogue\nscale pain score of &gt;= 40 mm, 5-13% had an AIMS depression score of &gt;=\n4.0 and 20-30% had an AIMS anxiety score of &gt;= 4.0. The perceived level\nof pain was explained longitudinally by anxiety, disease activity,\nphysical function and female gender, depression by high disease activity\nand anxiety, whereas anxiety was explained by low disease activity and\ndepression.\nConclusion: More patients had increased levels of anxiety (20-30%) than\nincreased levels of depression (5-13%). Several factors, including\nanxiety, but not depression, were associated with the course of pain.","author":[{"dropping-particle":"","family":"Odegard","given":"Sigrid","non-dropping-particle":"","parse-names":false,"suffix":""},{"dropping-particle":"","family":"Finset","given":"Arnstein","non-dropping-particle":"","parse-names":false,"suffix":""},{"dropping-particle":"","family":"Mowinckel","given":"Petter","non-dropping-particle":"","parse-names":false,"suffix":""},{"dropping-particle":"","family":"Kvien","given":"Tore K","non-dropping-particle":"","parse-names":false,"suffix":""},{"dropping-particle":"","family":"Uhlig","given":"Till","non-dropping-particle":"","parse-names":false,"suffix":""}],"container-title":"ANNALS OF THE RHEUMATIC DISEASES","id":"ITEM-1","issue":"9","issued":{"date-parts":[["2007","9"]]},"page":"1195-1201","title":"Pain and psychological health status over a 10-year period in patients with recent onset rheumatoid arthritis","type":"article-journal","volume":"66"},"uris":["http://www.mendeley.com/documents/?uuid=0edc42a1-f817-4b8e-b10c-1c1ed5c056b4"]}],"mendeley":{"formattedCitation":"[36]","plainTextFormattedCitation":"[36]","previouslyFormattedCitation":"[37]"},"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[36]</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6289A6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2007 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EB8BCE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EURIDISS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03304E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Norway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050648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72DF2A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238 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8C3A9F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521 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55B6D5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F7DDCC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74 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A8B66A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VAS pain </w:t>
            </w:r>
          </w:p>
        </w:tc>
      </w:tr>
      <w:tr w:rsidR="00DB60E7" w:rsidRPr="001B576D" w14:paraId="672A2CC6"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A9519B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Vriezekolk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{"citationItems":[{"id":"ITEM-1","itemData":{"DOI":"10.3109/09638280903323250","abstract":"Purpose. To examine psychological health status among patients with inflammatory rheumatic diseases (i.e. rheumatoid arthritis, psoriatic arthritis, and ankylosing spondylitis) and osteoarthritis in multidisciplinary rehabilitation, and to describe changes in psychological distress, illness cognitions, and pain coping from pre- to post-treatment. Method. Eighty-nine patients referred to multidisciplinary rehabilitation completed a set of questionnaires to assess pain (AIMS2-SF), physical functioning (AIMS2-SF), psychological distress (IRGL), illness cognitions (ICQ) and pain coping (PCI) at pre- and post-treatment. Changes in physical functioning, pain, and psychological health status were determined. On the basis of the cut-off scores of psychological distress, distressed, and non-distressed patients were compared on physical and psychological outcomes. Results. Psychological distress was found in 64% of the study sample. In addition, high levels of helplessness and worrying, low levels of acceptance, and moderate levels of physical functioning were found. After treatment, positive changes in pain, psychological distress, and illness cognitions were observed. However, 69% (29/42) of the distressed patients at baseline still experienced elevated levels of psychological distress and maladaptive cognitions. Conclusions. Psychological distress and maladaptive illness cognitions are important characteristics of this study sample, and psychological distress remains high after rehabilitation. More attention should be given to the appropriate assessment and treatment of psychological distress within multidisciplinary rehabilitation. © 2010 Informa UK Ltd.","author":[{"dropping-particle":"","family":"Vriezekolk","given":"J","non-dropping-particle":"","parse-names":false,"suffix":""},{"dropping-particle":"","family":"Eijsbouts","given":"A","non-dropping-particle":"","parse-names":false,"suffix":""},{"dropping-particle":"","family":"Evers","given":"A","non-dropping-particle":"","parse-names":false,"suffix":""},{"dropping-particle":"","family":"Stenger","given":"A","non-dropping-particle":"","parse-names":false,"suffix":""},{"dropping-particle":"","family":"Hoogen","given":"F","non-dropping-particle":"Van Den","parse-names":false,"suffix":""},{"dropping-particle":"","family":"Lankveld","given":"W","non-dropping-particle":"Van","parse-names":false,"suffix":""}],"container-title":"Disability and Rehabilitation","id":"ITEM-1","issue":"10","issued":{"date-parts":[["2010"]]},"note":"Cited By :19\n\nExport Date: 5 December 2019","page":"836-844","publisher-place":"Sint Maartenskliniek, Department of Rheumatology, PO Box 9011, 6500 GM Nijmegen, Netherlands","title":"Poor psychological health status among patients with inflammatory rheumatic diseases and osteoarthritis in multidisciplinary rehabilitation: Need for a routine psychological assessment","type":"article-journal","volume":"32"},"uris":["http://www.mendeley.com/documents/?uuid=33168101-ed41-4f93-87a9-dbe283c696e5"]}],"mendeley":{"formattedCitation":"[78]","plainTextFormattedCitation":"[78]","previouslyFormattedCitation":"[79]"},"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[78]</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508FE7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w:t>
            </w:r>
            <w:r>
              <w:rPr>
                <w:rFonts w:ascii="Calibri" w:eastAsia="Times New Roman" w:hAnsi="Calibri" w:cs="Calibri"/>
                <w:sz w:val="16"/>
                <w:szCs w:val="16"/>
              </w:rPr>
              <w:t>10</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515F0E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5C8463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Netherlands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F3B1D9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9EC54F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73 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A83AF3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8E6A39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53 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31E5EA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72 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F22DAA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AIMS, VAS pain </w:t>
            </w:r>
          </w:p>
        </w:tc>
      </w:tr>
      <w:tr w:rsidR="00DB60E7" w:rsidRPr="001B576D" w14:paraId="655276C3"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04A36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Sergeant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{"citationItems":[{"id":"ITEM-1","itemData":{"DOI":"http://dx.doi.org/10.1136/annrheumdis-2016-eular.4282","ISSN":"1468-2060","abstract":"Background: Methotrexate (MTX) is the disease modifying drug of first choice in the treatment of rheumatoid arthritis (RA). However, response to MTX varies and the ability to predict likely non-response could enable earlier access to alternative drugs and the avoidance of disease progression for some patients. Objective(s): To predict non-response to MTX in the Rheumatoid Arthritis Medication Study (RAMS), a cohort of RA patients commencing MTX therapy for the first time. Method(s): RAMS is a national multi-centre observational study recruiting RA patients in the UK who are &gt;=18 years old and starting MTX for the first time. Data on potential predictors of response to MTX was acquired at baseline via questionnaires, case notes and blood samples and used to predict non-response to MTX at six months after commencement. Non-response to treatment was defined as failing to fulfil the EULAR criteria for good response: disease activity score-28 (DAS28) at six months &lt;=3.2 and reduction in DAS28 from baseline to six months &gt;1.2. Potential predictors were chosen as candidate variables in a multivariable logistic regression model for non-response based on previous univariable analysis. The baseline measures included were body mass index (BMI), current smoking (yes/no), drinking of alcohol (yes/no), symptom duration, DAS28, functional disability (Health Assessment Questionnaire, HAQ), C-reactive protein (CRP), creatinine, anxiety and depression scores (Hospital Anxiety and Depression Scale, HADS) and beliefs about medicines necessity and concerns scores (Beliefs about Medicines Questionnaire, BMQ). All candidate predictors were initially included in a full model before backwards selection was used to remove non-significant terms (p&gt;0.05) and produce a parsimonious final model. The ability of the models to discriminate between responders and non-responders was assessed using the area under the receiver operating characteristic curve (AUC). Result(s): Data on baseline predictor values and response at six months was available on 781 participants: 546 (70%) female, median age 59 (IQR 48-68) years, median symptom duration 9 (IQR 4-28) months. 549 participants (70%) were non-responders. Multivariable age- and sex-adjusted odds ratios for the predictors in the full and final models are shown in Table 1. The full model had an AUC of 0.70. The final model, containing BMI, current smoking, DAS28 and HADS anxiety score, had an AUC of 0.69. Conclusion(s): Baseline values of l…","author":[{"dropping-particle":"","family":"Sergeant","given":"J.C.","non-dropping-particle":"","parse-names":false,"suffix":""},{"dropping-particle":"","family":"Hyrich","given":"K.L.","non-dropping-particle":"","parse-names":false,"suffix":""},{"dropping-particle":"","family":"Anderson","given":"J.","non-dropping-particle":"","parse-names":false,"suffix":""},{"dropping-particle":"","family":"Kopec-Harding","given":"K.","non-dropping-particle":"","parse-names":false,"suffix":""},{"dropping-particle":"","family":"Hope","given":"H.F.","non-dropping-particle":"","parse-names":false,"suffix":""},{"dropping-particle":"","family":"Barton","given":"A.","non-dropping-particle":"","parse-names":false,"suffix":""}],"collection-title":"Annual European Congress of Rheumatology of the European League Against Rheumatism, EULAR 2016. United Kingdom.","container-title":"Annals of the Rheumatic Diseases","id":"ITEM-1","issue":"Supplement 2","issued":{"date-parts":[["2016"]]},"language":"English","page":"57-58","publisher":"BMJ Publishing Group","publisher-place":"J.C. Sergeant, Arthritis Research UK Centre for Epidemiology, Centre for Musculoskeletal Research, University of Manchester, Manchester, United Kingdom","title":"Prediction of non-response to methotrexate therapy in the rheumatoid arthritis medication study (RAMS)","type":"article-journal","volume":"75"},"uris":["http://www.mendeley.com/documents/?uuid=443fa02a-6f7b-4983-ac8e-88fe3f6698f9"]}],"mendeley":{"formattedCitation":"[79]","plainTextFormattedCitation":"[79]","previouslyFormattedCitation":"[80]"},"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[79]</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4FDDA2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A79A7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RAMS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DDD577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F72403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D161D6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1050 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71C9E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5BC7E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59 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8110E6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70 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1639B8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w:t>
            </w:r>
          </w:p>
        </w:tc>
      </w:tr>
      <w:tr w:rsidR="00DB60E7" w:rsidRPr="001B576D" w14:paraId="732B29B4"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7A3063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Sergeant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{"citationItems":[{"id":"ITEM-1","itemData":{"DOI":"10.1186/s13075-018-1645-5","abstract":"Background: Methotrexate (MTX) remains the disease-modifying anti-rheumatic drug of first choice in rheumatoid arthritis (RA) but response varies. Predicting non-response to MTX could enable earlier access to alternative or additional medications and control of disease progression. We aimed to identify baseline predictors of non-response to MTX and combine these into a prediction algorithm. Methods: This study included patients recruited to the Rheumatoid Arthritis Medication Study (RAMS), a UK multi-centre prospective observational study of patients with RA or undifferentiated polyarthritis, commencing MTX for the first time. Non-response to MTX at 6 months was defined as \"no response\" using the European League Against Rheumatism (EULAR) response criteria, discontinuation of MTX due to inefficacy or starting biologic therapy. The association of baseline demographic, clinical and psychosocial predictors with non-response was assessed using logistic regression. Predictive performance was assessed using the area under the receiver operating characteristic curve (AUC) and calibration plots. Results: Of 1050 patients, 449 (43%) were classified as non-responders. Independent multivariable predictors of MTX non-response (OR (95% CI)) were rheumatoid factor (RF) negativity (0.62 (0.45, 0.86) for RF positivity versus negativity), higher Health Assessment Questionnaire score (1.64 (1.25, 2.15)), higher tender joint count (1.06 (1.02, 1.10)), lower Disease Activity score in 28 joints (0.29 (0.23, 0.39)) and higher Hospital Anxiety and Depression Scale anxiety score (1.07 (1.03, 1.12)). The optimism-corrected AUC was 0.74. Conclusions: This is the first model for MTX non-response to be developed in a large contemporary study of patients commencing MTX in which demographic, clinical and psychosocial predictors were considered. Patient anxiety was a predictor of non-response and could be addressed at treatment commencement. © 2018 The Author(s).","author":[{"dropping-particle":"","family":"Sergeant","given":"J C","non-dropping-particle":"","parse-names":false,"suffix":""},{"dropping-particle":"","family":"Hyrich","given":"K L","non-dropping-particle":"","parse-names":false,"suffix":""},{"dropping-particle":"","family":"Anderson","given":"J","non-dropping-particle":"","parse-names":false,"suffix":""},{"dropping-particle":"","family":"Kopec-Harding","given":"K","non-dropping-particle":"","parse-names":false,"suffix":""},{"dropping-particle":"","family":"Hope","given":"H F","non-dropping-particle":"","parse-names":false,"suffix":""},{"dropping-particle":"","family":"Symmons","given":"D P M","non-dropping-particle":"","parse-names":false,"suffix":""},{"dropping-particle":"","family":"Barton","given":"A","non-dropping-particle":"","parse-names":false,"suffix":""},{"dropping-particle":"","family":"Verstappen","given":"S M M","non-dropping-particle":"","parse-names":false,"suffix":""},{"dropping-particle":"","family":"Co-Investigators","given":"RAMS","non-dropping-particle":"","parse-names":false,"suffix":""}],"container-title":"Arthritis Research and Therapy","id":"ITEM-1","issue":"1","issued":{"date-parts":[["2018"]]},"note":"Cited By :3\n\nExport Date: 5 December 2019","publisher-place":"University of Manchester, Centre for Biostatistics, Manchester Academic Health Science Centre, Manchester, United Kingdom","title":"Prediction of primary non-response to methotrexate therapy using demographic, clinical and psychosocial variables: Results from the UK Rheumatoid Arthritis Medication Study (RAMS)","type":"article-journal","volume":"20"},"uris":["http://www.mendeley.com/documents/?uuid=fbf5c1a1-ed67-4352-9f06-f130a6d32171"]}],"mendeley":{"formattedCitation":"[80]","plainTextFormattedCitation":"[80]","previouslyFormattedCitation":"[81]"},"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[80]</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311B3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2018 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AEE7E5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RAMS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A71127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EDE30A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CFE47B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1656 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211524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D8D523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59 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198EB1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67 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27EBD2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w:t>
            </w:r>
          </w:p>
        </w:tc>
      </w:tr>
      <w:tr w:rsidR="00DB60E7" w:rsidRPr="001B576D" w14:paraId="08B47DE2" w14:textId="77777777" w:rsidTr="00814F6D">
        <w:trPr>
          <w:trHeight w:val="13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EBC27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Casalla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{"citationItems":[{"id":"ITEM-1","itemData":{"author":[{"dropping-particle":"","family":"Casalla","given":"L.","non-dropping-particle":"","parse-names":false,"suffix":""},{"dropping-particle":"del","family":"Moral","given":"R. Chaparro","non-dropping-particle":"","parse-names":false,"suffix":""},{"dropping-particle":"","family":"Rillo","given":"O. L.","non-dropping-particle":"","parse-names":false,"suffix":""},{"dropping-particle":"","family":"Benegas","given":"M.","non-dropping-particle":"","parse-names":false,"suffix":""},{"dropping-particle":"","family":"Pra","given":"F. Dal","non-dropping-particle":"","parse-names":false,"suffix":""},{"dropping-particle":"","family":"Ficco","given":"H. Maldonado","non-dropping-particle":"","parse-names":false,"suffix":""},{"dropping-particle":"","family":"Citera","given":"G.","non-dropping-particle":"","parse-names":false,"suffix":""},{"dropping-particle":"","family":"Pellet","given":"A. Catalan","non-dropping-particle":"","parse-names":false,"suffix":""},{"dropping-particle":"","family":"Berman","given":"A.","non-dropping-particle":"","parse-names":false,"suffix":""},{"dropping-particle":"","family":"Salina","given":"M. Haye","non-dropping-particle":"","parse-names":false,"suffix":""},{"dropping-particle":"","family":"Alvarez","given":"A. C.","non-dropping-particle":"","parse-names":false,"suffix":""},{"dropping-particle":"","family":"Caeiro","given":"F.","non-dropping-particle":"","parse-names":false,"suffix":""},{"dropping-particle":"","family":"Marcos","given":"J.","non-dropping-particle":"","parse-names":false,"suffix":""},{"dropping-particle":"","family":"Marcos","given":"J. C.","non-dropping-particle":"","parse-names":false,"suffix":""},{"dropping-particle":"","family":"Catoggio","given":"L.","non-dropping-particle":"","parse-names":false,"suffix":""},{"dropping-particle":"","family":"Soriano","given":"E.","non-dropping-particle":"","parse-names":false,"suffix":""},{"dropping-particle":"","family":"Ceccato","given":"F.","non-dropping-particle":"","parse-names":false,"suffix":""},{"dropping-particle":"","family":"Paira","given":"S.","non-dropping-particle":"","parse-names":false,"suffix":""},{"dropping-particle":"","family":"Leal","given":"M. O.","non-dropping-particle":"","parse-names":false,"suffix":""},{"dropping-particle":"","family":"Quinteros","given":"A. G.","non-dropping-particle":"","parse-names":false,"suffix":""},{"dropping-particle":"","family":"Salvatierra","given":"G.","non-dropping-particle":"","parse-names":false,"suffix":""},{"dropping-particle":"","family":"Crespo","given":"M. H.","non-dropping-particle":"","parse-names":false,"suffix":""}],"container-title":"Annals of the Rheumatic Diseases","id":"ITEM-1","issued":{"date-parts":[["2013"]]},"page":"A393-A394","title":"FRI0073 Predictive factors for unfavorable outcomes in early rheumatoid arthritis: a prospective multicenter cohort study in argentina","type":"article-journal","volume":"72"},"uris":["http://www.mendeley.com/documents/?uuid=a6f4c1f1-90aa-4468-b332-db33ae70f9da"]}],"mendeley":{"formattedCitation":"[81]","plainTextFormattedCitation":"[81]","previouslyFormattedCitation":"[82]"},"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[81]</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4914F6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2013 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59F6D3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CONAART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02DD88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Argentina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D8B56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9B4A5C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237 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249CB2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0409B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49 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F563D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84 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603BE9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w:t>
            </w:r>
          </w:p>
        </w:tc>
      </w:tr>
      <w:tr w:rsidR="00DB60E7" w:rsidRPr="001B576D" w14:paraId="04379622"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F4DE95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Cook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{"citationItems":[{"id":"ITEM-1","itemData":{"DOI":"10.1093/rheumatology/kew210","abstract":"Objectives. Early remission is the current treatment strategy for patients with inflammatory polyarthritis (IP) and RA. Our objective was to identify baseline factors associated with achieving remission: sustained (SR), intermittent (IR) or never (NR) over a 5-year period in patients with early IP.Methods. Clinical and demographic data of patients with IP recruited to the Norfolk Arthritis Register (NOAR) were obtained at baseline and years 1, 2, 3 and 5. Remission was defined as no tender or swollen joints (out of 51). Patients were classified as NR or PR, respectively, if they were in remission at: no assessment or ≥3 consecutive assessments after baseline, and IR otherwise. Ordinal regression and a random effects model, respectively, were used to examine the association between baseline factors, remission group and HAQ scores over time.Results. A total of 868 patients (66% female) were included. Of these, 54%, 34% and 12% achieved NR, IR and SR, respectively. In multivariate analysis, female sex (odds ratio, OR 0.47, 95% CI: 0.35, 0.63), higher tender joint count (OR = 0.94, 95% CI: 0.93, 0.96), higher HAQ (OR = 0.59, 95% CI: 0.48, 0.74), being obese (OR = 0.70, 95% CI: 0.50, 0.99), hypertensive (OR = 0.67, 95% CI: 0.50, 0.90) or depressed (OR = 0.74, 95% CI: 0.55, 1.00) at baseline were independent predictors of being in a lower remission group. IR and SR were associated with lower HAQ scores over time and lower DAS28 at year 5.Conclusion. Women with higher tender joint count and disability at baseline, depression, obesity and hypertension were less likely to achieve remission. This information could help when stratifying patients for more aggressive therapy. © The Author 2016. Published by Oxford University Press on behalf of the British Society for Rheumatology.","author":[{"dropping-particle":"","family":"Cook","given":"M J","non-dropping-particle":"","parse-names":false,"suffix":""},{"dropping-particle":"","family":"Diffin","given":"J","non-dropping-particle":"","parse-names":false,"suffix":""},{"dropping-particle":"","family":"Scirè","given":"C A","non-dropping-particle":"","parse-names":false,"suffix":""},{"dropping-particle":"","family":"Lunt","given":"M","non-dropping-particle":"","parse-names":false,"suffix":""},{"dropping-particle":"","family":"MacGregor","given":"A J","non-dropping-particle":"","parse-names":false,"suffix":""},{"dropping-particle":"","family":"Symmons","given":"D P M","non-dropping-particle":"","parse-names":false,"suffix":""},{"dropping-particle":"","family":"Verstappen","given":"S M M","non-dropping-particle":"","parse-names":false,"suffix":""}],"container-title":"Rheumatology (United Kingdom)","id":"ITEM-1","issue":"9","issued":{"date-parts":[["2016"]]},"note":"Cited By :14\n\nExport Date: 5 December 2019","page":"1601-1609","publisher-place":"Arthritis Research UK Centre for Epidemiology, Centre for Musculoskeletal Research, Institute for Inflammation and Repair, Manchester Academic Health Science Centre, The University of Manchester, Manchester, United Kingdom","title":"Predictors and outcomes of sustained, intermittent or never achieving remission in patients with recent onset inflammatory polyarthritis: Results from the Norfolk Arthritis Register","type":"article-journal","volume":"55"},"uris":["http://www.mendeley.com/documents/?uuid=66691cc7-4ba5-4c2e-97e6-ad4990ff7679"]}],"mendeley":{"formattedCitation":"[82]","plainTextFormattedCitation":"[82]","previouslyFormattedCitation":"[83]"},"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[82]</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AFDAF2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1366C3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NOAR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FE2B1D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CDEEA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549838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868 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0481D2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261 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9940B3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F7FC60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66 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3DBD99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SJC </w:t>
            </w:r>
          </w:p>
        </w:tc>
      </w:tr>
      <w:tr w:rsidR="00DB60E7" w:rsidRPr="001B576D" w14:paraId="14BE0450"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38737C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Treharne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{"citationItems":[{"id":"ITEM-1","itemData":{"DOI":"10.1080/13548500701796931","abstract":"Fatigue is a systemic feeling of exhaustion that is a common symptom of many chronic illnesses, including the autoimmune inflammatory disease rheumatoid arthritis (RA). We examined predictors of levels of fatigue among people with RA using Leventhal's Common-Sense Model (CSM), which states that cognitive representations of an illness spur (or halt) people's efforts to cope and thereby influence outcomes of the illness. Our use of the CSM was designed in the light of evidence in the literature specific to fatigue in RA. Current fatigue was reported on a 100 mm visual analogue scale (with anchors \"No fatigue\" and \"Unbearable fatigue\") by 114 people (73.7% women) with RA at baseline and 1 year later. Baseline employment status, pain, impact of disability, sleep disruption frequency, depressed mood, perceptions of consequences, arthritis self-efficacy and attempts to cope by praying/hoping were also self-reported. Duration of RA and a haematological measure of systemic inflammation (erythrocyte sedimentation rate; ESR) were obtained from hospital records. Unexpectedly, RA duration did not predict fatigue after 1 year, although lower baseline inflammation did (controlling for baseline fatigue and other disease impact variables). This may be due to sampling flares of RA at baseline. Baseline perceptions that RA has severe consequences and is uncontrollable also predicted greater fatigue after 1 year but this relationship was not mediated by praying/hoping. Targeted psychological care to modify perceptions of severe consequences may therefore improve later fatigue for people with RA even when the condition is longstanding, but the mechanisms of any benefit require further investigation. © 2008 Taylor &amp; Francis.","author":[{"dropping-particle":"","family":"Treharne","given":"G J","non-dropping-particle":"","parse-names":false,"suffix":""},{"dropping-particle":"","family":"Lyons","given":"A C","non-dropping-particle":"","parse-names":false,"suffix":""},{"dropping-particle":"","family":"Hale","given":"E D","non-dropping-particle":"","parse-names":false,"suffix":""},{"dropping-particle":"","family":"Goodchild","given":"C E","non-dropping-particle":"","parse-names":false,"suffix":""},{"dropping-particle":"","family":"Booth","given":"D A","non-dropping-particle":"","parse-names":false,"suffix":""},{"dropping-particle":"","family":"Kitas","given":"G D","non-dropping-particle":"","parse-names":false,"suffix":""}],"container-title":"Psychology, Health and Medicine","id":"ITEM-1","issue":"4","issued":{"date-parts":[["2008"]]},"note":"Cited By :55\n\nExport Date: 5 December 2019","page":"494-504","publisher-place":"Department of Psychology, University of Otago, New Zealand","title":"Predictors of fatigue over 1 year among people with rheumatoid arthritis","type":"article-journal","volume":"13"},"uris":["http://www.mendeley.com/documents/?uuid=88a11d41-18d4-4321-b93b-a622679e76a0"]}],"mendeley":{"formattedCitation":"[83]","plainTextFormattedCitation":"[83]","previouslyFormattedCitation":"[84]"},"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[83]</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5735AD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2008 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57158A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863CBE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79120D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5A601D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189 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CA098B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80FDD5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3AABD7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74 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833C29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VAS fatigue </w:t>
            </w:r>
          </w:p>
        </w:tc>
      </w:tr>
      <w:tr w:rsidR="00DB60E7" w:rsidRPr="001B576D" w14:paraId="42DB151A"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B82D8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Dobkin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{"citationItems":[{"id":"ITEM-1","itemData":{"DOI":"10.1002/acr.21923","abstract":"Objective: To identify predictors of pain at 1 year in patients with early inflammatory polyarthritis (EIP). Methods: Using a prospective design, patients were examined by a rheumatologist and completed questionnaires at baseline and at 1 year after symptom onset. Separate regression analyses were run for pain intensity, sensory pain, and affective pain. Age and sex were adjusted in cross-sectional and longitudinal analyses; baseline potential predictors consisted of measures for corresponding pain values and disease activity, depression, coping scores, medication use, rheumatoid arthritis criteria being met, and duration of symptoms. Results A total of 211 patients were enrolled in the study (mean ± SD age 58.8 ± 14.2 years, 63% women). There were significant improvements at 1 year for disease activity, instrumental coping, emotional coping, depression, and all 3 pain measures. At baseline, disease activity and depression were positively associated with all types of pain; in addition, instrumental coping was positively associated with sensory pain and palliative coping was positively associated with affective pain. At 1 year, pain intensity was predicted by baseline pain intensity, duration of symptoms, use of disease-modifying antirheumatic drugs (DMARDs), and emotional coping. Sensory pain was predicted by baseline sensory pain and DMARD use. Affective pain was predicted by baseline affective pain, DMARD use, and emotional coping. Conclusion: The majority of treated EIP patients can expect improvements in clinical and psychosocial variables over the first year of their illness. Emotional coping at baseline may contribute to pain in the future, and therefore it may be useful for patients to learn other means of dealing with this chronic disease. Copyright © 2013 by the American College of Rheumatology.","author":[{"dropping-particle":"","family":"Dobkin","given":"P L","non-dropping-particle":"","parse-names":false,"suffix":""},{"dropping-particle":"","family":"Liu","given":"A","non-dropping-particle":"","parse-names":false,"suffix":""},{"dropping-particle":"","family":"Abrahamowicz","given":"M","non-dropping-particle":"","parse-names":false,"suffix":""},{"dropping-particle":"","family":"Carrier","given":"N","non-dropping-particle":"","parse-names":false,"suffix":""},{"dropping-particle":"","family":"Brum-Fernandes","given":"A J","non-dropping-particle":"De","parse-names":false,"suffix":""},{"dropping-particle":"","family":"Cossette","given":"P","non-dropping-particle":"","parse-names":false,"suffix":""},{"dropping-particle":"","family":"Boire","given":"G","non-dropping-particle":"","parse-names":false,"suffix":""}],"container-title":"Arthritis Care and Research","id":"ITEM-1","issue":"6","issued":{"date-parts":[["2013"]]},"note":"Cited By :9\n\nExport Date: 5 December 2019","page":"992-999","publisher-place":"McGill University, Health Centre, V Building, 687 Pine Avenue West, Montreal, QC H3A 1A1, Canada","title":"Predictors of pain for patients with early inflammatory polyarthritis","type":"article-journal","volume":"65"},"uris":["http://www.mendeley.com/documents/?uuid=7e2f439d-0544-466c-8b88-1bb688d6d777"]}],"mendeley":{"formattedCitation":"[84]","plainTextFormattedCitation":"[84]","previouslyFormattedCitation":"[85]"},"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[84]</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CB7844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2013 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75AC21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FD55AA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Canada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7029DA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A667D8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248 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8EACC4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2AAD18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59 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E33E6F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63 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2FF51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MPQ-SF </w:t>
            </w:r>
          </w:p>
        </w:tc>
      </w:tr>
      <w:tr w:rsidR="00DB60E7" w:rsidRPr="001B576D" w14:paraId="25DA0C20"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9C56FC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Leggett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{"citationItems":[{"id":"ITEM-1","itemData":{"DOI":"http://dx.doi.org/10.1136/annrheumdis-2017-eular.5077","ISSN":"1468-2060","abstract":"Background: The adverse effects of RA on absenteeism (i.e. days absent from work) and presenteeism (at-work productivity loss) are increasingly recognised as an important issue. Research suggests the reasons are multifactorial with many factors such as disease severity, quality of life, and depression possibly contributing to poor work outcomes in patients with RA. Objective(s): To identify predictors of presenteeism and absenteeism over one year in patients with RA commencing treatment with methotrexate (MTX) or biologics for the first time. Method(s): Patients recruited to the Rheumatoid Arthritis Methotrexate Starters study (RAMS) or the Biologics in Rheumatoid Arthritis Genetics and Genomics Study Syndicate (BRAGGSS), and in full or part-time paid employment were included in this analysis. Demographic (e.g., age), clinical (e.g., DAS28), and psychological data (e.g., Hospital Anxiety and Depression scale (HADS)) were collected at baseline. Patients were followed up at six months and one year in both cohorts. Absenteeism in the last month (days missed), and presenteeism (0 = no interference - 10 = complete interference), were measured at all three points using the RA specific Work Productivity Survey (WPS-RA). Patients with at least one follow-up post baseline were included in this analysis. Due to excessive zeros in the WPS-RA, a repeated measure zero inflated negative binomial regression (ZINB) was used to test the association between baseline demographic, clinical and psychological variables and presenteeism and absenteeism over one year. Result(s): Data was available for 191 patients in BRAGGSS and 308 in RAMS. In BRAGGSS, the mean age was 51 years (SD 9.5), median symptom duration was 8 years (IQR 5-13); 78% female. In RAMS, the mean age was 52 years (SD 9.6), median symptom duration was 8.5 months (IQR 5-23); 66% female. At baseline, 26% (BRAGGSS) and 27% (RAMS) reported &gt;=1 days absent from work, and the median presenteeism scores were 5 (IQR 3-7) and 4 (IQR 1-7) for BRAGGSS and RAMS respectively. Presenteeism scores significantly improved over 1 year in both cohorts (BRAGGSS: median 2 [IQR 0-5], RAMS: median 2 (IQR 0-4) Kruskal-Wallis p&lt;0.001)), as did absenteeism for both cohorts although non-significant. The ZINB revealed similar predictive patterns in both cohorts for presenteeism and absenteeism (Table 1). For example, for every 0.06 increase in EQ-5D (clinically important difference), the odds of being in the zero presenteeism group (i.e…","author":[{"dropping-particle":"","family":"Leggett","given":"S.","non-dropping-particle":"","parse-names":false,"suffix":""},{"dropping-particle":"","family":"Lunt","given":"M.","non-dropping-particle":"","parse-names":false,"suffix":""},{"dropping-particle":"","family":"Barton","given":"A.","non-dropping-particle":"","parse-names":false,"suffix":""},{"dropping-particle":"","family":"Hyrich","given":"K.","non-dropping-particle":"","parse-names":false,"suffix":""},{"dropping-particle":"","family":"Walker-Bone","given":"K.","non-dropping-particle":"","parse-names":false,"suffix":""}],"collection-title":"Annual European Congress of Rheumatology, EULAR 2017. Spain.","container-title":"Annals of the Rheumatic Diseases","id":"ITEM-1","issue":"Supplement 2","issued":{"date-parts":[["2017"]]},"language":"English","page":"765","publisher":"BMJ Publishing Group","publisher-place":"S. Leggett, Arthritis Research UK Centre for Epidemiology, Manchester, United Kingdom","title":"Predictors of presenteeism and absenteeism in patients commencing treatment with methotrexate monotherapy or biologic therapy for rheumatoid arthritis","type":"article-journal","volume":"76"},"uris":["http://www.mendeley.com/documents/?uuid=8946d719-ba52-4344-a689-a456b6fa7f65"]}],"mendeley":{"formattedCitation":"[85]","plainTextFormattedCitation":"[85]","previouslyFormattedCitation":"[86]"},"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[85]</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65EA76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w:t>
            </w:r>
            <w:r>
              <w:rPr>
                <w:rFonts w:ascii="Calibri" w:eastAsia="Times New Roman" w:hAnsi="Calibri" w:cs="Calibri"/>
                <w:sz w:val="16"/>
                <w:szCs w:val="16"/>
              </w:rPr>
              <w:t>7</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849AA9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RAMS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D20FF0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5E36EA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119CE3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308 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6091F5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7046D7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FE8BA7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66 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E4706B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WPS-RA </w:t>
            </w:r>
          </w:p>
        </w:tc>
      </w:tr>
      <w:tr w:rsidR="00DB60E7" w:rsidRPr="001B576D" w14:paraId="096A7D5C"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90FF97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Dyball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{"citationItems":[{"id":"ITEM-1","itemData":{"DOI":"http://dx.doi.org/10.1093/rheumatology/key075.455","ISSN":"1462-0332","abstract":"Background: We have previously reported that psychological factors, including anxiety and depression, correlate with the subjective components (i.e. patient global visual analogue scale (PG-VAS), tender joint count) of the DAS28 in patients about to begin biologics. The current study aimed to investigate whether pre-treatment depression and anxiety is predictive of future biologics response. Method(s): The study included patients from the Biologics in Rheumatoid Arthritis Genetics and Genomics Study Syndicate (BRAGGSS) Cohort. Demographics and clinical data were collected at pre-treatment and following six months on-drug. PG-VAS was measured on a 100mm scale. Anxiety and depression were measured using the Hospital Anxiety and Depression Scale (HADS). The relationship between anxiety or depression with improvement in the DAS28 and its sub-components was analysed using linear regression, adjusted for pre-treatment HAQ, disease activity, gender, BMI and synthetic DMARD use. Improvement in HADS at six months was compared between EULAR good and non-responder groups using a two sample t-test. Result(s): 2919 patients were analysed. 76% were female. At baseline, mean age was 57.3 years (SD12.3), median disease duration was 6.9 years (IQR 2.8, 14.0) and mean DAS28 was 5.73 (SD 0.86). 83.1% of patients received synthetic DMARD concurrently. Biologics included etanercept (n=942), infliximab (n=55), adalimumab (n=591), tocilizumab (n=267), rituximab (n=438), abatacept (n=118), golimumab (n=112), certolizumab (n=355), and other biologics (n=4). Higher pre-treatment HADS depression correlated with less improvement in the PG-VAS by six months. Higher pre-treatment HADS anxiety was associated with comparatively smaller improvements in DAS28, tender joint count and PG-VAS by six months. Importantly, HADs showed no association with swollen joint count or CRP (Table 1). EULAR goodresponders had a greater improvement in mean depression (-1.78 vs -0.03, p&lt;0.0001) and anxiety (-1.73 vs -0.28, p&lt;0.0001) scores compared to non-responders. Conclusion(s): Higher depression and anxiety scores at pre-treatment were associated with less improvement in the subjective components of the DAS28. Anxiety and depression are potentially modifiable and may be amenable to treatment as an adjunct to biologic therapy in some patients. These findings now require replication. (Table Presented).","author":[{"dropping-particle":"","family":"Dyball","given":"S.","non-dropping-particle":"","parse-names":false,"suffix":""},{"dropping-particle":"","family":"Cordingley","given":"L.","non-dropping-particle":"","parse-names":false,"suffix":""},{"dropping-particle":"","family":"Isaacs","given":"J.D.","non-dropping-particle":"","parse-names":false,"suffix":""},{"dropping-particle":"","family":"Wilson","given":"G.","non-dropping-particle":"","parse-names":false,"suffix":""},{"dropping-particle":"","family":"Morgan","given":"A.","non-dropping-particle":"","parse-names":false,"suffix":""},{"dropping-particle":"","family":"Hyrich","given":"K.","non-dropping-particle":"","parse-names":false,"suffix":""},{"dropping-particle":"","family":"Plant","given":"D.","non-dropping-particle":"","parse-names":false,"suffix":""}],"collection-title":"2018 Annual Conference of the British Society for Rheumatology. United Kingdom.","container-title":"Rheumatology (United Kingdom)","id":"ITEM-1","issue":"Supplement 3","issued":{"date-parts":[["2018"]]},"language":"English","publisher":"Oxford University Press","publisher-place":"S. Dyball, Arthritis Research UK Centre for Epidemiology, University of Manchester, Manchester, United Kingdom","title":"Pre-treatment anxiety and depression levels are correlated with less improvement in selfreported disease activity in rheumatoid arthritis patients treated with biological therapy: Results from the braggss cohort","type":"article-journal","volume":"57"},"uris":["http://www.mendeley.com/documents/?uuid=2e5b8e11-2633-40e6-93fe-738b7925c180"]}],"mendeley":{"formattedCitation":"[32]","plainTextFormattedCitation":"[32]","previouslyFormattedCitation":"[33]"},"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[32]</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E171B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2018 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7D54C0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BRAGGSS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CD1B53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4225D5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564BD2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2919 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4BA8C6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3A99E4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57 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D2975C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76 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A988D1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CRP, TJC, SJC </w:t>
            </w:r>
          </w:p>
        </w:tc>
      </w:tr>
      <w:tr w:rsidR="00DB60E7" w:rsidRPr="001B576D" w14:paraId="4E3F1D42" w14:textId="77777777" w:rsidTr="00814F6D">
        <w:trPr>
          <w:trHeight w:val="25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557F48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Schieir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{"citationItems":[{"id":"ITEM-1","itemData":{"DOI":"10.1002/art.39977","abstract":"Background/Purpose: Patients with rheumatoid arthritis also commonly report other chronic conditions (\"multimorbidity\") with higher counts of conditions associated with reduced response to treatment and persistent disease activity. However little is known about which specific conditions have stronger associations with RA outcomes. The objective of the present study was to estimate the prevalence and impact of chronic inflammatory multimorbidity on the trajectory of disease activity in the first year in patients with early rheumatoid arthritis (ERA). Methods: We analyzed data from ERA patients (&lt;1‐year symptom duration) enrolled in a large prospective multi‐center cohort study who completed a standardized clinical assessment and self‐report questionnaire every 3‐months in the first year of follow‐up, who met 1987 or 2010 ACR/EULAR RA criteria, and had at least two DAS28 measures available in the first year. Information on physiciandiagnosed chronic inflammatory conditions including cardiovascular disease (CVD), pulmonary disease, bowel disease, diabetes, cancer, obesity, psoriasis and other rheumatologic conditions was obtained by patient self‐report and information on depressive symptoms from SF‐12 responses (using a depressive symptom cut‐off of 42). Prevalence of each condition, as well as chronic inflammatory multimorbidity counts were estimated with standard descriptive statistics. Linear growth models were used to examine individual and cumulative effects of each chronic inflammatory condition on trajectory of DAS28 disease activity in the first year adjusting for age, sex, education, race, smoking, symptom duration, and treatment. Results: The sample included 1595 patients with a mean(sd) age of 54(15) years, symptom duration of 6(3) months, 1153 (72%) were female and 1316 (83%) were white. At baseline 1434 (92%) were treated with a conventional DMARD (majority with methotrexate (76%)) and 33 (2%) with a biologic. Multimorbid inflammatory conditions were common: 1138 (72%) reported at least 1 condition, 541 (34%) reported at least 2 conditions and 166 (10%) reported 3 or more conditions. Depressive symptoms reported in 589 (40%), obesity in 355 (32%), pulmonary disease in 220 (14%), CVD in 191 (12%) and other rheumatic conditions in 197 (12%) were most prevalent, followed by diabetes 127 (8%) and cancer 109 (7%). Bowel disease in 61 (4%) and psoriasis in 60 (4%) were least prevalent. Results of multivariable growth models showed that depressive sy…","author":[{"dropping-particle":"","family":"Schieir","given":"O","non-dropping-particle":"","parse-names":false,"suffix":""},{"dropping-particle":"","family":"Bartlett","given":"S J","non-dropping-particle":"","parse-names":false,"suffix":""},{"dropping-particle":"","family":"Hitchon","given":"C","non-dropping-particle":"","parse-names":false,"suffix":""},{"dropping-particle":"","family":"Pope","given":"J E","non-dropping-particle":"","parse-names":false,"suffix":""},{"dropping-particle":"","family":"Boire","given":"G","non-dropping-particle":"","parse-names":false,"suffix":""},{"dropping-particle":"","family":"Haraoui","given":"B","non-dropping-particle":"","parse-names":false,"suffix":""},{"dropping-particle":"","family":"Keystone","given":"E C","non-dropping-particle":"","parse-names":false,"suffix":""},{"dropping-particle":"","family":"Thorne","given":"C","non-dropping-particle":"","parse-names":false,"suffix":""},{"dropping-particle":"","family":"Tin","given":"D","non-dropping-particle":"","parse-names":false,"suffix":""},{"dropping-particle":"","family":"Bykerk","given":"V P","non-dropping-particle":"","parse-names":false,"suffix":""}],"container-title":"Arthritis and rheumatology. Conference: american college of rheumatology/association of rheumatology health professionals annual scientific meeting, ACR/ARHP 2016. United states. Conference start: 20161111. Conference end: 20161116","id":"ITEM-1","issued":{"date-parts":[["2016"]]},"page":"1911‐1912","title":"Prevalence and impact of inflammatory multimorbid conditions on trajectories of disease activity in the first year of follow-up in a multi-center era cohort","type":"article-journal","volume":"68"},"uris":["http://www.mendeley.com/documents/?uuid=4b6ac72a-9697-4759-bce0-d381812336f4"]}],"mendeley":{"formattedCitation":"[86]","plainTextFormattedCitation":"[86]","previouslyFormattedCitation":"[87]"},"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[86]</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A4C010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0CF852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ERA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43380A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Canada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6DA966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p w14:paraId="3AC9A9B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57FB9E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1595 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0B9B2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84BDE8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1A536F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72 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A3A6B9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w:t>
            </w:r>
          </w:p>
        </w:tc>
      </w:tr>
      <w:tr w:rsidR="00DB60E7" w:rsidRPr="001B576D" w14:paraId="19572E4E"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65241C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Parker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{"citationItems":[{"id":"ITEM-1","itemData":{"abstract":"We investigated the relationship between changes in helplessness and depression to disease activity in rheumatoid arthritis (RA). Sixty-three men with RA were examined at baseline, 3 months, and 6 months. Joint counts, immunophenotypic analyses of peripheral blood lymphocytes, and measures of psychological status were obtained at each examination. Zero-order correlations between psychological change and disease activity change from baseline to 6 months were not significant, but hierarchical multiple regression analyses revealed that changes in affective state were significantly related to joint counts at 6 months. Additionally, changes in absolute numbers of HLA-DR+ (human leukocyte antigen DR type) cells were significantly related to joint counts at 6 months. When absolute numbers of HLA-DR+ cells were entered prior to affective state in a hierarchical multiple regression, affective state was only marginally statistically significant. The study shows that longitudinal relationships between affective changes and disease activity are moderated by intervening variables such as immunologic activation.","author":[{"dropping-particle":"","family":"Parker","given":"J","non-dropping-particle":"","parse-names":false,"suffix":""},{"dropping-particle":"","family":"Smarr","given":"K","non-dropping-particle":"","parse-names":false,"suffix":""},{"dropping-particle":"","family":"Anderson","given":"S","non-dropping-particle":"","parse-names":false,"suffix":""},{"dropping-particle":"","family":"Hewett","given":"J","non-dropping-particle":"","parse-names":false,"suffix":""},{"dropping-particle":"","family":"Walker","given":"S","non-dropping-particle":"","parse-names":false,"suffix":""},{"dropping-particle":"","family":"Bridges","given":"A","non-dropping-particle":"","parse-names":false,"suffix":""},{"dropping-particle":"","family":"Caldwell","given":"W","non-dropping-particle":"","parse-names":false,"suffix":""}],"container-title":"Journal of Rheumatology","id":"ITEM-1","issue":"12","issued":{"date-parts":[["1992"]]},"note":"Cited By :24\n\nExport Date: 5 December 2019","page":"1901-1905","publisher-place":"Harry S Truman Memorial Vet. Hosp., Psychology Service, 800 Hospital Drive, Columbia, MO 65201, United States","title":"Relationship of changes in helplessness and depression to disease activity in rheumatoid arthritis","type":"article-journal","volume":"19"},"uris":["http://www.mendeley.com/documents/?uuid=cb149022-b202-444c-a384-9af7a6eb5e43"]}],"mendeley":{"formattedCitation":"[87]","plainTextFormattedCitation":"[87]","previouslyFormattedCitation":"[88]"},"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[87]</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CB2FA4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1992 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937BD4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65E81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USA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285D8A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3D65DA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80 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1D2E23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23C89E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61 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78358C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4F1BFC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SJC </w:t>
            </w:r>
          </w:p>
        </w:tc>
      </w:tr>
      <w:tr w:rsidR="00DB60E7" w:rsidRPr="001B576D" w14:paraId="27ED8D40"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098273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Norton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{"citationItems":[{"id":"ITEM-1","itemData":{"ISSN":"1462-0324","abstract":"Background: The aim of the present study was to identify groups of individuals following distinct psychological distress trajectories over 10-years following diagnosis of rheumatoid arthritis (RA), and to examine the distribution of demographic and clinical characteristics as well as mortality profiles across these groups. Currently the presence of multiple psychological response trajectories has not been assessed in RA although there is emerging evidence that this is the case in myocardial infarction and breast cancer populations. Method(s): Psychological distress as measured by the Hospital Anxiety and Depression Scale (HADS) was recorded annually from diagnosis in 784 patients (67% female, mean age at onset 57.0 years) enrolled in a multi-centre inception cohort (ERAS). Growth mixture modelling was used to identify distinct psychological distress trajectory groups, ANOVA to compare demographic and clinical characteristics of the groups and survival analysis to compare all-cause mortality. Result(s): Four distinct psychological distress patterns were observed: Resilient (68%), most individuals fell into a group that experienced consistently low levels of psychological distress; Chronic (12%), the second group consisted of individuals reporting consistently high levels of psychological distress with HADS total scores consistently above the caseness criteria for depressive/anxiety disorder; Recovered (9%), a further group involved individuals with psychological distress that was above the HADS caseness criteria at the time of diagnosis but rapidly decreased to normal levels after 1 to 2-years; Delayed (11%), individuals in the final group had psychological distress levels that were within the normal range at the time of diagnosis but dramatically increased over the period of follow-up with average scores exceeding the caseness criteria after 2 to 3-years. Self-reported somatic symptoms at the time of diagnosis and after 3- years were significantly related to group membership (HAQ, tender joints, VAS pain, morning stiffness all p&lt;.05). Demographic characteristics and objective physiological markers of disease activity (ESR &amp;CRP) were not (p&gt;.05). The chronic and delayed groups experienced significantly greater mortality risk compared to the resilient and recovered groups after controlling for demographic and clinical factors (HR=1.69; 95% CI=1.15, 2.48). Conclusion(s): Although the majority of individuals developing RA are resilient to the effects of the…","author":[{"dropping-particle":"","family":"Norton","given":"S.J.","non-dropping-particle":"","parse-names":false,"suffix":""},{"dropping-particle":"","family":"Young","given":"A.","non-dropping-particle":"","parse-names":false,"suffix":""},{"dropping-particle":"","family":"Sacker","given":"A.","non-dropping-particle":"","parse-names":false,"suffix":""}],"collection-title":"Rheumatology 2011. Brighton United Kingdom.","container-title":"Rheumatology","id":"ITEM-1","issue":"SUPPL. 3","issued":{"date-parts":[["2011"]]},"language":"English","publisher":"Oxford University Press","publisher-place":"S.J. Norton, Centre for Lifespan and Chronic Illness Research, University of Hertfordshire, Hatfield, United Kingdom","title":"Distinct trajectories of psychological distress over 10 years following diagnosis of rheumatoid arthritis are related to subjective appraisal of disease severity and mortality","type":"article-journal","volume":"50"},"uris":["http://www.mendeley.com/documents/?uuid=b74d7972-3c3d-435a-8bcd-cd899dd45054"]}],"mendeley":{"formattedCitation":"[62]","plainTextFormattedCitation":"[62]","previouslyFormattedCitation":"[63]"},"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[62]</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8259B1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2011 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5BB6B9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ERAS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21C50F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35AA88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0162D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784 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838E93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261 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A5764B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57 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5BF2E0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67 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256685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HADS, ESR, VAS pain, TJC, SJC, Stiffness </w:t>
            </w:r>
          </w:p>
        </w:tc>
      </w:tr>
      <w:tr w:rsidR="00DB60E7" w:rsidRPr="001B576D" w14:paraId="7E4F2DF7"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F509A3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Matcham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{"citationItems":[{"id":"ITEM-1","itemData":{"DOI":"10.1093/rheumatology/kev306","ISSN":"14620332","abstract":"Objective. The aim of this analysis is to examine the longitudinal impact of symptoms of depression/ anxiety on treatment response, long-term disease activity and physical disability in RA. Methods. Secondary analysis of clinical trial data was performed. Data were collected at baseline and at 6-monthly intervals for 2 years. The EuroQoL (EQ-5DTM) indicated depression/anxiety symptom severity. Our primary outcomes of interest were (i) DAS-28 and (ii) physical disability measured via the HAQ. Secondary outcomes were: tender and swollen joint counts, patient global assessment, ESR and odds of reaching clinical remission. Multilevel models were used to assess the impact of baseline and persistent depression/anxiety on outcomes over 2 years. Results. Data from 379 patients were included. After adjusting for covariates, baseline depression/anxiety symptoms were associated with increased DAS-28 outcomes and increased tender joint counts. Persistent depression/anxiety symptoms were associated with increased DAS-28 scores, HAQ scores, tender joint counts and patient global assessment of disease activity, and reduced odds of reaching clinical remission. Patients with symptoms of depression/anxiety at baseline also showed a 50% reduction in prednisolone treatment effect, in comparison with patients with no symptoms of depression/anxiety at baseline. Conclusion. Baseline and persistent symptoms of depression/anxiety are associated with poorer health outcomes over time, as well as reduced treatment response. Mental health should be routinely measured both in clinical practice and in research, and managed alongside rheumatological disease to optimize health outcomes. Further research is required to examine whether treatment of mental disorders can improve rheumatological outcomes.","author":[{"dropping-particle":"","family":"Matcham","given":"Faith","non-dropping-particle":"","parse-names":false,"suffix":""},{"dropping-particle":"","family":"Norton","given":"Sam","non-dropping-particle":"","parse-names":false,"suffix":""},{"dropping-particle":"","family":"Scott","given":"David L.","non-dropping-particle":"","parse-names":false,"suffix":""},{"dropping-particle":"","family":"Steer","given":"Sophia","non-dropping-particle":"","parse-names":false,"suffix":""},{"dropping-particle":"","family":"Hotopf","given":"Matthew","non-dropping-particle":"","parse-names":false,"suffix":""}],"container-title":"Rheumatology (United Kingdom)","id":"ITEM-1","issue":"2","issued":{"date-parts":[["2015"]]},"page":"268-278","title":"Symptoms of depression and anxiety predict treatment response and long-term physical health outcomes in rheumatoid arthritis: Secondary analysis of a randomized controlled trial","type":"article-journal","volume":"55"},"uris":["http://www.mendeley.com/documents/?uuid=06221923-419b-4b87-8bd0-395ca4553ea1"]}],"mendeley":{"formattedCitation":"[42]","plainTextFormattedCitation":"[42]","previouslyFormattedCitation":"[43]"},"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[42]</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238A17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196631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CARDERA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1651B1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ECC123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5E4E82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467 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9AA33B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104 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190069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D59D7C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68 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B6B51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HAQ, ESR, SJC </w:t>
            </w:r>
          </w:p>
        </w:tc>
      </w:tr>
      <w:tr w:rsidR="00DB60E7" w:rsidRPr="001B576D" w14:paraId="41967038" w14:textId="77777777" w:rsidTr="00814F6D">
        <w:trPr>
          <w:trHeight w:val="13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EA3566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Iannaccone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{"citationItems":[{"id":"ITEM-1","itemData":{"ISSN":"2326-5191","author":[{"dropping-particle":"","family":"Iannaccone","given":"Christine","non-dropping-particle":"","parse-names":false,"suffix":""},{"dropping-particle":"","family":"Mahmoud","given":"Taysir G","non-dropping-particle":"","parse-names":false,"suffix":""},{"dropping-particle":"","family":"Cui","given":"Jing","non-dropping-particle":"","parse-names":false,"suffix":""},{"dropping-particle":"","family":"Weinblatt","given":"Michael","non-dropping-particle":"","parse-names":false,"suffix":""},{"dropping-particle":"","family":"Shadick","given":"N A","non-dropping-particle":"","parse-names":false,"suffix":""}],"container-title":"ARTHRITIS &amp; RHEUMATOLOGY","id":"ITEM-1","issue":"10","issued":{"date-parts":[["2016","10"]]},"title":"Symptoms of Depression and Anxiety Predict Worse Disease Activity and Functional Disability in a Cohort of Established Rheumatoid Arthritis Patients","type":"article-journal","volume":"68"},"uris":["http://www.mendeley.com/documents/?uuid=7320c238-7b20-4fe9-b9bf-78ea9e5946e8"]}],"mendeley":{"formattedCitation":"[88]","plainTextFormattedCitation":"[88]","previouslyFormattedCitation":"[89]"},"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[88]</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B36F9C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717FB0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E0682A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USA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ACE25B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189C56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264 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D66FE2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104 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330C9B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57 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1B6C66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83 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BE5FFE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MHAQ, CRP </w:t>
            </w:r>
          </w:p>
        </w:tc>
      </w:tr>
      <w:tr w:rsidR="00DB60E7" w:rsidRPr="001B576D" w14:paraId="62860717"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35BFC9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Schieir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{"citationItems":[{"id":"ITEM-1","itemData":{"DOI":"10.3899/jrheum.080147","abstract":"Objective. To assess the longitudinal relationships, including directionality, among chronic pain, symptoms of depression, and disease activity in patients with early inflammatory arthritis (EIA). Methods. One hundred eighty patients with EIA completed an examination, including swollen joint count, and were administered the Center for Epidemiological Studies Depression Scale (CES-D) and the McGill Pain Questionnaire (MPQ) at 2 timepoints 6 months apart. Cross-lagged panel path analysis was used to simultaneously assess concurrent and longitudinal relationships among pain, symptoms of depression, and number of swollen joints. Results. Pain, symptoms of depression, and number of swollen joints decreased over time (p &lt; 0.001) and were prospectively linked to pain, symptoms of depression, and number of swollen joints, respectively, at 6 months. Symptoms of depression and pain were correlated with each other at baseline (0.47) and at 6-month followup assessments (0.28). Baseline symptoms of depression significantly predicted pain symptoms at 6 months (standardized regression coefficient = 0.28, p = 0.001), whereas pain and disease activity did not predict the course of any other variable after controlling for baseline values. Conclusion. Symptoms of depression predicted the trajectory of pain from baseline to 6 months. In addition, there were reciprocal/bidirectional associations between pain and symptoms of depression over time. More research is needed to better understand the relationship between pain and depressive symptoms and how to best manage patients with EIA who have high levels of both. The Journal of Rheumatology Copyright © 2009. All rights reserved.","author":[{"dropping-particle":"","family":"Schieir","given":"O","non-dropping-particle":"","parse-names":false,"suffix":""},{"dropping-particle":"","family":"Thombs","given":"B D","non-dropping-particle":"","parse-names":false,"suffix":""},{"dropping-particle":"","family":"Hudson","given":"M","non-dropping-particle":"","parse-names":false,"suffix":""},{"dropping-particle":"","family":"Taillefer","given":"S","non-dropping-particle":"","parse-names":false,"suffix":""},{"dropping-particle":"","family":"Steele","given":"R","non-dropping-particle":"","parse-names":false,"suffix":""},{"dropping-particle":"","family":"Berkson","given":"L","non-dropping-particle":"","parse-names":false,"suffix":""},{"dropping-particle":"","family":"Bertrand","given":"C","non-dropping-particle":"","parse-names":false,"suffix":""},{"dropping-particle":"","family":"Couture","given":"F","non-dropping-particle":"","parse-names":false,"suffix":""},{"dropping-particle":"","family":"Fitzcharles","given":"M.-A.","non-dropping-particle":"","parse-names":false,"suffix":""},{"dropping-particle":"","family":"Gagné","given":"M","non-dropping-particle":"","parse-names":false,"suffix":""},{"dropping-particle":"","family":"Garfield","given":"B","non-dropping-particle":"","parse-names":false,"suffix":""},{"dropping-particle":"","family":"Gutkowski","given":"A","non-dropping-particle":"","parse-names":false,"suffix":""},{"dropping-particle":"","family":"Kang","given":"H","non-dropping-particle":"","parse-names":false,"suffix":""},{"dropping-particle":"","family":"Kapusta","given":"M","non-dropping-particle":"","parse-names":false,"suffix":""},{"dropping-particle":"","family":"Ligier","given":"S","non-dropping-particle":"","parse-names":false,"suffix":""},{"dropping-particle":"","family":"Mathieu","given":"J.-P.","non-dropping-particle":"","parse-names":false,"suffix":""},{"dropping-particle":"","family":"Ménard","given":"H","non-dropping-particle":"","parse-names":false,"suffix":""},{"dropping-particle":"","family":"Mercille","given":"S","non-dropping-particle":"","parse-names":false,"suffix":""},{"dropping-particle":"","family":"Starr","given":"M","non-dropping-particle":"","parse-names":false,"suffix":""},{"dropping-particle":"","family":"Stein","given":"M","non-dropping-particle":"","parse-names":false,"suffix":""},{"dropping-particle":"","family":"Zummer","given":"M","non-dropping-particle":"","parse-names":false,"suffix":""},{"dropping-particle":"","family":"Baron","given":"M","non-dropping-particle":"","parse-names":false,"suffix":""}],"container-title":"Journal of Rheumatology","id":"ITEM-1","issue":"2","issued":{"date-parts":[["2009"]]},"note":"Cited By :40\n\nExport Date: 5 December 2019","page":"231-239","publisher-place":"Division of Rheumatology, Sir Mortimer B. Davis-Jewish General Hospital, McGill University, Montreal, QC, Canada","title":"Symptoms of depression predict the trajectory of pain among patients with early inflammatory arthritis: A path analysis approach to assessing change","type":"article-journal","volume":"36"},"uris":["http://www.mendeley.com/documents/?uuid=cdc64555-99e7-42bc-98fb-634431262876"]}],"mendeley":{"formattedCitation":"[89]","plainTextFormattedCitation":"[89]","previouslyFormattedCitation":"[90]"},"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[89]</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AF539E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2009 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CBBADC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McEAR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706C17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Canada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3832E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C0628A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320 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351785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783536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57 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422E17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69 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92F9C2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MPQ, SJC </w:t>
            </w:r>
          </w:p>
        </w:tc>
      </w:tr>
      <w:tr w:rsidR="00DB60E7" w:rsidRPr="001B576D" w14:paraId="2D69F79C" w14:textId="77777777" w:rsidTr="00814F6D">
        <w:trPr>
          <w:trHeight w:val="36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ACADA6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Rathbun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{"citationItems":[{"id":"ITEM-1","itemData":{"DOI":"10.1093/rheumatology/kes356","ISSN":"14620332","abstract":"Objective. To determine whether depression has a temporal association with RA disease activity, treatment persistence and response to therapy. Methods. We performed a systematic review encompassing an electronic database search of all published literature since the availability of biologic response modifiers (beginning in 1998) investigating the impact of depression on downstream RA disease progression and treatment. Results. Only seven articles that evaluated temporal relationships between depression and RA outcomes comprising disease activity, treatment persistence and response to therapy, were included in the review. Results from these studies suggest that depression may exacerbate pain and disease activity and decrease the efficacy of pharmacological (i.e. biologic and non-biologic DMARDs) and some non-pharmacological (e.g. cognitive behavioural therapy) RA treatments. Conclusion. Given the available evidence, depression probably has a temporal influence on RA disease progression and treatment. However, it is unclear whether these observed effects are due to a response tendency on patient-reported outcomes created from negative cognitive perceptions, immunologically mediated processes that increase inflammation or behavioural changes that lead to decreased physical activity and a greater sensitivity to pain. © The Author 2012. Published by Oxford University Press on behalf of the British Society for Rheumatology. All rights reserved.","author":[{"dropping-particle":"","family":"Rathbun","given":"Alan M.","non-dropping-particle":"","parse-names":false,"suffix":""},{"dropping-particle":"","family":"Reed","given":"George W.","non-dropping-particle":"","parse-names":false,"suffix":""},{"dropping-particle":"","family":"Harrold","given":"Leslie R.","non-dropping-particle":"","parse-names":false,"suffix":""}],"container-title":"Rheumatology (United Kingdom)","id":"ITEM-1","issue":"10","issued":{"date-parts":[["2013"]]},"page":"1785-1794","publisher":"Oxford University Press","title":"The temporal relationship between depression and rheumatoid arthritis disease activity, treatment persistence and response: A systematic review","type":"article-journal","volume":"52"},"uris":["http://www.mendeley.com/documents/?uuid=57f56200-e543-39f1-a475-cfd1634e6b2f"]}],"mendeley":{"formattedCitation":"[90]","plainTextFormattedCitation":"[90]","previouslyFormattedCitation":"[91]"},"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[90]</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32A054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2013 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E19366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CORRONA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849F84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USA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8C7496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057234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4250 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F0F2C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104 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B9E4E3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32AE42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F80708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CDAI, HAQ, CRP, ESR, VAS pain, TJC, SJC, EGA, PGA </w:t>
            </w:r>
          </w:p>
        </w:tc>
      </w:tr>
      <w:tr w:rsidR="00DB60E7" w:rsidRPr="001B576D" w14:paraId="76423945"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54CEC3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Rathbun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{"citationItems":[{"id":"ITEM-1","itemData":{"DOI":"https://dx.doi.org/10.1002/acr.22515","ISSN":"2151-4658","abstract":"OBJECTIVE: Depression is common in the rheumatoid arthritis (RA) population, yet little is known of its effect on the course of disease activity. The aim of our study was to determine if prevalent and incident depressive symptoms influenced longitudinal changes in RA disease activity., METHODS: RA patients with and without depressive symptoms were identified using single-item questions from an existing registry sample. Mixed-effects models were used to examine changes in disease activity over 2 years in those with and without prevalent and incident depressive symptoms. Outcome variables included composite disease activity, joint counts, global assessments, pain, function, and acute-phase reactants. Model-based outcome estimations at the index dates and corresponding 1- and 2-year changes were calculated., RESULTS: Rates of disease activity change were significantly different in patients with a lifetime prevalence of symptomology, but not incident depressive symptoms, when compared to controls. Prior symptoms were associated with slower rates of disease activity decline, evidenced by the estimated 1-year Clinical Disease Activity Index changes: -3.0 (-3.3, -2.6) and -4.0 (-4.3, -3.6) in patients with and without lifetime prevalence, respectively. Analogous results were obtained for most of the other disease activity outcomes; although, there was no temporal effect of prevalent symptoms of depression on swollen joints and acute-phase reactants., CONCLUSION: Depressive symptoms temporally influence the evolution of RA disease activity, and the magnitude is dependent on the time of symptomatic onset. However, the effect is limited to patient-reported pain, global assessment, and function, as well as physician-reported global assessment and tender joints. Copyright © 2015, American College of Rheumatology.","author":[{"dropping-particle":"","family":"Rathbun","given":"A.","non-dropping-particle":"","parse-names":false,"suffix":""},{"dropping-particle":"","family":"Harrold","given":"L.","non-dropping-particle":"","parse-names":false,"suffix":""},{"dropping-particle":"","family":"Reed","given":"G.","non-dropping-particle":"","parse-names":false,"suffix":""}],"container-title":"Arthritis care &amp; research","id":"ITEM-1","issue":"6","issued":{"date-parts":[["2015"]]},"page":"765-775","publisher-place":"United States","title":"Temporal effect of depressive symptoms on the longitudinal evolution of rheumatoid arthritis disease activity.","type":"article-journal","volume":"67"},"uris":["http://www.mendeley.com/documents/?uuid=48290b16-ec5c-4e86-95ee-18814dd9439d"]}],"mendeley":{"formattedCitation":"[91]","plainTextFormattedCitation":"[91]","previouslyFormattedCitation":"[92]"},"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[91]</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30F044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224BD4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CORRONA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7E860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USA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EE838D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DD8A34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12,445 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AFDF16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104 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B23D9C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58 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67B3A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73 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A6455F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CDAI, HAQ, CRP, ESR, TJC, SJC, EGA, PGA </w:t>
            </w:r>
          </w:p>
        </w:tc>
      </w:tr>
      <w:tr w:rsidR="00DB60E7" w:rsidRPr="001B576D" w14:paraId="177405F2" w14:textId="77777777" w:rsidTr="00814F6D">
        <w:trPr>
          <w:trHeight w:val="13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59BFEC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El Miedany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{"citationItems":[{"id":"ITEM-1","itemData":{"DOI":"http://dx.doi.org/10.1136/annrheumdis-2012-eular.2596","ISSN":"0003-4967","abstract":"Background Inflammatory arthritis patients experience a host of behavioral alterations that include depression, fatigue, sleep disturbances, and cognitive dysfunction. These behavioral comorbidities are apparent throughout the process of diagnosis and treatment for arthritis. Cross-sectional associations suggested a mutual impact of disease activity and psychological distress in early rheumatoid arthritis, but a prospective association has not been established. Objectives 1. To assess both concurrent and prospective association of self-reported behavioral co-morbidities and disease activity in patients with early inflammatory arthritis; 2. To evaluate whether behavioral co-morbidities are correlated to sleep disturbance in this group of patients. Methods 264 patients diagnosed to have early inflammatory arthritis (disease duration &lt;=12 months, age 21-79 years, 68% female, 32% males) were managed and monitored for 3 years on 6-monthly basis. At baseline and prior to each assessment in the clinic every patient completed a copy of the PROMs questionnaire. This included assessment for self-reported psychological functioning, sleep disturbance, functional disability, pain, fatigue score, self-helplessness and self-reported joint tenderness. Disease activity (DAS-28) was assessed at every visit. Multilevel regression analysis was applied to examine concurrent and prospective associations between disease activity and psychological distress variables. The association between behavioral comorbidities, disease activity and sleep disturbance was assessed using Pearson/Spearman correlations and multivariable linear regression. Results Concurrent association analysis revealed five significant associations between disease activity and behavioral co-morbidity variables: (depressed mode, p&lt;0.01; anxiety mode, p&lt;0.02; sleep disturbance, p&lt;0.01; pain p&lt;0.01; and self-helplessness p&lt;0.01) and vice versa. Prospective association analysis revealed that depressed mode, sleep disturbance as well as self-helplessness were correlated with both DAS-28 score (p&lt;0.01) and tender joint count (p&lt;0.01) 6 months later. Also DAS-28 was significantly correlated with depressed mode (p&lt;0.02), anxiety mode (p&lt;0.04), sleep disturbance (p&lt;0.01) and self-helplessness (p&lt;0.02) 6 months later. Multiple regression analysis confirmed that pain, depressed and anxiety modes as well as self-helplessness contributed independently and significantly to higher sleep disturbance (p&lt;0.01). Conclusions Amo…","author":[{"dropping-particle":"","family":"Miedany","given":"Y.","non-dropping-particle":"El","parse-names":false,"suffix":""},{"dropping-particle":"","family":"Gaafary","given":"M.","non-dropping-particle":"El","parse-names":false,"suffix":""},{"dropping-particle":"","family":"Arousy","given":"N.","non-dropping-particle":"El","parse-names":false,"suffix":""},{"dropping-particle":"","family":"Youssef","given":"S.","non-dropping-particle":"","parse-names":false,"suffix":""}],"collection-title":"Annual European Congress of Rheumatology of the European League Against Rheumatism, EULAR 2012. Berlin Germany.","container-title":"Annals of the Rheumatic Disease","id":"ITEM-1","issue":"SUPPL. 3","issued":{"date-parts":[["2013"]]},"language":"English","publisher":"BMJ Publishing Group","publisher-place":"Y. El Miedany, Rheumatology and Rehab., Ain Shams University, Cairo, Egypt","title":"The correlation of self-reported behavioral co-morbidities and disease activity in early inflammatory arthritis patients: A prospective study","type":"article-journal","volume":"71"},"uris":["http://www.mendeley.com/documents/?uuid=f387bef7-6406-44b2-a489-d43d50c64eac"]}],"mendeley":{"formattedCitation":"[92]","plainTextFormattedCitation":"[92]","previouslyFormattedCitation":"[93]"},"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[92]</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C8A1C1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2013 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9648B9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14C665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Egypt or 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AFEF7D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275C91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264 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BB0721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156 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B15A41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843E42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68 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F93E2E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TJC,  </w:t>
            </w:r>
          </w:p>
        </w:tc>
      </w:tr>
      <w:tr w:rsidR="00DB60E7" w:rsidRPr="001B576D" w14:paraId="261B4960"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14C28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Uhlig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{"citationItems":[{"id":"ITEM-1","itemData":{"DOI":"10.1093/rheumatology/39.7.732","abstract":"Objective. To examine the course of RA over 5 yr and identify predictors of psychological physical and radiographic outcome. Patients and methods. Out of 238 patients with rheumatoid arthritis of no more than 4 (mean 2.2) yr duration, 182 (76%) completed a clinical examination with follow-up at 1, 2, and 5 yr. The course of the disease was assessed by measures of psychological and physical health status, disease process and radiographic damage. Results. Over 5 yr we observed at a group level a stable disease course for measures of disease process, psychological and physical health status. Radiographic damage progressed. Health status and radiographic damage after 5 yr were predicted by the baseline measures for the respective outcome. Physical function was also predicted by age and by psychological status when the physical dimension of the Arthritis Impact Measurement Scales was chosen as outcome variable. Erythrocyte sedimentation rate and presence of rheumatoid factor predicted radiographic progression. Conclusions. The 5 yr course of RA was characterized by preserved health status measures and clinically preserved disease process measures, whereas joint damage progressed steadily. Outcomes after 5 yr can be predicted partly by certain measures at baseline.","author":[{"dropping-particle":"","family":"Uhlig","given":"T","non-dropping-particle":"","parse-names":false,"suffix":""},{"dropping-particle":"","family":"Smedstad","given":"L M","non-dropping-particle":"","parse-names":false,"suffix":""},{"dropping-particle":"","family":"Vaglum","given":"P","non-dropping-particle":"","parse-names":false,"suffix":""},{"dropping-particle":"","family":"Moum","given":"T","non-dropping-particle":"","parse-names":false,"suffix":""},{"dropping-particle":"","family":"Gérard","given":"N","non-dropping-particle":"","parse-names":false,"suffix":""},{"dropping-particle":"","family":"Kvien","given":"T K","non-dropping-particle":"","parse-names":false,"suffix":""}],"container-title":"Rheumatology","id":"ITEM-1","issue":"7","issued":{"date-parts":[["2000"]]},"note":"Cited By :82\n\nExport Date: 5 December 2019","page":"732-741","publisher-place":"Department of Rheumatology, Diakonhjemmet Hospital, Box 23, Vinderen, N-0319 Oslo, Norway","title":"The course of rheumatoid arthritis and predictors of psychological, physical and radiographic outcome after 5 years of follow-up","type":"article-journal","volume":"39"},"uris":["http://www.mendeley.com/documents/?uuid=3765738b-ba6e-4c45-a671-2fb22da65fbf"]}],"mendeley":{"formattedCitation":"[93]","plainTextFormattedCitation":"[93]","previouslyFormattedCitation":"[94]"},"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[93]</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78401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2000 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C3F73E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EURIDISS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94ED5B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Norway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6A858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19286E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238 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D4D4DF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261 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9B4C99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51 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7A7271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74 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293406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AIMS </w:t>
            </w:r>
          </w:p>
        </w:tc>
      </w:tr>
      <w:tr w:rsidR="00DB60E7" w:rsidRPr="001B576D" w14:paraId="4050C72A" w14:textId="77777777" w:rsidTr="00814F6D">
        <w:trPr>
          <w:trHeight w:val="25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FDAAF0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Li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{"citationItems":[{"id":"ITEM-1","itemData":{"DOI":"10.1080/13696998.2019.1572015","abstract":"Aims: Depression is the most frequent comorbidity reported among patients with rheumatoid arthritis (RA). Comorbid depression negatively impacts RA patients’ health-related quality-of-life, physical function, mental function, mortality, and experience of pain and symptom severity. The objective of this study was to assess healthcare utilization, expenditures, and work productivity among patients with RA with or without depression. Materials and methods: Data from adult patients who had at least two visits each related to RA and depression over a 1-year period were extracted from the Truven Health MarketScan research databases. Outcomes comprised healthcare resource utilization, work productivity loss, and direct healthcare costs comparing patients with RA with depression (n = 3,478) vs patients with RA without depression (n = 43,222). Results: Patients with RA and depression had a significantly greater relative risk of hospitalization and number of all-cause and RA-related hospitalizations, utilization of emergency services, days spent in the hospital, physician visits, and RA-related surgeries compared with RA patients without depression. Patients with RA and depression had a higher risk of and experienced more events and days of short-term disability compared with patients without depression. The incremental adjusted annual all-cause and RA-related direct costs were $8,488 (95% CI = $6,793–$10,223) and $578 (95% CI = –$98–$1,243), respectively, when comparing patients with RA and depression vs RA only. Limitations: The current analysis is subject to the known limitations of retrospective studies based on administrative claims data. Conclusions: This study suggested increased healthcare utilization, work productivity loss, and economic burden among RA patients due to comorbid depression. These findings emphasize the importance of managing depression and including depression as a factor when devising treatment algorithms for patients with RA. © 2019, © 2019 Informa UK Limited, trading as Taylor &amp; Francis Group.","author":[{"dropping-particle":"","family":"Li","given":"N","non-dropping-particle":"","parse-names":false,"suffix":""},{"dropping-particle":"","family":"Chan","given":"E","non-dropping-particle":"","parse-names":false,"suffix":""},{"dropping-particle":"","family":"Peterson","given":"S","non-dropping-particle":"","parse-names":false,"suffix":""}],"container-title":"Journal of Medical Economics","id":"ITEM-1","issue":"4","issued":{"date-parts":[["2019"]]},"note":"Cited By :1\n\nExport Date: 5 December 2019","page":"372-378","publisher-place":"Janssen Global Services, Horsham, PA, United States","title":"The economic burden of depression among adults with rheumatoid arthritis in the United States","type":"article-journal","volume":"22"},"uris":["http://www.mendeley.com/documents/?uuid=5837213b-8c1d-4f7a-af29-c7c5cf18f10f"]}],"mendeley":{"formattedCitation":"[94]","plainTextFormattedCitation":"[94]","previouslyFormattedCitation":"[95]"},"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[94]</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37A9B5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2019 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1A6C1D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Truven Health Marketscan databse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567D98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USA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C12051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A5AEBE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46,700 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D19940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9509B7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693D0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78 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4565D9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Short-term disability </w:t>
            </w:r>
          </w:p>
        </w:tc>
      </w:tr>
      <w:tr w:rsidR="00DB60E7" w:rsidRPr="001B576D" w14:paraId="71FC7AC6"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5F56C4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Matcham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10.1136/annrheumdis-2014-eular.2878","ISSN":"0003-4967","author":[{"dropping-particle":"","family":"Matcham","given":"F.","non-dropping-particle":"","parse-names":false,"suffix":""},{"dropping-particle":"","family":"Norton","given":"S.","non-dropping-particle":"","parse-names":false,"suffix":""},{"dropping-particle":"","family":"Scott","given":"D.L.","non-dropping-particle":"","parse-names":false,"suffix":""},{"dropping-particle":"","family":"Steer","given":"S.","non-dropping-particle":"","parse-names":false,"suffix":""},{"dropping-particle":"","family":"Hotopf","given":"M.","non-dropping-particle":"","parse-names":false,"suffix":""}],"container-title":"Annals of the Rheumatic Diseases","id":"ITEM-1","issue":"Suppl 2","issued":{"date-parts":[["2014"]]},"page":"1197.1-1197","title":"The Longitudinal Impact of Persistent Depression on Physical Health Outcomes in Rheumatoid Arthritis: Table 1.","type":"article-journal","volume":"73"},"uris":["http://www.mendeley.com/documents/?uuid=ca7304d1-40de-4fda-82ff-f4ecfae7ca02"]}],"mendeley":{"formattedCitation":"[34]","plainTextFormattedCitation":"[34]","previouslyFormattedCitation":"[35]"},"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[34]</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347A75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2014 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EEBED2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CARDERA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BF5D99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1AA642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D2141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467 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65ADA2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104 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670E65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42347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68 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AE4437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HAQ, ESR, VAS pain, TJC, SJC, EGA </w:t>
            </w:r>
          </w:p>
        </w:tc>
      </w:tr>
      <w:tr w:rsidR="00DB60E7" w:rsidRPr="001B576D" w14:paraId="33E55B6D" w14:textId="77777777" w:rsidTr="00814F6D">
        <w:trPr>
          <w:trHeight w:val="36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DFF02A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Van Den Hoek</w:t>
            </w:r>
            <w:r>
              <w:rPr>
                <w:rFonts w:ascii="Calibri" w:eastAsia="Times New Roman" w:hAnsi="Calibri" w:cs="Calibri"/>
                <w:color w:val="333333"/>
                <w:sz w:val="16"/>
                <w:szCs w:val="16"/>
              </w:rPr>
              <w:t xml:space="preserve">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{"citationItems":[{"id":"ITEM-1","itemData":{"DOI":"http://dx.doi.org/10.1136/annrheumdis-2012-eular.2573","ISSN":"0003-4967","abstract":"Background The prevalence of comorbidity in patients with rheumatoid arthritis (RA) is higher than in the general population (1). There is increasing evidence that comorbidity plays an important role in determining RA-related outcomes, like physical functioning (2). Little is known about the impact of comorbidity on the long term. Further, the studies that investigated the effects of comorbidity on physical functioning, did not compare the influence of both somatic and depression comorbidity. With this information clinicians can early adjust their treatment to the comorbidity. Objectives To asses the long term association of comorbidity and physical functioning in patients with established RA. Methods Longitudinal data were collected among 882 patients with RA of varying disease duration at inclusion in the study. Patient reported outcomes were collected in 1997, 1998, 1999, 2002 and 2008. Physical functioning was measured with the Health Assessment Questionnaire and the Physical Component Scale of the SF-36 Health Survey. Somatic comorbidity was measured by a self administered questionnaire including 13 chronic diseases. Depression comorbidity was measured with the Center for Epidemiologic Depression Scale. We distinguished four groups of patients based on comorbidity at baseline: patients 1) without comorbidity 2) with only somatic comorbidity 3) with only depression comorbidity and 4) with both somatic and depression comorbidity. The influence of comorbidity on physical functioning over time was investigated in a longitudinal analysis. Results 882 patients respond to the questionnaire, of whom 78% were woman. The mean (SD) age of the patients at baseline was 59.3 (SD 14.8) years and the mean (SD) disease duration was 8.9(SD 9.9) years. For the total group of patients with RA, physical functioning improved over an eleven year period. Patients with comorbidity had a worse physical functioning than patients without comorbidity at all time points, by which both groups with depression comorbidity had the lowest score (p&lt;0.01). Only, patients with both somatic and depression comorbidity at baseline had significant less improvement in physical functioning over time (p&lt;0.05). Conclusions Both somatic comorbidity and depression comorbidity had a negative impact on physical functioning during eleven years follow up in patients with RA, and their combination seems to be especially detrimental over time. Clinicians need to take somatic comorbidity and depression…","author":[{"dropping-particle":"","family":"Hoek","given":"J.","non-dropping-particle":"Van Den","parse-names":false,"suffix":""},{"dropping-particle":"","family":"Roorda","given":"L.D.","non-dropping-particle":"","parse-names":false,"suffix":""},{"dropping-particle":"","family":"Boshuizen","given":"H.","non-dropping-particle":"","parse-names":false,"suffix":""},{"dropping-particle":"","family":"Dekker","given":"J.","non-dropping-particle":"","parse-names":false,"suffix":""},{"dropping-particle":"","family":"Hees","given":"J.","non-dropping-particle":"Van","parse-names":false,"suffix":""},{"dropping-particle":"","family":"Rupp","given":"I.","non-dropping-particle":"","parse-names":false,"suffix":""},{"dropping-particle":"","family":"Tijhuis","given":"G.","non-dropping-particle":"","parse-names":false,"suffix":""}],"collection-title":"Annual European Congress of Rheumatology of the European League Against Rheumatism, EULAR 2012. Berlin Germany.","container-title":"Annals of the Rheumatic Disease","id":"ITEM-1","issue":"SUPPL. 3","issued":{"date-parts":[["2013"]]},"language":"English","publisher":"BMJ Publishing Group","publisher-place":"J. Van Den Hoek, Amsterdam Rehabilitation Research Center, Reade, Netherlands","title":"The influence of somatic and depression comorbidity on physical functioning over eleven years in patients with rheumatoid arthritis","type":"article-journal","volume":"71"},"uris":["http://www.mendeley.com/documents/?uuid=1f47a67d-a8a1-4c87-908e-831c7fec98e8"]}],"mendeley":{"formattedCitation":"[95]","plainTextFormattedCitation":"[95]","previouslyFormattedCitation":"[96]"},"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[95]</w:t>
            </w:r>
            <w:r>
              <w:rPr>
                <w:rFonts w:ascii="Calibri" w:eastAsia="Times New Roman" w:hAnsi="Calibri" w:cs="Calibri"/>
                <w:color w:val="333333"/>
                <w:sz w:val="16"/>
                <w:szCs w:val="16"/>
              </w:rPr>
              <w:fldChar w:fldCharType="end"/>
            </w:r>
            <w:r w:rsidRPr="001B576D">
              <w:rPr>
                <w:rFonts w:ascii="Calibri" w:eastAsia="Times New Roman" w:hAnsi="Calibri" w:cs="Calibri"/>
                <w:color w:val="333333"/>
                <w:sz w:val="16"/>
                <w:szCs w:val="16"/>
              </w:rPr>
              <w:t> </w:t>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B14A85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w:t>
            </w:r>
            <w:r>
              <w:rPr>
                <w:rFonts w:ascii="Calibri" w:eastAsia="Times New Roman" w:hAnsi="Calibri" w:cs="Calibri"/>
                <w:sz w:val="16"/>
                <w:szCs w:val="16"/>
              </w:rPr>
              <w:t>3</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28AE0F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4E4D83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Netherlands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A46AAB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40F087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882 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FC39D1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574 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E6F0EA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59 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59190C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Not reported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C6B1A8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HAQ, SF-36 </w:t>
            </w:r>
          </w:p>
        </w:tc>
      </w:tr>
      <w:tr w:rsidR="00DB60E7" w:rsidRPr="001B576D" w14:paraId="113AD822"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F128D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Matcham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{"citationItems":[{"id":"ITEM-1","itemData":{"DOI":"10.1093/rheumatology/keu103.005","abstract":"Background: Depression is highly prevalent in RA, with approximately 34% of patients screening positive for depression according to the Hospital Anxiety and Depression Scale (HADS). Depression in RA is associated with increased pain, fatigue, physical disability and healthcare costs. However, there is currently limited longitudinal evidence examining the long‐term impact of depression on RA outcomes, particularly objectively‐reported clinical outcomes. The aim of the current study was therefore to assess the impact of baseline depression status on objectively and subjectively measured physical health outcomes over a 2‐year follow‐up period. Methods: A secondary data analysis of a clinical trial (CARDERA) was performed. CARDERA was a 2‐year randomized double‐blind factorial trial in 467 patients with RA within 2 years of diagnosis. Patients were recruited from 42 centres across England and Wales and randomized into 1 of 4 factors: MTX monotherapy; MTX and ciclosporin; MTX and prednisolone; and Triple Therapy. Depression was measured using the EQ‐5D, and data for 9 physical health outcomes were available: Larsen score; tender joint count (TJC); swollen joint count (SJC); ESR; assessor and patient global assessments (AGA/PGA); HAQ; pain; and DAS‐28. Multi‐level regression models were created for each outcome in 3 stages: unadjusted; adjusted for demographics (data not shown); additionally adjusted for clinical variables, including treatment group. Results: Data were available for 379 patients. Patients' mean age was 54.1 (12.3), and 68.3% of the sample were female. In total, 44.9% had no depression symptoms, 48.7% had some depressive symptoms and 6.5% had severe depression symptoms. Before adjusting for any covariates, in comparison with patients with no depression at baseline, patients with some level of depression showed significantly higher follow‐up AGA (d=0.25, P=0.02), HAQ (d=0.44, P&lt;0.001), PGA (d=0.37, P&lt;0.001), Pain (d=0.33, P&lt;0.001) and DAS‐28 (d=0.34, P&lt;0.01) scores. Patients with severe depression had significantly higher DAS‐28 (d=0.86, P&lt;0.001), SJC (0.70, P&lt;0.01), AGA (d=0.56, P=0.01), PGA (d=0.87, P&lt;0.001)and pain levels (d=0. 86, P&lt;0.001), in comparison with patients with no depression. After controlling for all demographic and clinical variables, depression status remained a significant predictor of DAS‐28 (d=0.47, P&lt;0.05) and TJC (d=0.44, P&lt;0.05) outcomes, and a medium non‐significant effect size was also seen in PGA (d=0.39, P=0.06) and…","author":[{"dropping-particle":"","family":"Matcham","given":"F","non-dropping-particle":"","parse-names":false,"suffix":""},{"dropping-particle":"","family":"Norton","given":"S","non-dropping-particle":"","parse-names":false,"suffix":""},{"dropping-particle":"","family":"Scott","given":"D","non-dropping-particle":"","parse-names":false,"suffix":""},{"dropping-particle":"","family":"Steer","given":"S","non-dropping-particle":"","parse-names":false,"suffix":""},{"dropping-particle":"","family":"Hotopf","given":"M","non-dropping-particle":"","parse-names":false,"suffix":""}],"container-title":"Rheumatology (united kingdom).","id":"ITEM-1","issued":{"date-parts":[["2014"]]},"page":"i103‐i104","title":"The impact of depression on long-term physical health outcomes in rheumatoid arthritis","type":"article-journal","volume":"53"},"uris":["http://www.mendeley.com/documents/?uuid=ed78ced8-1931-47ab-a956-8b5f552dab8a"]}],"mendeley":{"formattedCitation":"[96]","plainTextFormattedCitation":"[96]","previouslyFormattedCitation":"[97]"},"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[96]</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EB9459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2014 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4B0224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CARDERA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20C4D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82CDA1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BB706E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379 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790E3B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104 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7D0A3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3FCFFD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68 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BEFFFF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SJC </w:t>
            </w:r>
          </w:p>
        </w:tc>
      </w:tr>
      <w:tr w:rsidR="00DB60E7" w:rsidRPr="001B576D" w14:paraId="51B206AE"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82557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Crotty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{"citationItems":[{"id":"ITEM-1","itemData":{"DOI":"10.1093/rheumatology/33.8.754","abstract":"A longitudinal study of 75 young women (median age 43 yr) with early RA was performed with psychological, clinical and functional status measured every 4 months for up to 44 months. The aim was to describe functional changes, and to estimate the association between psychosocial variables and function in the early years after diagnosis. Function was measured by the Stanford Health Assessment Questionnaire (HAQ) and improved on average by about 10% per year with most improvement occurring over the first year. Pain and psychosocial variables also improved over time. There was still a residual improvement in HAQ with time of about 4% per year not accounted for by changes in these measured variables. When examined over time, psychosocial variables were as important as disease and pain in determining function. The results suggest interventions based on the importance of maintaining social relationships could impact on function. © 1994 British Society for Rheumatology.","author":[{"dropping-particle":"","family":"Crotty","given":"M","non-dropping-particle":"","parse-names":false,"suffix":""},{"dropping-particle":"","family":"Mcfarlane","given":"A C","non-dropping-particle":"","parse-names":false,"suffix":""},{"dropping-particle":"","family":"Brooks","given":"P M","non-dropping-particle":"","parse-names":false,"suffix":""},{"dropping-particle":"","family":"Hopper","given":"J L","non-dropping-particle":"","parse-names":false,"suffix":""},{"dropping-particle":"","family":"Bieri","given":"D","non-dropping-particle":"","parse-names":false,"suffix":""},{"dropping-particle":"","family":"Taylor","given":"S J","non-dropping-particle":"","parse-names":false,"suffix":""}],"container-title":"Rheumatology","id":"ITEM-1","issue":"8","issued":{"date-parts":[["1994"]]},"note":"Cited By :35\n\nExport Date: 5 December 2019","page":"754-760","publisher-place":"School of Medicine, University of New South Wales, Darlinghurst, NSW 2010, Australia","title":"The psychosocial and clinical status of younger women with early rheumatoid arthritis: A longitudinal study with frequent measures","type":"article-journal","volume":"33"},"uris":["http://www.mendeley.com/documents/?uuid=ba1e33da-9cef-4bc3-961c-6cb03d5020a3"]}],"mendeley":{"formattedCitation":"[97]","plainTextFormattedCitation":"[97]","previouslyFormattedCitation":"[98]"},"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[97]</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8146F4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1994 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2FE86A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97FCE6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Australia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71DAE7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8BBF23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75 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D47E4A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191 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A1C7945"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1651D4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100 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F2175D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HAQ </w:t>
            </w:r>
          </w:p>
        </w:tc>
      </w:tr>
      <w:tr w:rsidR="00DB60E7" w:rsidRPr="001B576D" w14:paraId="6BC8109D"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5B711A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Overman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{"citationItems":[{"id":"ITEM-1","itemData":{"DOI":"http://dx.doi.org/10.1136/annrheumdis-2011-200338","ISSN":"0003-4967","abstract":"Background: Cross-sectional associations suggest a mutual impact of disease activity and psychological distress in rheumatoid arthritis (RA), but a prospective association has not been established. Objective(s): To examine concurrent and prospective associations between psychological distress and disease activity. Method(s): Patients with RA (N=545, disease duration &lt;=1 year, age 18-83 years, 69% female, 64% rheumatoid factor (RF) positive) were monitored for 5 years. The Thompson joint score and erythrocyte sedimentation rate were assessed every 6 months. Depressed mood and anxiety were measured every 12 months. Multilevel regression analysis was used. RF positivity, age and female sex were included as covariates. Result(s): Concurrent levels of psychological distress and disease activity were positively associated (p&lt;=0.04). Prospectively, depressed mood was associated with disease activity levels 6 months later (p&lt;=0.04). The Thompson joint score was associated with psychological distress levels 6 months later (p&lt;=0.03) and also with an increase in depressed mood over the subsequent 6 months (p=0.02). No other significant prospective associations were found (p&gt;=0.07). Conclusion(s): Psychological distress and disease activity are positively associated when measured at the same time as well as when measured 6 months apart. While some support was found for the idea that a higher level of disease activity is a risk factor for an increase in psychological distress, the results do not support the notion that psychological distress is a risk factor for future exacerbation of disease activity. Copyright Article author (or their employer) 2011.","author":[{"dropping-particle":"","family":"Overman","given":"Cecile L","non-dropping-particle":"","parse-names":false,"suffix":""},{"dropping-particle":"","family":"Bossema","given":"Ercolie R","non-dropping-particle":"","parse-names":false,"suffix":""},{"dropping-particle":"","family":"Middendorp","given":"Henriet","non-dropping-particle":"van","parse-names":false,"suffix":""},{"dropping-particle":"","family":"Wijngaards-de Meij","given":"Leoniek","non-dropping-particle":"","parse-names":false,"suffix":""},{"dropping-particle":"","family":"Verstappen","given":"Suzanne MM","non-dropping-particle":"","parse-names":false,"suffix":""},{"dropping-particle":"","family":"Bulder","given":"Marcia","non-dropping-particle":"","parse-names":false,"suffix":""},{"dropping-particle":"","family":"Jacobs","given":"Johannes WG","non-dropping-particle":"","parse-names":false,"suffix":""},{"dropping-particle":"","family":"Bijlsma","given":"Johannes WJ","non-dropping-particle":"","parse-names":false,"suffix":""},{"dropping-particle":"","family":"Geenen","given":"Rinie","non-dropping-particle":"","parse-names":false,"suffix":""}],"container-title":"Annals of the Rheumatic Diseases","id":"ITEM-1","issued":{"date-parts":[["2011"]]},"language":"English","publisher-place":"C.L. Overman, Department of Clinical and Health Psychology, Utrecht University, Heidelberglaan 1, PO Box 80.140, 3. E-mail: c.l.overman@uu.nl","title":"The prospective association between psychological distress and disease activity in rheumatoid arthritis: A multilevel regression analysis","type":"article-journal"},"uris":["http://www.mendeley.com/documents/?uuid=6f645294-a289-4cbb-a16e-5c80eb2d205f"]}],"mendeley":{"formattedCitation":"[30]","plainTextFormattedCitation":"[30]","previouslyFormattedCitation":"[31]"},"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[30]</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B2E438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2011 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8E2AEB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B56C182"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Netherlands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A4A763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5A4E0B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545 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14E693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826F91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A2E8AD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69 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692760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TJC </w:t>
            </w:r>
          </w:p>
        </w:tc>
      </w:tr>
      <w:tr w:rsidR="00DB60E7" w:rsidRPr="001B576D" w14:paraId="5BFDA7C3"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53237E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Matcham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{"citationItems":[{"id":"ITEM-1","itemData":{"DOI":"10.1093/rheumatology/kex528","ISSN":"14620332","abstract":"Objective. To investigate the relationship between depressive symptoms and treatment response and disease activity in RA over a 1-year follow-up. Methods. Data from the British Society for Rheumatology Biologics Register were used, representing 18 421 RA patients receiving biologic treatment. Depressive symptoms were identified through one of three assessments: reporting a history of depression, the Medical Outcomes Survey 36-item Short Form or the EuroQol five-dimension scale. Logistic regression analyses examined the relationship between baseline depressive symptoms and odds of good treatment response by 1 year. Multilevel models addressed the association between baseline depressive symptoms and disease activity outcomes over 1- year follow-up, adjusting for age, gender, disease duration, comorbidities and baseline disease activity and physical disability. Results. Depression symptoms at biologic treatment initiation were associated with 20-40% reduced odds of achieving a good treatment response at 1 year. Depressive symptoms at baseline also associated with reduced improvement in disease activity over the course of follow-up. Patients with a history of depression or reporting symptoms of depression according to the EuroQol five-dimension scale showed reduced improvement in tender and swollen joints, patient global assessment and ESR over 1-year follow-up. Patients with depression symptoms according to the 36-item Short Form showed reduced improvement in tender and swollen joints, but not ESR or patient global assessment. Conclusion. Experiencing symptoms of depression at the start of biologics treatment may reduce the odds of achieving a good treatment response, and reduce improvement in disease activity over time. Depression should be managed as part of routine clinical care to optimize treatment outcomes.","author":[{"dropping-particle":"","family":"Matcham","given":"Faith","non-dropping-particle":"","parse-names":false,"suffix":""},{"dropping-particle":"","family":"Davies","given":"Rebecca","non-dropping-particle":"","parse-names":false,"suffix":""},{"dropping-particle":"","family":"Hotopf","given":"Matthew","non-dropping-particle":"","parse-names":false,"suffix":""},{"dropping-particle":"","family":"Hyrich","given":"Kimme L.","non-dropping-particle":"","parse-names":false,"suffix":""},{"dropping-particle":"","family":"Norton","given":"Sam","non-dropping-particle":"","parse-names":false,"suffix":""},{"dropping-particle":"","family":"Steer","given":"Sophia","non-dropping-particle":"","parse-names":false,"suffix":""},{"dropping-particle":"","family":"Galloway","given":"James","non-dropping-particle":"","parse-names":false,"suffix":""}],"container-title":"Rheumatology (United Kingdom)","id":"ITEM-1","issue":"5","issued":{"date-parts":[["2018"]]},"page":"835-843","title":"The relationship between depression and biologic treatment response in rheumatoid arthritis: An analysis of the British Society for Rheumatology Biologics Register","type":"article-journal","volume":"57"},"uris":["http://www.mendeley.com/documents/?uuid=4da642b6-5527-4717-aa42-feeabb30632f"]}],"mendeley":{"formattedCitation":"[28]","plainTextFormattedCitation":"[28]","previouslyFormattedCitation":"[29]"},"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[28]</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29806F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2018 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D500E6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BSRBR-RA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345ECC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C9A2459"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716D2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18,421 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A7576E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75FD1B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56 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1FC2F3E"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76 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2AD435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ESR, SJC, EGA </w:t>
            </w:r>
          </w:p>
        </w:tc>
      </w:tr>
      <w:tr w:rsidR="00DB60E7" w:rsidRPr="001B576D" w14:paraId="14CACDBA" w14:textId="77777777" w:rsidTr="00814F6D">
        <w:trPr>
          <w:trHeight w:val="13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D19DC6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Euesden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{"citationItems":[{"id":"ITEM-1","itemData":{"DOI":"10.1097/PSY.0000000000000462","abstract":"Objective Reduced mental health (MH) is prevalent in rheumatoid arthritis (RA). Although longitudinal studies are limited, there is evidence that depression is associated with worse disease outcomes. We evaluated reciprocal relationships between MH, RA severity, and genetic risks for depression for 2 years in a well-characterized cohort of RA patients. Methods We evaluated 520 early RA patients previously enrolled to two clinical trials. MH was measured using the short form-36 MH domain and mental component summary scores (MCS). MCS/MH associations over 2 years with disease activity (disease activity score on a 28-joint count), disability (health assessment questionnaire), pain visual analog scale scores, and a weighted genetic risk score for depression were tested using linear mixed-effects and regression models. Results Poorer MH was associated with worse RA outcomes. Lower MCS scores (indicating worse MH) were seen in patients with a greater genetic risk for depression (weighted genetic risk score: Coefficient =-1.21, p =.013). Lower baseline MCS was associated with lower 2-year improvements in disease activity score on a 28-joint count (coefficient =-0.02, p &lt;.001), pain (coefficient =-0.33, p &lt;.001), and health assessment questionnaire (coefficient =-0.01, p =.006). Baseline MCS was associated with changes in the swollen joint count (coefficient =-0.09, p &lt;.001) and patient global assessment (coefficient =-0.28, p &lt;.001) but not the tender joint count (p =.983) and erythrocyte sedimentation rate (p =.973). Only baseline pain visual analog scale (coefficient =-0.07, p =.002) was associated with 2-year changes in MCS. Conclusions Reduced baseline MH was associated with lower improvements in disease activity, disability, and pain for 2 years, supporting current national guidelines recommending screening for depression in RA. Pain had a bidirectional relationship with MH. Depression genetic risk had a significant association with MH. © 2017 Lippincott Williams &amp; Wilkins.","author":[{"dropping-particle":"","family":"Euesden","given":"J","non-dropping-particle":"","parse-names":false,"suffix":""},{"dropping-particle":"","family":"Matcham","given":"F","non-dropping-particle":"","parse-names":false,"suffix":""},{"dropping-particle":"","family":"Hotopf","given":"M","non-dropping-particle":"","parse-names":false,"suffix":""},{"dropping-particle":"","family":"Steer","given":"S","non-dropping-particle":"","parse-names":false,"suffix":""},{"dropping-particle":"","family":"Cope","given":"A P","non-dropping-particle":"","parse-names":false,"suffix":""},{"dropping-particle":"","family":"Lewis","given":"C M","non-dropping-particle":"","parse-names":false,"suffix":""},{"dropping-particle":"","family":"Scott","given":"I C","non-dropping-particle":"","parse-names":false,"suffix":""}],"container-title":"Psychosomatic Medicine","id":"ITEM-1","issue":"6","issued":{"date-parts":[["2017"]]},"note":"Cited By :6\n\nExport Date: 5 December 2019","page":"638-645","publisher-place":"SGDP Centre, Department of Psychological Medicine, Institute of Psychiatry, Psychology and Neuroscience, King's College London, London, BS82BN, United Kingdom","title":"The Relationship between Mental Health, Disease Severity, and Genetic Risk for Depression in Early Rheumatoid Arthritis","type":"article-journal","volume":"79"},"uris":["http://www.mendeley.com/documents/?uuid=a3f35e15-c838-43bb-8b86-59fb839e820f"]}],"mendeley":{"formattedCitation":"[98]","plainTextFormattedCitation":"[98]","previouslyFormattedCitation":"[99]"},"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[98]</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2918D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2017 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7AB87A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CARDERA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A805323"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UK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802190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Intervention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3877EB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520 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15AD9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104 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B06126"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55 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B8BE7F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69 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14EBD8F"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DAS28, HAQ, ESR, VAS pain, TJC, SJC, EGA </w:t>
            </w:r>
          </w:p>
        </w:tc>
      </w:tr>
      <w:tr w:rsidR="00DB60E7" w:rsidRPr="001B576D" w14:paraId="05085611"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343039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Smedstad </w:t>
            </w:r>
            <w:r>
              <w:rPr>
                <w:rFonts w:ascii="Calibri" w:eastAsia="Times New Roman" w:hAnsi="Calibri" w:cs="Calibri"/>
                <w:sz w:val="16"/>
                <w:szCs w:val="16"/>
              </w:rPr>
              <w:fldChar w:fldCharType="begin" w:fldLock="1"/>
            </w:r>
            <w:r>
              <w:rPr>
                <w:rFonts w:ascii="Calibri" w:eastAsia="Times New Roman" w:hAnsi="Calibri" w:cs="Calibri"/>
                <w:sz w:val="16"/>
                <w:szCs w:val="16"/>
              </w:rPr>
              <w:instrText>ADDIN CSL_CITATION {"citationItems":[{"id":"ITEM-1","itemData":{"ISSN":"0263-7103","abstract":"In this longitudinal study (12 and 24 months follow-up) of 216 patients with early rheumatoid arthritis (RA) (&lt; or = 4 yr duration), we assessed the strength and stability of the relationship between psychological distress and traditional clinical variables examined the ability of these clinical variables to predict changes in mental distress, and explored the directionality between mental distress and the other clinical variables. Study variables were symptoms of anxiety and depression measured by the Arthritis Impact Measurement Scales, tender joint counts, erythrocyte sedimentation rate (ESR), and self-reported pain and disability. Psychological distress showed high levels of stability over time. Pain and disability were the two variables most strongly and consistently related to mental distress. High levels of disability predicted an increase in depression during the next year; otherwise, changes in psychological distress were not predicted by disease-related variables. Attempts at causal modelling of the temporal relationship between mental distress, pain and disability failed to yield consistent results.","author":[{"dropping-particle":"","family":"Smedstad","given":"L M","non-dropping-particle":"","parse-names":false,"suffix":""},{"dropping-particle":"","family":"Vaglum","given":"P","non-dropping-particle":"","parse-names":false,"suffix":""},{"dropping-particle":"","family":"Moum","given":"T","non-dropping-particle":"","parse-names":false,"suffix":""},{"dropping-particle":"","family":"Kvien","given":"T K","non-dropping-particle":"","parse-names":false,"suffix":""}],"container-title":"British journal of rheumatology","id":"ITEM-1","issue":"12","issued":{"date-parts":[["1997"]]},"page":"1304-1311","publisher-place":"England","title":"The relationship between psychological distress and traditional clinical variables: a 2 year prospective study of 216 patients with early rheumatoid arthritis.","type":"article-journal","volume":"36"},"uris":["http://www.mendeley.com/documents/?uuid=1706b095-b154-4951-9ea3-04dfa20dfffa"]}],"mendeley":{"formattedCitation":"[99]","plainTextFormattedCitation":"[99]","previouslyFormattedCitation":"[100]"},"properties":{"noteIndex":0},"schema":"https://github.com/citation-style-language/schema/raw/master/csl-citation.json"}</w:instrText>
            </w:r>
            <w:r>
              <w:rPr>
                <w:rFonts w:ascii="Calibri" w:eastAsia="Times New Roman" w:hAnsi="Calibri" w:cs="Calibri"/>
                <w:sz w:val="16"/>
                <w:szCs w:val="16"/>
              </w:rPr>
              <w:fldChar w:fldCharType="separate"/>
            </w:r>
            <w:r w:rsidRPr="00193ED0">
              <w:rPr>
                <w:rFonts w:ascii="Calibri" w:eastAsia="Times New Roman" w:hAnsi="Calibri" w:cs="Calibri"/>
                <w:noProof/>
                <w:sz w:val="16"/>
                <w:szCs w:val="16"/>
              </w:rPr>
              <w:t>[99]</w:t>
            </w:r>
            <w:r>
              <w:rPr>
                <w:rFonts w:ascii="Calibri" w:eastAsia="Times New Roman" w:hAnsi="Calibri" w:cs="Calibri"/>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CED28A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1997 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13D20A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EURIDISS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11A70E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Norway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E6AE7C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64B63B0"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238 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53C23F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104 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F3C8A1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08A08D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73 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A8114D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HAQ, VAS pain </w:t>
            </w:r>
          </w:p>
        </w:tc>
      </w:tr>
      <w:tr w:rsidR="00DB60E7" w:rsidRPr="001B576D" w14:paraId="061D1727" w14:textId="77777777" w:rsidTr="00814F6D">
        <w:trPr>
          <w:trHeight w:val="12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BDA903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Karpouzas </w:t>
            </w:r>
            <w:r>
              <w:rPr>
                <w:rFonts w:ascii="Calibri" w:eastAsia="Times New Roman" w:hAnsi="Calibri" w:cs="Calibri"/>
                <w:color w:val="333333"/>
                <w:sz w:val="16"/>
                <w:szCs w:val="16"/>
              </w:rPr>
              <w:fldChar w:fldCharType="begin" w:fldLock="1"/>
            </w:r>
            <w:r>
              <w:rPr>
                <w:rFonts w:ascii="Calibri" w:eastAsia="Times New Roman" w:hAnsi="Calibri" w:cs="Calibri"/>
                <w:color w:val="333333"/>
                <w:sz w:val="16"/>
                <w:szCs w:val="16"/>
              </w:rPr>
              <w:instrText>ADDIN CSL_CITATION {"citationItems":[{"id":"ITEM-1","itemData":{"DOI":"10.1002/acr.22924","abstract":"Objective: To identify determinants of clinically meaningful change in functional disability in low-income Hispanic patients with established rheumatoid arthritis (RA) in the US. Methods: We evaluated 156 low-socioeconomic status, uninsured, largely immigrant Hispanic patients, collectively described as vulnerable patients, on 3 consecutive visits (baseline, 6, and 12 months followup) at a single center. Disability (Health Assessment Questionnaire [HAQ] disability index [DI]), pain (visual analog scale), and depression (Patient Health Questionnaire [PHQ-9]) were assessed each time. Disease activity (Disease Activity Score in 28 joints [DAS28] using the erythrocyte sedimentation rate), serology results, radiographs, treatments, and irreversible articular damage were also recorded. Results: At baseline, 71% had significant disability (HAQ DI &gt;1), and 34% were depressed. HAQ DI improved significantly over time (P = 0.032), and absence of depression (PHQ-9 &lt;10), lower pain, lack of erosions, and no biologic agent use at baseline all predicted the greatest improvement (P &lt; 0.001). Baseline to 12-month HAQ DI recovery exceeding the minimum clinically important difference (MCID) occurred in 42% of patients. Recovery was associated with concurrent improvements in DAS28, pain, and PHQ-9 scores (albeit below their respective MCIDs), as well as with absence of erosions. Notably, isolated shifts in PHQ-9 or pain scores over MCID were sufficient to yield clinically meaningful HAQ DI changes. Conclusion: Results suggest that disease activity, depression, and pain are modifiable parameters with consistent, significant, independent, and additive contributions to HAQ DI changes across the disease trajectory in vulnerable Hispanic patients with RA. Their improvement over time, collectively or in isolation, may yield clinically measurable improvements in functional disability and reaffirms these parameters as actionable items in a patient-centered treat-to-target approach. © 2016, American College of Rheumatology","author":[{"dropping-particle":"","family":"Karpouzas","given":"G A","non-dropping-particle":"","parse-names":false,"suffix":""},{"dropping-particle":"","family":"Draper","given":"T","non-dropping-particle":"","parse-names":false,"suffix":""},{"dropping-particle":"","family":"Moran","given":"R","non-dropping-particle":"","parse-names":false,"suffix":""},{"dropping-particle":"","family":"Hernandez","given":"E","non-dropping-particle":"","parse-names":false,"suffix":""},{"dropping-particle":"","family":"Nicassio","given":"P","non-dropping-particle":"","parse-names":false,"suffix":""},{"dropping-particle":"","family":"Weisman","given":"M H","non-dropping-particle":"","parse-names":false,"suffix":""},{"dropping-particle":"","family":"Ormseth","given":"S","non-dropping-particle":"","parse-names":false,"suffix":""}],"container-title":"Arthritis Care and Research","id":"ITEM-1","issue":"2","issued":{"date-parts":[["2017"]]},"note":"Cited By :4\n\nExport Date: 5 December 2019","page":"294-298","publisher-place":"Harbor-UCLA Medical Center and Los Angeles Biomedical Research Institute, Los Angeles, CA, United States","title":"Trends in Functional Disability and Determinants of Clinically Meaningful Change Over Time in Hispanic Patients With Rheumatoid Arthritis in the US","type":"article-journal","volume":"69"},"uris":["http://www.mendeley.com/documents/?uuid=c2b590fe-2232-4827-86b8-8641c04d9992"]}],"mendeley":{"formattedCitation":"[100]","plainTextFormattedCitation":"[100]","previouslyFormattedCitation":"[101]"},"properties":{"noteIndex":0},"schema":"https://github.com/citation-style-language/schema/raw/master/csl-citation.json"}</w:instrText>
            </w:r>
            <w:r>
              <w:rPr>
                <w:rFonts w:ascii="Calibri" w:eastAsia="Times New Roman" w:hAnsi="Calibri" w:cs="Calibri"/>
                <w:color w:val="333333"/>
                <w:sz w:val="16"/>
                <w:szCs w:val="16"/>
              </w:rPr>
              <w:fldChar w:fldCharType="separate"/>
            </w:r>
            <w:r w:rsidRPr="00193ED0">
              <w:rPr>
                <w:rFonts w:ascii="Calibri" w:eastAsia="Times New Roman" w:hAnsi="Calibri" w:cs="Calibri"/>
                <w:noProof/>
                <w:color w:val="333333"/>
                <w:sz w:val="16"/>
                <w:szCs w:val="16"/>
              </w:rPr>
              <w:t>[100]</w:t>
            </w:r>
            <w:r>
              <w:rPr>
                <w:rFonts w:ascii="Calibri" w:eastAsia="Times New Roman" w:hAnsi="Calibri" w:cs="Calibri"/>
                <w:color w:val="333333"/>
                <w:sz w:val="16"/>
                <w:szCs w:val="16"/>
              </w:rPr>
              <w:fldChar w:fldCharType="end"/>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ADC214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2017 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9F514E1"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UCLA RA cohort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A2EDA38"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USA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276986B"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Observational </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AC2274C"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156 </w:t>
            </w:r>
          </w:p>
        </w:tc>
        <w:tc>
          <w:tcPr>
            <w:tcW w:w="7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56A7424"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FF64147"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52 </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532FD1D"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89 </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024FD7A" w14:textId="77777777" w:rsidR="00DB60E7" w:rsidRPr="001B576D" w:rsidRDefault="00DB60E7" w:rsidP="00814F6D">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HAQ </w:t>
            </w:r>
          </w:p>
        </w:tc>
      </w:tr>
    </w:tbl>
    <w:p w14:paraId="5E517CF8" w14:textId="77777777" w:rsidR="00C04C6B" w:rsidRPr="001B576D" w:rsidRDefault="00C04C6B" w:rsidP="00C04C6B">
      <w:pPr>
        <w:spacing w:after="0" w:line="240" w:lineRule="auto"/>
        <w:textAlignment w:val="baseline"/>
        <w:rPr>
          <w:rFonts w:ascii="Segoe UI" w:eastAsia="Times New Roman" w:hAnsi="Segoe UI" w:cs="Segoe UI"/>
          <w:sz w:val="18"/>
          <w:szCs w:val="18"/>
        </w:rPr>
      </w:pPr>
      <w:r w:rsidRPr="001B576D">
        <w:rPr>
          <w:rFonts w:ascii="Calibri" w:eastAsia="Times New Roman" w:hAnsi="Calibri" w:cs="Calibri"/>
          <w:sz w:val="24"/>
          <w:szCs w:val="24"/>
        </w:rPr>
        <w:t>  </w:t>
      </w:r>
    </w:p>
    <w:p w14:paraId="7734261C" w14:textId="5CB71905" w:rsidR="00C04C6B" w:rsidRPr="001B576D" w:rsidRDefault="00C04C6B" w:rsidP="00C04C6B">
      <w:pPr>
        <w:spacing w:after="0" w:line="240" w:lineRule="auto"/>
        <w:textAlignment w:val="baseline"/>
        <w:rPr>
          <w:rFonts w:ascii="Segoe UI" w:eastAsia="Times New Roman" w:hAnsi="Segoe UI" w:cs="Segoe UI"/>
          <w:sz w:val="18"/>
          <w:szCs w:val="18"/>
        </w:rPr>
      </w:pPr>
      <w:r w:rsidRPr="061E8E1D">
        <w:rPr>
          <w:rFonts w:ascii="Calibri" w:eastAsia="Times New Roman" w:hAnsi="Calibri" w:cs="Calibri"/>
          <w:sz w:val="24"/>
          <w:szCs w:val="24"/>
        </w:rPr>
        <w:t xml:space="preserve">Table </w:t>
      </w:r>
      <w:r w:rsidR="4ED7BED8" w:rsidRPr="061E8E1D">
        <w:rPr>
          <w:rFonts w:ascii="Calibri" w:eastAsia="Times New Roman" w:hAnsi="Calibri" w:cs="Calibri"/>
          <w:sz w:val="24"/>
          <w:szCs w:val="24"/>
        </w:rPr>
        <w:t>2</w:t>
      </w:r>
      <w:r w:rsidRPr="061E8E1D">
        <w:rPr>
          <w:rFonts w:ascii="Calibri" w:eastAsia="Times New Roman" w:hAnsi="Calibri" w:cs="Calibri"/>
          <w:sz w:val="24"/>
          <w:szCs w:val="24"/>
        </w:rPr>
        <w:t>. Vote counting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69"/>
        <w:gridCol w:w="1080"/>
        <w:gridCol w:w="1080"/>
        <w:gridCol w:w="1005"/>
        <w:gridCol w:w="1110"/>
      </w:tblGrid>
      <w:tr w:rsidR="00C04C6B" w:rsidRPr="001B576D" w14:paraId="6B977F0A" w14:textId="77777777" w:rsidTr="007A65F4">
        <w:trPr>
          <w:trHeight w:val="300"/>
        </w:trPr>
        <w:tc>
          <w:tcPr>
            <w:tcW w:w="5070" w:type="dxa"/>
            <w:tcBorders>
              <w:top w:val="single" w:sz="6" w:space="0" w:color="000000"/>
              <w:left w:val="single" w:sz="6" w:space="0" w:color="000000"/>
              <w:bottom w:val="single" w:sz="6" w:space="0" w:color="000000"/>
              <w:right w:val="single" w:sz="6" w:space="0" w:color="000000"/>
            </w:tcBorders>
            <w:shd w:val="clear" w:color="auto" w:fill="auto"/>
            <w:hideMark/>
          </w:tcPr>
          <w:p w14:paraId="26A6EF3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rPr>
              <w:t>Outcome</w:t>
            </w:r>
            <w:r w:rsidRPr="001B576D">
              <w:rPr>
                <w:rFonts w:ascii="Calibri" w:eastAsia="Times New Roman" w:hAnsi="Calibri" w:cs="Calibri"/>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6D33F229" w14:textId="77777777" w:rsidR="00C04C6B" w:rsidRPr="001B576D" w:rsidRDefault="00C04C6B" w:rsidP="007A65F4">
            <w:pPr>
              <w:spacing w:after="0" w:line="240" w:lineRule="auto"/>
              <w:jc w:val="center"/>
              <w:textAlignment w:val="baseline"/>
              <w:rPr>
                <w:rFonts w:ascii="Times New Roman" w:eastAsia="Times New Roman" w:hAnsi="Times New Roman" w:cs="Times New Roman"/>
                <w:sz w:val="24"/>
                <w:szCs w:val="24"/>
              </w:rPr>
            </w:pPr>
            <w:r w:rsidRPr="001B576D">
              <w:rPr>
                <w:rFonts w:ascii="Calibri" w:eastAsia="Times New Roman" w:hAnsi="Calibri" w:cs="Calibri"/>
                <w:b/>
                <w:bCs/>
              </w:rPr>
              <w:t>Number of studies</w:t>
            </w:r>
            <w:r w:rsidRPr="001B576D">
              <w:rPr>
                <w:rFonts w:ascii="Calibri" w:eastAsia="Times New Roman" w:hAnsi="Calibri" w:cs="Calibri"/>
              </w:rPr>
              <w:t> </w:t>
            </w:r>
          </w:p>
        </w:tc>
        <w:tc>
          <w:tcPr>
            <w:tcW w:w="319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7CDDFF49" w14:textId="77777777" w:rsidR="00C04C6B" w:rsidRPr="001B576D" w:rsidRDefault="00C04C6B" w:rsidP="007A65F4">
            <w:pPr>
              <w:spacing w:after="0" w:line="240" w:lineRule="auto"/>
              <w:jc w:val="center"/>
              <w:textAlignment w:val="baseline"/>
              <w:rPr>
                <w:rFonts w:ascii="Times New Roman" w:eastAsia="Times New Roman" w:hAnsi="Times New Roman" w:cs="Times New Roman"/>
                <w:sz w:val="24"/>
                <w:szCs w:val="24"/>
              </w:rPr>
            </w:pPr>
            <w:r w:rsidRPr="001B576D">
              <w:rPr>
                <w:rFonts w:ascii="Calibri" w:eastAsia="Times New Roman" w:hAnsi="Calibri" w:cs="Calibri"/>
                <w:b/>
                <w:bCs/>
              </w:rPr>
              <w:t>Vote count for direction of effect of affective distress on outcomes</w:t>
            </w:r>
            <w:r w:rsidRPr="001B576D">
              <w:rPr>
                <w:rFonts w:ascii="Calibri" w:eastAsia="Times New Roman" w:hAnsi="Calibri" w:cs="Calibri"/>
              </w:rPr>
              <w:t> </w:t>
            </w:r>
          </w:p>
        </w:tc>
      </w:tr>
      <w:tr w:rsidR="00C04C6B" w:rsidRPr="001B576D" w14:paraId="4809F6DE" w14:textId="77777777" w:rsidTr="007A65F4">
        <w:trPr>
          <w:trHeight w:val="300"/>
        </w:trPr>
        <w:tc>
          <w:tcPr>
            <w:tcW w:w="5070" w:type="dxa"/>
            <w:tcBorders>
              <w:top w:val="single" w:sz="6" w:space="0" w:color="000000"/>
              <w:left w:val="single" w:sz="6" w:space="0" w:color="000000"/>
              <w:bottom w:val="single" w:sz="6" w:space="0" w:color="000000"/>
              <w:right w:val="single" w:sz="6" w:space="0" w:color="000000"/>
            </w:tcBorders>
            <w:shd w:val="clear" w:color="auto" w:fill="auto"/>
            <w:hideMark/>
          </w:tcPr>
          <w:p w14:paraId="2DF195A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rPr>
              <w:t> </w:t>
            </w:r>
            <w:r w:rsidRPr="001B576D">
              <w:rPr>
                <w:rFonts w:ascii="Calibri" w:eastAsia="Times New Roman" w:hAnsi="Calibri" w:cs="Calibri"/>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806D44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rPr>
              <w:t> </w:t>
            </w:r>
            <w:r w:rsidRPr="001B576D">
              <w:rPr>
                <w:rFonts w:ascii="Calibri" w:eastAsia="Times New Roman" w:hAnsi="Calibri" w:cs="Calibri"/>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909780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Negative effect </w:t>
            </w:r>
          </w:p>
        </w:tc>
        <w:tc>
          <w:tcPr>
            <w:tcW w:w="1005" w:type="dxa"/>
            <w:tcBorders>
              <w:top w:val="nil"/>
              <w:left w:val="single" w:sz="6" w:space="0" w:color="000000"/>
              <w:bottom w:val="single" w:sz="6" w:space="0" w:color="000000"/>
              <w:right w:val="single" w:sz="6" w:space="0" w:color="000000"/>
            </w:tcBorders>
            <w:shd w:val="clear" w:color="auto" w:fill="auto"/>
            <w:hideMark/>
          </w:tcPr>
          <w:p w14:paraId="6B4DDFF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Positive effect </w:t>
            </w:r>
          </w:p>
        </w:tc>
        <w:tc>
          <w:tcPr>
            <w:tcW w:w="1080" w:type="dxa"/>
            <w:tcBorders>
              <w:top w:val="nil"/>
              <w:left w:val="single" w:sz="6" w:space="0" w:color="000000"/>
              <w:bottom w:val="single" w:sz="6" w:space="0" w:color="000000"/>
              <w:right w:val="single" w:sz="6" w:space="0" w:color="000000"/>
            </w:tcBorders>
            <w:shd w:val="clear" w:color="auto" w:fill="auto"/>
            <w:hideMark/>
          </w:tcPr>
          <w:p w14:paraId="259698A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No effect/ </w:t>
            </w:r>
          </w:p>
          <w:p w14:paraId="1D6BB4F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unclear </w:t>
            </w:r>
          </w:p>
        </w:tc>
      </w:tr>
      <w:tr w:rsidR="00C04C6B" w:rsidRPr="001B576D" w14:paraId="6D6237EB" w14:textId="77777777" w:rsidTr="007A65F4">
        <w:trPr>
          <w:trHeight w:val="300"/>
        </w:trPr>
        <w:tc>
          <w:tcPr>
            <w:tcW w:w="5070" w:type="dxa"/>
            <w:tcBorders>
              <w:top w:val="single" w:sz="6" w:space="0" w:color="000000"/>
              <w:left w:val="single" w:sz="6" w:space="0" w:color="000000"/>
              <w:bottom w:val="single" w:sz="6" w:space="0" w:color="000000"/>
              <w:right w:val="single" w:sz="6" w:space="0" w:color="000000"/>
            </w:tcBorders>
            <w:shd w:val="clear" w:color="auto" w:fill="auto"/>
            <w:hideMark/>
          </w:tcPr>
          <w:p w14:paraId="415070A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rPr>
              <w:t>Disease Activity</w:t>
            </w:r>
            <w:r w:rsidRPr="001B576D">
              <w:rPr>
                <w:rFonts w:ascii="Calibri" w:eastAsia="Times New Roman" w:hAnsi="Calibri" w:cs="Calibri"/>
              </w:rPr>
              <w:t> </w:t>
            </w:r>
          </w:p>
          <w:p w14:paraId="45FE6D8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Disease Activity Score (DAS), including remission </w:t>
            </w:r>
          </w:p>
          <w:p w14:paraId="4CBC394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Simple Disease Activity Index (SDAI) </w:t>
            </w:r>
          </w:p>
          <w:p w14:paraId="6BEED20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Clinical Disease Activity Index (CDAI)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43FB4F7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34 </w:t>
            </w:r>
          </w:p>
          <w:p w14:paraId="1B23B59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26 </w:t>
            </w:r>
          </w:p>
          <w:p w14:paraId="43FA07E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4  </w:t>
            </w:r>
          </w:p>
          <w:p w14:paraId="6A0EA6B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4 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4F1E032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  </w:t>
            </w:r>
          </w:p>
          <w:p w14:paraId="4D6CF9F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68BE550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p w14:paraId="68D1587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c>
          <w:tcPr>
            <w:tcW w:w="1005" w:type="dxa"/>
            <w:tcBorders>
              <w:top w:val="single" w:sz="6" w:space="0" w:color="000000"/>
              <w:left w:val="single" w:sz="6" w:space="0" w:color="000000"/>
              <w:bottom w:val="single" w:sz="6" w:space="0" w:color="000000"/>
              <w:right w:val="single" w:sz="6" w:space="0" w:color="000000"/>
            </w:tcBorders>
            <w:shd w:val="clear" w:color="auto" w:fill="auto"/>
            <w:hideMark/>
          </w:tcPr>
          <w:p w14:paraId="423AD1E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  </w:t>
            </w:r>
          </w:p>
          <w:p w14:paraId="65933F2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12 </w:t>
            </w:r>
          </w:p>
          <w:p w14:paraId="5CEA391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3 </w:t>
            </w:r>
          </w:p>
          <w:p w14:paraId="209C3E1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3 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5067D9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  </w:t>
            </w:r>
          </w:p>
          <w:p w14:paraId="050D4BD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13 </w:t>
            </w:r>
          </w:p>
          <w:p w14:paraId="6A23819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6F2EB1A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tc>
      </w:tr>
      <w:tr w:rsidR="00C04C6B" w:rsidRPr="001B576D" w14:paraId="3B48C42A" w14:textId="77777777" w:rsidTr="007A65F4">
        <w:trPr>
          <w:trHeight w:val="300"/>
        </w:trPr>
        <w:tc>
          <w:tcPr>
            <w:tcW w:w="5070" w:type="dxa"/>
            <w:tcBorders>
              <w:top w:val="single" w:sz="6" w:space="0" w:color="000000"/>
              <w:left w:val="single" w:sz="6" w:space="0" w:color="000000"/>
              <w:bottom w:val="single" w:sz="6" w:space="0" w:color="000000"/>
              <w:right w:val="single" w:sz="6" w:space="0" w:color="000000"/>
            </w:tcBorders>
            <w:shd w:val="clear" w:color="auto" w:fill="auto"/>
            <w:hideMark/>
          </w:tcPr>
          <w:p w14:paraId="6C0833E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rPr>
              <w:t>Disability</w:t>
            </w:r>
            <w:r w:rsidRPr="001B576D">
              <w:rPr>
                <w:rFonts w:ascii="Calibri" w:eastAsia="Times New Roman" w:hAnsi="Calibri" w:cs="Calibri"/>
              </w:rPr>
              <w:t> </w:t>
            </w:r>
          </w:p>
          <w:p w14:paraId="11BCC0D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Health Assessment Questionnaire (HAQ)  </w:t>
            </w:r>
          </w:p>
          <w:p w14:paraId="113E1B4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Arthritis Impact Measurement Scale (AIMS) </w:t>
            </w:r>
          </w:p>
          <w:p w14:paraId="16A8FDE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Activities of Daily Living (ADL) </w:t>
            </w:r>
          </w:p>
          <w:p w14:paraId="6C209C7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Groningen Activity Restriction Scale (GARS) </w:t>
            </w:r>
          </w:p>
          <w:p w14:paraId="3A1E96F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Modified Health Assessment Questionnaire (MHAQ) </w:t>
            </w:r>
          </w:p>
          <w:p w14:paraId="429305A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Short-term disability days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D4CDC2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23 </w:t>
            </w:r>
          </w:p>
          <w:p w14:paraId="28A6305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16 </w:t>
            </w:r>
          </w:p>
          <w:p w14:paraId="0A9841B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2 </w:t>
            </w:r>
          </w:p>
          <w:p w14:paraId="0E1E868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441B38C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635E781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2 </w:t>
            </w:r>
          </w:p>
          <w:p w14:paraId="3A3315D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54D9345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BB8DA2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  </w:t>
            </w:r>
          </w:p>
          <w:p w14:paraId="6D95ABA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p w14:paraId="21E753A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p w14:paraId="4280FEA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p w14:paraId="69B6A72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p w14:paraId="1F379CD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p w14:paraId="3388F93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c>
          <w:tcPr>
            <w:tcW w:w="1005" w:type="dxa"/>
            <w:tcBorders>
              <w:top w:val="single" w:sz="6" w:space="0" w:color="000000"/>
              <w:left w:val="single" w:sz="6" w:space="0" w:color="000000"/>
              <w:bottom w:val="single" w:sz="6" w:space="0" w:color="000000"/>
              <w:right w:val="single" w:sz="6" w:space="0" w:color="000000"/>
            </w:tcBorders>
            <w:shd w:val="clear" w:color="auto" w:fill="auto"/>
            <w:hideMark/>
          </w:tcPr>
          <w:p w14:paraId="28CD784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  </w:t>
            </w:r>
          </w:p>
          <w:p w14:paraId="6D8C896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7 </w:t>
            </w:r>
          </w:p>
          <w:p w14:paraId="437FD1B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199D343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p w14:paraId="3EE920E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p w14:paraId="10A058F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72810EA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5C1B4B1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  </w:t>
            </w:r>
          </w:p>
          <w:p w14:paraId="1E1BD2E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9 </w:t>
            </w:r>
          </w:p>
          <w:p w14:paraId="2C758CF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34AE361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1A5E50C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2F4D80C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4B529C7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r>
      <w:tr w:rsidR="00C04C6B" w:rsidRPr="001B576D" w14:paraId="5DEF850C" w14:textId="77777777" w:rsidTr="007A65F4">
        <w:trPr>
          <w:trHeight w:val="300"/>
        </w:trPr>
        <w:tc>
          <w:tcPr>
            <w:tcW w:w="5070" w:type="dxa"/>
            <w:tcBorders>
              <w:top w:val="single" w:sz="6" w:space="0" w:color="000000"/>
              <w:left w:val="single" w:sz="6" w:space="0" w:color="000000"/>
              <w:bottom w:val="single" w:sz="6" w:space="0" w:color="000000"/>
              <w:right w:val="single" w:sz="6" w:space="0" w:color="000000"/>
            </w:tcBorders>
            <w:shd w:val="clear" w:color="auto" w:fill="auto"/>
            <w:hideMark/>
          </w:tcPr>
          <w:p w14:paraId="719A57A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rPr>
              <w:t>Pain</w:t>
            </w:r>
            <w:r w:rsidRPr="001B576D">
              <w:rPr>
                <w:rFonts w:ascii="Calibri" w:eastAsia="Times New Roman" w:hAnsi="Calibri" w:cs="Calibri"/>
              </w:rPr>
              <w:t> </w:t>
            </w:r>
          </w:p>
          <w:p w14:paraId="4922483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Visual Analog Scale (VAS) </w:t>
            </w:r>
          </w:p>
          <w:p w14:paraId="43391AA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Arthritis Impact Measurement Scales (AIMS) </w:t>
            </w:r>
          </w:p>
          <w:p w14:paraId="00C06D1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McGill Pain Questionnaire (MPQ)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712688F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12 </w:t>
            </w:r>
          </w:p>
          <w:p w14:paraId="6E62262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9 </w:t>
            </w:r>
          </w:p>
          <w:p w14:paraId="465DABA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128F4CF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2 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E892A2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  </w:t>
            </w:r>
          </w:p>
          <w:p w14:paraId="0F23D6E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p w14:paraId="6CF7BAC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p w14:paraId="76C6195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c>
          <w:tcPr>
            <w:tcW w:w="1005" w:type="dxa"/>
            <w:tcBorders>
              <w:top w:val="single" w:sz="6" w:space="0" w:color="000000"/>
              <w:left w:val="single" w:sz="6" w:space="0" w:color="000000"/>
              <w:bottom w:val="single" w:sz="6" w:space="0" w:color="000000"/>
              <w:right w:val="single" w:sz="6" w:space="0" w:color="000000"/>
            </w:tcBorders>
            <w:shd w:val="clear" w:color="auto" w:fill="auto"/>
            <w:hideMark/>
          </w:tcPr>
          <w:p w14:paraId="28C835B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  </w:t>
            </w:r>
          </w:p>
          <w:p w14:paraId="23C09B9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3 </w:t>
            </w:r>
          </w:p>
          <w:p w14:paraId="2F1DFD5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2C8C0A3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371524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  </w:t>
            </w:r>
          </w:p>
          <w:p w14:paraId="7D6F17C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6 </w:t>
            </w:r>
          </w:p>
          <w:p w14:paraId="29F03C4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p w14:paraId="0044795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tc>
      </w:tr>
      <w:tr w:rsidR="00C04C6B" w:rsidRPr="001B576D" w14:paraId="4D093013" w14:textId="77777777" w:rsidTr="007A65F4">
        <w:trPr>
          <w:trHeight w:val="300"/>
        </w:trPr>
        <w:tc>
          <w:tcPr>
            <w:tcW w:w="5070" w:type="dxa"/>
            <w:tcBorders>
              <w:top w:val="single" w:sz="6" w:space="0" w:color="000000"/>
              <w:left w:val="single" w:sz="6" w:space="0" w:color="000000"/>
              <w:bottom w:val="single" w:sz="6" w:space="0" w:color="000000"/>
              <w:right w:val="single" w:sz="6" w:space="0" w:color="000000"/>
            </w:tcBorders>
            <w:shd w:val="clear" w:color="auto" w:fill="auto"/>
            <w:hideMark/>
          </w:tcPr>
          <w:p w14:paraId="48D00F0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rPr>
              <w:t>C-reactive protein (CRP)</w:t>
            </w:r>
            <w:r w:rsidRPr="001B576D">
              <w:rPr>
                <w:rFonts w:ascii="Calibri" w:eastAsia="Times New Roman" w:hAnsi="Calibri" w:cs="Calibri"/>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70DD567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3 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764ABB5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c>
          <w:tcPr>
            <w:tcW w:w="1005" w:type="dxa"/>
            <w:tcBorders>
              <w:top w:val="single" w:sz="6" w:space="0" w:color="000000"/>
              <w:left w:val="single" w:sz="6" w:space="0" w:color="000000"/>
              <w:bottom w:val="single" w:sz="6" w:space="0" w:color="000000"/>
              <w:right w:val="single" w:sz="6" w:space="0" w:color="000000"/>
            </w:tcBorders>
            <w:shd w:val="clear" w:color="auto" w:fill="auto"/>
            <w:hideMark/>
          </w:tcPr>
          <w:p w14:paraId="2C00F32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B7D328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3 </w:t>
            </w:r>
          </w:p>
        </w:tc>
      </w:tr>
      <w:tr w:rsidR="00C04C6B" w:rsidRPr="001B576D" w14:paraId="4E0EFD83" w14:textId="77777777" w:rsidTr="007A65F4">
        <w:trPr>
          <w:trHeight w:val="405"/>
        </w:trPr>
        <w:tc>
          <w:tcPr>
            <w:tcW w:w="5070" w:type="dxa"/>
            <w:tcBorders>
              <w:top w:val="single" w:sz="6" w:space="0" w:color="000000"/>
              <w:left w:val="single" w:sz="6" w:space="0" w:color="000000"/>
              <w:bottom w:val="single" w:sz="6" w:space="0" w:color="000000"/>
              <w:right w:val="single" w:sz="6" w:space="0" w:color="000000"/>
            </w:tcBorders>
            <w:shd w:val="clear" w:color="auto" w:fill="auto"/>
            <w:hideMark/>
          </w:tcPr>
          <w:p w14:paraId="7486357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rPr>
              <w:t>Erythrocyte Sedimentation Rate (ESR)</w:t>
            </w:r>
            <w:r w:rsidRPr="001B576D">
              <w:rPr>
                <w:rFonts w:ascii="Calibri" w:eastAsia="Times New Roman" w:hAnsi="Calibri" w:cs="Calibri"/>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5BBE445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8 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D5182B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c>
          <w:tcPr>
            <w:tcW w:w="1005" w:type="dxa"/>
            <w:tcBorders>
              <w:top w:val="single" w:sz="6" w:space="0" w:color="000000"/>
              <w:left w:val="single" w:sz="6" w:space="0" w:color="000000"/>
              <w:bottom w:val="single" w:sz="6" w:space="0" w:color="000000"/>
              <w:right w:val="single" w:sz="6" w:space="0" w:color="000000"/>
            </w:tcBorders>
            <w:shd w:val="clear" w:color="auto" w:fill="auto"/>
            <w:hideMark/>
          </w:tcPr>
          <w:p w14:paraId="2B10AC0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9A3701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8 </w:t>
            </w:r>
          </w:p>
        </w:tc>
      </w:tr>
      <w:tr w:rsidR="00C04C6B" w:rsidRPr="001B576D" w14:paraId="75C1FC20" w14:textId="77777777" w:rsidTr="007A65F4">
        <w:trPr>
          <w:trHeight w:val="300"/>
        </w:trPr>
        <w:tc>
          <w:tcPr>
            <w:tcW w:w="5070" w:type="dxa"/>
            <w:tcBorders>
              <w:top w:val="single" w:sz="6" w:space="0" w:color="000000"/>
              <w:left w:val="single" w:sz="6" w:space="0" w:color="000000"/>
              <w:bottom w:val="single" w:sz="6" w:space="0" w:color="000000"/>
              <w:right w:val="single" w:sz="6" w:space="0" w:color="000000"/>
            </w:tcBorders>
            <w:shd w:val="clear" w:color="auto" w:fill="auto"/>
            <w:hideMark/>
          </w:tcPr>
          <w:p w14:paraId="3020736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rPr>
              <w:t>Tender Joint Count (TJC)</w:t>
            </w:r>
            <w:r w:rsidRPr="001B576D">
              <w:rPr>
                <w:rFonts w:ascii="Calibri" w:eastAsia="Times New Roman" w:hAnsi="Calibri" w:cs="Calibri"/>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67F887C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7 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447D576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c>
          <w:tcPr>
            <w:tcW w:w="1005" w:type="dxa"/>
            <w:tcBorders>
              <w:top w:val="single" w:sz="6" w:space="0" w:color="000000"/>
              <w:left w:val="single" w:sz="6" w:space="0" w:color="000000"/>
              <w:bottom w:val="single" w:sz="6" w:space="0" w:color="000000"/>
              <w:right w:val="single" w:sz="6" w:space="0" w:color="000000"/>
            </w:tcBorders>
            <w:shd w:val="clear" w:color="auto" w:fill="auto"/>
            <w:hideMark/>
          </w:tcPr>
          <w:p w14:paraId="178DCA4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5 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596D04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2 </w:t>
            </w:r>
          </w:p>
        </w:tc>
      </w:tr>
      <w:tr w:rsidR="00C04C6B" w:rsidRPr="001B576D" w14:paraId="118D0013" w14:textId="77777777" w:rsidTr="007A65F4">
        <w:trPr>
          <w:trHeight w:val="300"/>
        </w:trPr>
        <w:tc>
          <w:tcPr>
            <w:tcW w:w="5070" w:type="dxa"/>
            <w:tcBorders>
              <w:top w:val="single" w:sz="6" w:space="0" w:color="000000"/>
              <w:left w:val="single" w:sz="6" w:space="0" w:color="000000"/>
              <w:bottom w:val="single" w:sz="6" w:space="0" w:color="000000"/>
              <w:right w:val="single" w:sz="6" w:space="0" w:color="000000"/>
            </w:tcBorders>
            <w:shd w:val="clear" w:color="auto" w:fill="auto"/>
            <w:hideMark/>
          </w:tcPr>
          <w:p w14:paraId="2DF255E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rPr>
              <w:t xml:space="preserve">Swollen </w:t>
            </w:r>
            <w:r w:rsidRPr="001B576D">
              <w:rPr>
                <w:rFonts w:ascii="Calibri" w:eastAsia="Times New Roman" w:hAnsi="Calibri" w:cs="Calibri"/>
              </w:rPr>
              <w:t>Joint Count (</w:t>
            </w:r>
            <w:r w:rsidRPr="001B576D">
              <w:rPr>
                <w:rFonts w:ascii="Calibri" w:eastAsia="Times New Roman" w:hAnsi="Calibri" w:cs="Calibri"/>
                <w:b/>
                <w:bCs/>
              </w:rPr>
              <w:t>SJC)</w:t>
            </w:r>
            <w:r w:rsidRPr="001B576D">
              <w:rPr>
                <w:rFonts w:ascii="Calibri" w:eastAsia="Times New Roman" w:hAnsi="Calibri" w:cs="Calibri"/>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44D5752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7 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4BFB250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c>
          <w:tcPr>
            <w:tcW w:w="1005" w:type="dxa"/>
            <w:tcBorders>
              <w:top w:val="single" w:sz="6" w:space="0" w:color="000000"/>
              <w:left w:val="single" w:sz="6" w:space="0" w:color="000000"/>
              <w:bottom w:val="single" w:sz="6" w:space="0" w:color="000000"/>
              <w:right w:val="single" w:sz="6" w:space="0" w:color="000000"/>
            </w:tcBorders>
            <w:shd w:val="clear" w:color="auto" w:fill="auto"/>
            <w:hideMark/>
          </w:tcPr>
          <w:p w14:paraId="7CC8D75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5 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FFABF6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2 </w:t>
            </w:r>
          </w:p>
        </w:tc>
      </w:tr>
      <w:tr w:rsidR="00C04C6B" w:rsidRPr="001B576D" w14:paraId="3CA397C0" w14:textId="77777777" w:rsidTr="007A65F4">
        <w:trPr>
          <w:trHeight w:val="300"/>
        </w:trPr>
        <w:tc>
          <w:tcPr>
            <w:tcW w:w="5070" w:type="dxa"/>
            <w:tcBorders>
              <w:top w:val="single" w:sz="6" w:space="0" w:color="000000"/>
              <w:left w:val="single" w:sz="6" w:space="0" w:color="000000"/>
              <w:bottom w:val="single" w:sz="6" w:space="0" w:color="000000"/>
              <w:right w:val="single" w:sz="6" w:space="0" w:color="000000"/>
            </w:tcBorders>
            <w:shd w:val="clear" w:color="auto" w:fill="auto"/>
            <w:hideMark/>
          </w:tcPr>
          <w:p w14:paraId="69489AD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rPr>
              <w:t>Physician Global Assessment (EGA)</w:t>
            </w:r>
            <w:r w:rsidRPr="001B576D">
              <w:rPr>
                <w:rFonts w:ascii="Calibri" w:eastAsia="Times New Roman" w:hAnsi="Calibri" w:cs="Calibri"/>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168FDF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4 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53E336E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c>
          <w:tcPr>
            <w:tcW w:w="1005" w:type="dxa"/>
            <w:tcBorders>
              <w:top w:val="single" w:sz="6" w:space="0" w:color="000000"/>
              <w:left w:val="single" w:sz="6" w:space="0" w:color="000000"/>
              <w:bottom w:val="single" w:sz="6" w:space="0" w:color="000000"/>
              <w:right w:val="single" w:sz="6" w:space="0" w:color="000000"/>
            </w:tcBorders>
            <w:shd w:val="clear" w:color="auto" w:fill="auto"/>
            <w:hideMark/>
          </w:tcPr>
          <w:p w14:paraId="4EBF38A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3 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8EC4F1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tc>
      </w:tr>
      <w:tr w:rsidR="00C04C6B" w:rsidRPr="001B576D" w14:paraId="58651ECE" w14:textId="77777777" w:rsidTr="007A65F4">
        <w:trPr>
          <w:trHeight w:val="300"/>
        </w:trPr>
        <w:tc>
          <w:tcPr>
            <w:tcW w:w="5070" w:type="dxa"/>
            <w:tcBorders>
              <w:top w:val="single" w:sz="6" w:space="0" w:color="000000"/>
              <w:left w:val="single" w:sz="6" w:space="0" w:color="000000"/>
              <w:bottom w:val="single" w:sz="6" w:space="0" w:color="000000"/>
              <w:right w:val="single" w:sz="6" w:space="0" w:color="000000"/>
            </w:tcBorders>
            <w:shd w:val="clear" w:color="auto" w:fill="auto"/>
            <w:hideMark/>
          </w:tcPr>
          <w:p w14:paraId="6B016B8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rPr>
              <w:t>Patient Global Assessment (PGA)</w:t>
            </w:r>
            <w:r w:rsidRPr="001B576D">
              <w:rPr>
                <w:rFonts w:ascii="Calibri" w:eastAsia="Times New Roman" w:hAnsi="Calibri" w:cs="Calibri"/>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086FE8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3 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45DF247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c>
          <w:tcPr>
            <w:tcW w:w="1005" w:type="dxa"/>
            <w:tcBorders>
              <w:top w:val="single" w:sz="6" w:space="0" w:color="000000"/>
              <w:left w:val="single" w:sz="6" w:space="0" w:color="000000"/>
              <w:bottom w:val="single" w:sz="6" w:space="0" w:color="000000"/>
              <w:right w:val="single" w:sz="6" w:space="0" w:color="000000"/>
            </w:tcBorders>
            <w:shd w:val="clear" w:color="auto" w:fill="auto"/>
            <w:hideMark/>
          </w:tcPr>
          <w:p w14:paraId="1C877FA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2 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53975B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r>
      <w:tr w:rsidR="00C04C6B" w:rsidRPr="001B576D" w14:paraId="060C7FF8" w14:textId="77777777" w:rsidTr="007A65F4">
        <w:trPr>
          <w:trHeight w:val="300"/>
        </w:trPr>
        <w:tc>
          <w:tcPr>
            <w:tcW w:w="5070" w:type="dxa"/>
            <w:tcBorders>
              <w:top w:val="single" w:sz="6" w:space="0" w:color="000000"/>
              <w:left w:val="single" w:sz="6" w:space="0" w:color="000000"/>
              <w:bottom w:val="single" w:sz="6" w:space="0" w:color="000000"/>
              <w:right w:val="single" w:sz="6" w:space="0" w:color="000000"/>
            </w:tcBorders>
            <w:shd w:val="clear" w:color="auto" w:fill="auto"/>
            <w:hideMark/>
          </w:tcPr>
          <w:p w14:paraId="3A5BA95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rPr>
              <w:t>Work disability</w:t>
            </w:r>
            <w:r w:rsidRPr="001B576D">
              <w:rPr>
                <w:rFonts w:ascii="Calibri" w:eastAsia="Times New Roman" w:hAnsi="Calibri" w:cs="Calibri"/>
              </w:rPr>
              <w:t> </w:t>
            </w:r>
          </w:p>
          <w:p w14:paraId="697B522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Presenteeism (WPS-RA) </w:t>
            </w:r>
          </w:p>
          <w:p w14:paraId="3B0B982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Sick leave </w:t>
            </w:r>
          </w:p>
          <w:p w14:paraId="46D9F9C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Work productivity (WPAI) </w:t>
            </w:r>
          </w:p>
          <w:p w14:paraId="334FEB5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Left Work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C0403E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4 </w:t>
            </w:r>
          </w:p>
          <w:p w14:paraId="6115AD1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2 </w:t>
            </w:r>
          </w:p>
          <w:p w14:paraId="179D7FA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2 </w:t>
            </w:r>
          </w:p>
          <w:p w14:paraId="1037FE8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4F2BF2A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6408F5A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  </w:t>
            </w:r>
          </w:p>
          <w:p w14:paraId="46C5646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1DA9C7F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p w14:paraId="156934F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0020856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c>
          <w:tcPr>
            <w:tcW w:w="1005" w:type="dxa"/>
            <w:tcBorders>
              <w:top w:val="single" w:sz="6" w:space="0" w:color="000000"/>
              <w:left w:val="single" w:sz="6" w:space="0" w:color="000000"/>
              <w:bottom w:val="single" w:sz="6" w:space="0" w:color="000000"/>
              <w:right w:val="single" w:sz="6" w:space="0" w:color="000000"/>
            </w:tcBorders>
            <w:shd w:val="clear" w:color="auto" w:fill="auto"/>
            <w:hideMark/>
          </w:tcPr>
          <w:p w14:paraId="7AA9717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  </w:t>
            </w:r>
          </w:p>
          <w:p w14:paraId="5172C7E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p w14:paraId="3B6C0A1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2 </w:t>
            </w:r>
          </w:p>
          <w:p w14:paraId="3ACBE30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p w14:paraId="3AD1791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11FDA6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  </w:t>
            </w:r>
          </w:p>
          <w:p w14:paraId="0E0B445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614A898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p w14:paraId="038B403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p w14:paraId="102C141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tc>
      </w:tr>
      <w:tr w:rsidR="00C04C6B" w:rsidRPr="001B576D" w14:paraId="6D78AB63" w14:textId="77777777" w:rsidTr="007A65F4">
        <w:trPr>
          <w:trHeight w:val="300"/>
        </w:trPr>
        <w:tc>
          <w:tcPr>
            <w:tcW w:w="5070" w:type="dxa"/>
            <w:tcBorders>
              <w:top w:val="single" w:sz="6" w:space="0" w:color="000000"/>
              <w:left w:val="single" w:sz="6" w:space="0" w:color="000000"/>
              <w:bottom w:val="single" w:sz="6" w:space="0" w:color="000000"/>
              <w:right w:val="single" w:sz="6" w:space="0" w:color="000000"/>
            </w:tcBorders>
            <w:shd w:val="clear" w:color="auto" w:fill="auto"/>
            <w:hideMark/>
          </w:tcPr>
          <w:p w14:paraId="289601F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rPr>
              <w:t>Mortality</w:t>
            </w:r>
            <w:r w:rsidRPr="001B576D">
              <w:rPr>
                <w:rFonts w:ascii="Calibri" w:eastAsia="Times New Roman" w:hAnsi="Calibri" w:cs="Calibri"/>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DD7504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4 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682EA56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c>
          <w:tcPr>
            <w:tcW w:w="1005" w:type="dxa"/>
            <w:tcBorders>
              <w:top w:val="single" w:sz="6" w:space="0" w:color="000000"/>
              <w:left w:val="single" w:sz="6" w:space="0" w:color="000000"/>
              <w:bottom w:val="single" w:sz="6" w:space="0" w:color="000000"/>
              <w:right w:val="single" w:sz="6" w:space="0" w:color="000000"/>
            </w:tcBorders>
            <w:shd w:val="clear" w:color="auto" w:fill="auto"/>
            <w:hideMark/>
          </w:tcPr>
          <w:p w14:paraId="608D424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4 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6357FE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r>
      <w:tr w:rsidR="00C04C6B" w:rsidRPr="001B576D" w14:paraId="1520677C" w14:textId="77777777" w:rsidTr="007A65F4">
        <w:trPr>
          <w:trHeight w:val="300"/>
        </w:trPr>
        <w:tc>
          <w:tcPr>
            <w:tcW w:w="5070" w:type="dxa"/>
            <w:tcBorders>
              <w:top w:val="single" w:sz="6" w:space="0" w:color="000000"/>
              <w:left w:val="single" w:sz="6" w:space="0" w:color="000000"/>
              <w:bottom w:val="single" w:sz="6" w:space="0" w:color="000000"/>
              <w:right w:val="single" w:sz="6" w:space="0" w:color="000000"/>
            </w:tcBorders>
            <w:shd w:val="clear" w:color="auto" w:fill="auto"/>
            <w:hideMark/>
          </w:tcPr>
          <w:p w14:paraId="4953F97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rPr>
              <w:t>Stiffness</w:t>
            </w:r>
            <w:r w:rsidRPr="001B576D">
              <w:rPr>
                <w:rFonts w:ascii="Calibri" w:eastAsia="Times New Roman" w:hAnsi="Calibri" w:cs="Calibri"/>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5951CE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4835E6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c>
          <w:tcPr>
            <w:tcW w:w="1005" w:type="dxa"/>
            <w:tcBorders>
              <w:top w:val="single" w:sz="6" w:space="0" w:color="000000"/>
              <w:left w:val="single" w:sz="6" w:space="0" w:color="000000"/>
              <w:bottom w:val="single" w:sz="6" w:space="0" w:color="000000"/>
              <w:right w:val="single" w:sz="6" w:space="0" w:color="000000"/>
            </w:tcBorders>
            <w:shd w:val="clear" w:color="auto" w:fill="auto"/>
            <w:hideMark/>
          </w:tcPr>
          <w:p w14:paraId="2EC9790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233B7D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tc>
      </w:tr>
      <w:tr w:rsidR="00C04C6B" w:rsidRPr="001B576D" w14:paraId="2A5B035D" w14:textId="77777777" w:rsidTr="007A65F4">
        <w:trPr>
          <w:trHeight w:val="300"/>
        </w:trPr>
        <w:tc>
          <w:tcPr>
            <w:tcW w:w="5070" w:type="dxa"/>
            <w:tcBorders>
              <w:top w:val="single" w:sz="6" w:space="0" w:color="000000"/>
              <w:left w:val="single" w:sz="6" w:space="0" w:color="000000"/>
              <w:bottom w:val="single" w:sz="6" w:space="0" w:color="000000"/>
              <w:right w:val="single" w:sz="6" w:space="0" w:color="000000"/>
            </w:tcBorders>
            <w:shd w:val="clear" w:color="auto" w:fill="auto"/>
            <w:hideMark/>
          </w:tcPr>
          <w:p w14:paraId="172EB24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rPr>
              <w:t>Fatigue</w:t>
            </w:r>
            <w:r w:rsidRPr="001B576D">
              <w:rPr>
                <w:rFonts w:ascii="Calibri" w:eastAsia="Times New Roman" w:hAnsi="Calibri" w:cs="Calibri"/>
              </w:rPr>
              <w:t> </w:t>
            </w:r>
          </w:p>
          <w:p w14:paraId="7579268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Visual Analog Scale (VAS) </w:t>
            </w:r>
          </w:p>
          <w:p w14:paraId="43C8DF3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Functional Assessment of Chronic Illness Therapy (FACIT-F)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C29164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4 </w:t>
            </w:r>
          </w:p>
          <w:p w14:paraId="1F4889F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3 </w:t>
            </w:r>
          </w:p>
          <w:p w14:paraId="3CE0CED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76B3A3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  </w:t>
            </w:r>
          </w:p>
          <w:p w14:paraId="07A40C7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p w14:paraId="3B801B6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c>
          <w:tcPr>
            <w:tcW w:w="1005" w:type="dxa"/>
            <w:tcBorders>
              <w:top w:val="single" w:sz="6" w:space="0" w:color="000000"/>
              <w:left w:val="single" w:sz="6" w:space="0" w:color="000000"/>
              <w:bottom w:val="single" w:sz="6" w:space="0" w:color="000000"/>
              <w:right w:val="single" w:sz="6" w:space="0" w:color="000000"/>
            </w:tcBorders>
            <w:shd w:val="clear" w:color="auto" w:fill="auto"/>
            <w:hideMark/>
          </w:tcPr>
          <w:p w14:paraId="3CA94D1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  </w:t>
            </w:r>
          </w:p>
          <w:p w14:paraId="4600189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p w14:paraId="0CBB540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1 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992A8B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  </w:t>
            </w:r>
          </w:p>
          <w:p w14:paraId="5A5E719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2 </w:t>
            </w:r>
          </w:p>
          <w:p w14:paraId="74382E7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rPr>
              <w:t>0 </w:t>
            </w:r>
          </w:p>
        </w:tc>
      </w:tr>
    </w:tbl>
    <w:p w14:paraId="009CDDEE" w14:textId="77777777" w:rsidR="00C04C6B" w:rsidRPr="001B576D" w:rsidRDefault="00C04C6B" w:rsidP="00C04C6B">
      <w:pPr>
        <w:spacing w:after="0" w:line="240" w:lineRule="auto"/>
        <w:textAlignment w:val="baseline"/>
        <w:rPr>
          <w:rFonts w:ascii="Segoe UI" w:eastAsia="Times New Roman" w:hAnsi="Segoe UI" w:cs="Segoe UI"/>
          <w:sz w:val="18"/>
          <w:szCs w:val="18"/>
        </w:rPr>
      </w:pPr>
      <w:r w:rsidRPr="001B576D">
        <w:rPr>
          <w:rFonts w:ascii="Calibri" w:eastAsia="Times New Roman" w:hAnsi="Calibri" w:cs="Calibri"/>
          <w:sz w:val="28"/>
          <w:szCs w:val="28"/>
        </w:rPr>
        <w:t>  </w:t>
      </w:r>
    </w:p>
    <w:p w14:paraId="1CFAB074" w14:textId="77777777" w:rsidR="00C04C6B" w:rsidRDefault="00C04C6B" w:rsidP="00C04C6B">
      <w:pPr>
        <w:spacing w:after="0" w:line="240" w:lineRule="auto"/>
        <w:textAlignment w:val="baseline"/>
        <w:rPr>
          <w:rFonts w:ascii="Calibri" w:eastAsia="Times New Roman" w:hAnsi="Calibri" w:cs="Calibri"/>
          <w:sz w:val="28"/>
          <w:szCs w:val="28"/>
        </w:rPr>
      </w:pPr>
      <w:r w:rsidRPr="001B576D">
        <w:rPr>
          <w:rFonts w:ascii="Calibri" w:eastAsia="Times New Roman" w:hAnsi="Calibri" w:cs="Calibri"/>
          <w:sz w:val="28"/>
          <w:szCs w:val="28"/>
        </w:rPr>
        <w:t>  </w:t>
      </w:r>
    </w:p>
    <w:p w14:paraId="674FB79F" w14:textId="77777777" w:rsidR="00C04C6B" w:rsidRDefault="00C04C6B" w:rsidP="00C04C6B">
      <w:pPr>
        <w:spacing w:after="0" w:line="240" w:lineRule="auto"/>
        <w:textAlignment w:val="baseline"/>
        <w:rPr>
          <w:rFonts w:ascii="Calibri" w:eastAsia="Times New Roman" w:hAnsi="Calibri" w:cs="Calibri"/>
          <w:sz w:val="28"/>
          <w:szCs w:val="28"/>
        </w:rPr>
      </w:pPr>
    </w:p>
    <w:p w14:paraId="6CEFC9EC" w14:textId="77777777" w:rsidR="00C04C6B" w:rsidRDefault="00C04C6B" w:rsidP="00C04C6B">
      <w:pPr>
        <w:spacing w:after="0" w:line="240" w:lineRule="auto"/>
        <w:textAlignment w:val="baseline"/>
        <w:rPr>
          <w:rFonts w:ascii="Calibri" w:eastAsia="Times New Roman" w:hAnsi="Calibri" w:cs="Calibri"/>
          <w:sz w:val="28"/>
          <w:szCs w:val="28"/>
        </w:rPr>
      </w:pPr>
    </w:p>
    <w:p w14:paraId="2C6ECEA6" w14:textId="77777777" w:rsidR="00C04C6B" w:rsidRPr="001B576D" w:rsidRDefault="00C04C6B" w:rsidP="00C04C6B">
      <w:pPr>
        <w:spacing w:after="0" w:line="240" w:lineRule="auto"/>
        <w:textAlignment w:val="baseline"/>
        <w:rPr>
          <w:rFonts w:ascii="Segoe UI" w:eastAsia="Times New Roman" w:hAnsi="Segoe UI" w:cs="Segoe UI"/>
          <w:sz w:val="18"/>
          <w:szCs w:val="18"/>
        </w:rPr>
      </w:pPr>
    </w:p>
    <w:p w14:paraId="5850266F" w14:textId="3C617963" w:rsidR="00C04C6B" w:rsidRPr="001B576D" w:rsidRDefault="00C04C6B" w:rsidP="00C04C6B">
      <w:pPr>
        <w:spacing w:after="0" w:line="240" w:lineRule="auto"/>
        <w:textAlignment w:val="baseline"/>
        <w:rPr>
          <w:rFonts w:ascii="Segoe UI" w:eastAsia="Times New Roman" w:hAnsi="Segoe UI" w:cs="Segoe UI"/>
          <w:sz w:val="18"/>
          <w:szCs w:val="18"/>
        </w:rPr>
      </w:pPr>
      <w:r w:rsidRPr="061E8E1D">
        <w:rPr>
          <w:rFonts w:ascii="Calibri" w:eastAsia="Times New Roman" w:hAnsi="Calibri" w:cs="Calibri"/>
          <w:sz w:val="24"/>
          <w:szCs w:val="24"/>
        </w:rPr>
        <w:t xml:space="preserve">Table </w:t>
      </w:r>
      <w:r w:rsidR="15F6CD3A" w:rsidRPr="061E8E1D">
        <w:rPr>
          <w:rFonts w:ascii="Calibri" w:eastAsia="Times New Roman" w:hAnsi="Calibri" w:cs="Calibri"/>
          <w:sz w:val="24"/>
          <w:szCs w:val="24"/>
        </w:rPr>
        <w:t>3</w:t>
      </w:r>
      <w:r w:rsidRPr="061E8E1D">
        <w:rPr>
          <w:rFonts w:ascii="Calibri" w:eastAsia="Times New Roman" w:hAnsi="Calibri" w:cs="Calibri"/>
          <w:sz w:val="24"/>
          <w:szCs w:val="24"/>
        </w:rPr>
        <w:t>. Quality Assessment using the Newcastle-</w:t>
      </w:r>
      <w:proofErr w:type="spellStart"/>
      <w:r w:rsidRPr="061E8E1D">
        <w:rPr>
          <w:rFonts w:ascii="Calibri" w:eastAsia="Times New Roman" w:hAnsi="Calibri" w:cs="Calibri"/>
          <w:sz w:val="24"/>
          <w:szCs w:val="24"/>
        </w:rPr>
        <w:t>Ottowa</w:t>
      </w:r>
      <w:proofErr w:type="spellEnd"/>
      <w:r w:rsidRPr="061E8E1D">
        <w:rPr>
          <w:rFonts w:ascii="Calibri" w:eastAsia="Times New Roman" w:hAnsi="Calibri" w:cs="Calibri"/>
          <w:sz w:val="24"/>
          <w:szCs w:val="24"/>
        </w:rPr>
        <w:t xml:space="preserve"> Scale </w:t>
      </w:r>
    </w:p>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2"/>
        <w:gridCol w:w="438"/>
        <w:gridCol w:w="1391"/>
        <w:gridCol w:w="698"/>
        <w:gridCol w:w="1045"/>
        <w:gridCol w:w="719"/>
        <w:gridCol w:w="1056"/>
        <w:gridCol w:w="878"/>
        <w:gridCol w:w="643"/>
        <w:gridCol w:w="743"/>
        <w:gridCol w:w="656"/>
      </w:tblGrid>
      <w:tr w:rsidR="00C04C6B" w:rsidRPr="001B576D" w14:paraId="416E37E3" w14:textId="77777777" w:rsidTr="007A65F4">
        <w:trPr>
          <w:trHeight w:val="31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5DF62E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sz w:val="16"/>
                <w:szCs w:val="16"/>
              </w:rPr>
              <w:t>Study</w:t>
            </w:r>
            <w:r w:rsidRPr="001B576D">
              <w:rPr>
                <w:rFonts w:ascii="Calibri" w:eastAsia="Times New Roman" w:hAnsi="Calibri" w:cs="Calibri"/>
                <w:sz w:val="16"/>
                <w:szCs w:val="16"/>
              </w:rPr>
              <w:t> </w:t>
            </w:r>
          </w:p>
          <w:p w14:paraId="35E3043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6125EEA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sz w:val="16"/>
                <w:szCs w:val="16"/>
              </w:rPr>
              <w:t>Year</w:t>
            </w:r>
            <w:r w:rsidRPr="001B576D">
              <w:rPr>
                <w:rFonts w:ascii="Calibri" w:eastAsia="Times New Roman" w:hAnsi="Calibri" w:cs="Calibri"/>
                <w:sz w:val="16"/>
                <w:szCs w:val="16"/>
              </w:rPr>
              <w:t> </w:t>
            </w:r>
          </w:p>
        </w:tc>
        <w:tc>
          <w:tcPr>
            <w:tcW w:w="4365" w:type="dxa"/>
            <w:gridSpan w:val="4"/>
            <w:tcBorders>
              <w:top w:val="single" w:sz="6" w:space="0" w:color="000000"/>
              <w:left w:val="single" w:sz="6" w:space="0" w:color="000000"/>
              <w:bottom w:val="single" w:sz="6" w:space="0" w:color="000000"/>
              <w:right w:val="single" w:sz="6" w:space="0" w:color="000000"/>
            </w:tcBorders>
            <w:shd w:val="clear" w:color="auto" w:fill="auto"/>
            <w:hideMark/>
          </w:tcPr>
          <w:p w14:paraId="07413E6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sz w:val="16"/>
                <w:szCs w:val="16"/>
              </w:rPr>
              <w:t>Selection</w:t>
            </w:r>
            <w:r w:rsidRPr="001B576D">
              <w:rPr>
                <w:rFonts w:ascii="Calibri" w:eastAsia="Times New Roman" w:hAnsi="Calibri" w:cs="Calibri"/>
                <w:sz w:val="16"/>
                <w:szCs w:val="16"/>
              </w:rPr>
              <w:t> </w:t>
            </w:r>
          </w:p>
        </w:tc>
        <w:tc>
          <w:tcPr>
            <w:tcW w:w="1170" w:type="dxa"/>
            <w:tcBorders>
              <w:top w:val="single" w:sz="6" w:space="0" w:color="000000"/>
              <w:left w:val="nil"/>
              <w:bottom w:val="single" w:sz="6" w:space="0" w:color="000000"/>
              <w:right w:val="single" w:sz="6" w:space="0" w:color="000000"/>
            </w:tcBorders>
            <w:shd w:val="clear" w:color="auto" w:fill="auto"/>
            <w:hideMark/>
          </w:tcPr>
          <w:p w14:paraId="6D02F48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sz w:val="16"/>
                <w:szCs w:val="16"/>
              </w:rPr>
              <w:t>Comparability</w:t>
            </w:r>
            <w:r w:rsidRPr="001B576D">
              <w:rPr>
                <w:rFonts w:ascii="Calibri" w:eastAsia="Times New Roman" w:hAnsi="Calibri" w:cs="Calibri"/>
                <w:sz w:val="16"/>
                <w:szCs w:val="16"/>
              </w:rPr>
              <w:t> </w:t>
            </w:r>
          </w:p>
        </w:tc>
        <w:tc>
          <w:tcPr>
            <w:tcW w:w="273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256C422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sz w:val="16"/>
                <w:szCs w:val="16"/>
              </w:rPr>
              <w:t>Outcome</w:t>
            </w:r>
            <w:r w:rsidRPr="001B576D">
              <w:rPr>
                <w:rFonts w:ascii="Calibri" w:eastAsia="Times New Roman" w:hAnsi="Calibri" w:cs="Calibri"/>
                <w:sz w:val="16"/>
                <w:szCs w:val="16"/>
              </w:rPr>
              <w:t> </w:t>
            </w:r>
          </w:p>
        </w:tc>
        <w:tc>
          <w:tcPr>
            <w:tcW w:w="915" w:type="dxa"/>
            <w:tcBorders>
              <w:top w:val="single" w:sz="6" w:space="0" w:color="000000"/>
              <w:left w:val="nil"/>
              <w:bottom w:val="single" w:sz="6" w:space="0" w:color="000000"/>
              <w:right w:val="single" w:sz="6" w:space="0" w:color="000000"/>
            </w:tcBorders>
            <w:shd w:val="clear" w:color="auto" w:fill="auto"/>
            <w:hideMark/>
          </w:tcPr>
          <w:p w14:paraId="45329AE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b/>
                <w:bCs/>
                <w:sz w:val="16"/>
                <w:szCs w:val="16"/>
              </w:rPr>
              <w:t>Quality Total</w:t>
            </w:r>
            <w:r w:rsidRPr="001B576D">
              <w:rPr>
                <w:rFonts w:ascii="Calibri" w:eastAsia="Times New Roman" w:hAnsi="Calibri" w:cs="Calibri"/>
                <w:sz w:val="16"/>
                <w:szCs w:val="16"/>
              </w:rPr>
              <w:t> </w:t>
            </w:r>
          </w:p>
        </w:tc>
      </w:tr>
      <w:tr w:rsidR="00C04C6B" w:rsidRPr="001B576D" w14:paraId="23E2D0B1" w14:textId="77777777" w:rsidTr="007A65F4">
        <w:trPr>
          <w:trHeight w:val="94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C62C56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343AB96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4BE7BA3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000000"/>
                <w:sz w:val="16"/>
                <w:szCs w:val="16"/>
              </w:rPr>
              <w:t>Representativeness </w:t>
            </w:r>
          </w:p>
          <w:p w14:paraId="13DF143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w:t>
            </w:r>
          </w:p>
        </w:tc>
        <w:tc>
          <w:tcPr>
            <w:tcW w:w="810" w:type="dxa"/>
            <w:tcBorders>
              <w:top w:val="nil"/>
              <w:left w:val="single" w:sz="6" w:space="0" w:color="000000"/>
              <w:bottom w:val="single" w:sz="6" w:space="0" w:color="000000"/>
              <w:right w:val="single" w:sz="6" w:space="0" w:color="000000"/>
            </w:tcBorders>
            <w:shd w:val="clear" w:color="auto" w:fill="auto"/>
            <w:hideMark/>
          </w:tcPr>
          <w:p w14:paraId="7016513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000000"/>
                <w:sz w:val="16"/>
                <w:szCs w:val="16"/>
              </w:rPr>
              <w:t>Non-exposed  </w:t>
            </w:r>
          </w:p>
          <w:p w14:paraId="2336E51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000000"/>
                <w:sz w:val="16"/>
                <w:szCs w:val="16"/>
              </w:rPr>
              <w:t>cohort  </w:t>
            </w:r>
          </w:p>
        </w:tc>
        <w:tc>
          <w:tcPr>
            <w:tcW w:w="1170" w:type="dxa"/>
            <w:tcBorders>
              <w:top w:val="nil"/>
              <w:left w:val="single" w:sz="6" w:space="0" w:color="000000"/>
              <w:bottom w:val="single" w:sz="6" w:space="0" w:color="000000"/>
              <w:right w:val="single" w:sz="6" w:space="0" w:color="000000"/>
            </w:tcBorders>
            <w:shd w:val="clear" w:color="auto" w:fill="auto"/>
            <w:hideMark/>
          </w:tcPr>
          <w:p w14:paraId="0BFFF7C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000000"/>
                <w:sz w:val="16"/>
                <w:szCs w:val="16"/>
              </w:rPr>
              <w:t>Ascertainment of exposure </w:t>
            </w:r>
          </w:p>
        </w:tc>
        <w:tc>
          <w:tcPr>
            <w:tcW w:w="855" w:type="dxa"/>
            <w:tcBorders>
              <w:top w:val="nil"/>
              <w:left w:val="single" w:sz="6" w:space="0" w:color="000000"/>
              <w:bottom w:val="single" w:sz="6" w:space="0" w:color="000000"/>
              <w:right w:val="single" w:sz="6" w:space="0" w:color="000000"/>
            </w:tcBorders>
            <w:shd w:val="clear" w:color="auto" w:fill="auto"/>
            <w:hideMark/>
          </w:tcPr>
          <w:p w14:paraId="75D1654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000000"/>
                <w:sz w:val="16"/>
                <w:szCs w:val="16"/>
              </w:rPr>
              <w:t>Outcome did not exist at start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D26784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000000"/>
                <w:sz w:val="16"/>
                <w:szCs w:val="16"/>
              </w:rPr>
              <w:t>Comparability of Design or Analysis  </w:t>
            </w:r>
          </w:p>
          <w:p w14:paraId="47E0496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000000"/>
                <w:sz w:val="16"/>
                <w:szCs w:val="16"/>
              </w:rPr>
              <w:t>(2 stars)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026BDA2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000000"/>
                <w:sz w:val="16"/>
                <w:szCs w:val="16"/>
              </w:rPr>
              <w:t>Assessment of outcome </w:t>
            </w:r>
          </w:p>
        </w:tc>
        <w:tc>
          <w:tcPr>
            <w:tcW w:w="810" w:type="dxa"/>
            <w:tcBorders>
              <w:top w:val="nil"/>
              <w:left w:val="single" w:sz="6" w:space="0" w:color="000000"/>
              <w:bottom w:val="single" w:sz="6" w:space="0" w:color="000000"/>
              <w:right w:val="single" w:sz="6" w:space="0" w:color="000000"/>
            </w:tcBorders>
            <w:shd w:val="clear" w:color="auto" w:fill="auto"/>
            <w:hideMark/>
          </w:tcPr>
          <w:p w14:paraId="7E9C70F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000000"/>
                <w:sz w:val="16"/>
                <w:szCs w:val="16"/>
              </w:rPr>
              <w:t>Follow up long enough </w:t>
            </w:r>
          </w:p>
        </w:tc>
        <w:tc>
          <w:tcPr>
            <w:tcW w:w="885" w:type="dxa"/>
            <w:tcBorders>
              <w:top w:val="nil"/>
              <w:left w:val="single" w:sz="6" w:space="0" w:color="000000"/>
              <w:bottom w:val="single" w:sz="6" w:space="0" w:color="000000"/>
              <w:right w:val="single" w:sz="6" w:space="0" w:color="000000"/>
            </w:tcBorders>
            <w:shd w:val="clear" w:color="auto" w:fill="auto"/>
            <w:hideMark/>
          </w:tcPr>
          <w:p w14:paraId="52A798E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000000"/>
                <w:sz w:val="16"/>
                <w:szCs w:val="16"/>
              </w:rPr>
              <w:t>Adequacy of follow ups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02A2354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000000"/>
                <w:sz w:val="16"/>
                <w:szCs w:val="16"/>
              </w:rPr>
              <w:t>  </w:t>
            </w:r>
          </w:p>
        </w:tc>
      </w:tr>
      <w:tr w:rsidR="00C04C6B" w:rsidRPr="001B576D" w14:paraId="1B2CCD5B"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4F6CDF5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Zhao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1EC19AB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04597DE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840DB5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B2A93A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5B70719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3C1D58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3E28FCE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579E1A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6FD1EFE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63ED218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r>
      <w:tr w:rsidR="00C04C6B" w:rsidRPr="001B576D" w14:paraId="5C01F748"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0CED93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Matcham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3A6F5BC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5D20005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FB9BB6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358632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70E069C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C46708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65589DB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3A7AD9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22BAEBC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77F3B8B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7 </w:t>
            </w:r>
          </w:p>
        </w:tc>
      </w:tr>
      <w:tr w:rsidR="00C04C6B" w:rsidRPr="001B576D" w14:paraId="5F2D97B2"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527864D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van den Hoek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6FC1643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692EA98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E2BBE7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F36F48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6A4FF7A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8DD5B6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7F0830B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840F1E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6E8E2C6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5F4B19E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r>
      <w:tr w:rsidR="00C04C6B" w:rsidRPr="001B576D" w14:paraId="50E25948"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73216D4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Miwa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6469AF3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4574491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923FAD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45A4ED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678F4DF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FAE0D7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53474BD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1349CF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0A769C3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0354378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r>
      <w:tr w:rsidR="00C04C6B" w:rsidRPr="001B576D" w14:paraId="3EBD8DB3"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687FDF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Brown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7A25EEC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1990 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1C46152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7A6FA6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BE0E47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2DAA433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7E04FB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735E2F8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F528CB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1CEDECC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6EA1581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0757FD90"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8F1E4F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Kronisch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42E9C8D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1DCBF77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4E2668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C83328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0035A8A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593D91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33FB6F8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FF2EDD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359BB38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31438BD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8 </w:t>
            </w:r>
          </w:p>
        </w:tc>
      </w:tr>
      <w:tr w:rsidR="00C04C6B" w:rsidRPr="001B576D" w14:paraId="1C3C8FC5"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55A743F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Corominas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0CE765F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2014 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243EE17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B5D337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18BC81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4A87601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67D138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4762704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67AAFB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4BB3910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42CF0D4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r>
      <w:tr w:rsidR="00C04C6B" w:rsidRPr="001B576D" w14:paraId="025F8A84"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5A64368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Gwinnutt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518CE19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2019 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24B6293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B578C3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8AA785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6ED7662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8773AD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71182A6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720BB3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4DBC07F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418ABC1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7 </w:t>
            </w:r>
          </w:p>
        </w:tc>
      </w:tr>
      <w:tr w:rsidR="00C04C6B" w:rsidRPr="001B576D" w14:paraId="5A2BAB05"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651A59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Rathbun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254AA88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3C308B5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D5DDD2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4F9C72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7D5A26E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692DF1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4B85E66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AE4BDD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64545C7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136D10D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8 </w:t>
            </w:r>
          </w:p>
        </w:tc>
      </w:tr>
      <w:tr w:rsidR="00C04C6B" w:rsidRPr="001B576D" w14:paraId="507DB60C"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584CD16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Matcham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16096C0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028210B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2C779C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99847A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72009EA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CD3BBE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01DD104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8C50D9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5AA819E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7DF58F0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r>
      <w:tr w:rsidR="00C04C6B" w:rsidRPr="001B576D" w14:paraId="31709DF8"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1BDB96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Kronisch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667EBCD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271EAFA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F45E26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70B548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28B5662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21BB93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0C9E03F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50A29E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11F5D48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1EE77B4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8 </w:t>
            </w:r>
          </w:p>
        </w:tc>
      </w:tr>
      <w:tr w:rsidR="00C04C6B" w:rsidRPr="001B576D" w14:paraId="67A1E8AB"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48690AC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Miwa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00CEA24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2017 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123328B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FAD1E6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F73AC9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53B21A2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2A2A54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64AAB34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3ADD1E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3E5ACD4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3C8223B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r>
      <w:tr w:rsidR="00C04C6B" w:rsidRPr="001B576D" w14:paraId="31BCD5F0"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4967CE4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Ang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2E6036D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2005 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3C244B1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76196A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5DD9B0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31920A6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AA5F29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5B58C7F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7FC86F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2DD317C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16435FB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r>
      <w:tr w:rsidR="00C04C6B" w:rsidRPr="001B576D" w14:paraId="10250E4A"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46830D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Parenti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1C260A4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7A65611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E4BAA7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7D8818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27ED3AF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2FC987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3F71A23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568C61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1F83227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04CEE49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r>
      <w:tr w:rsidR="00C04C6B" w:rsidRPr="001B576D" w14:paraId="01BB57E2"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78A1E9A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Cui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768D6B0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2A50EB8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D69569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D2CAF6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46530C7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B12149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7FAC92C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A88103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70E22CA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2FD7B80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r>
      <w:tr w:rsidR="00C04C6B" w:rsidRPr="001B576D" w14:paraId="491D75DB"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B27383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Corominas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7AA3876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2019 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6E8E051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967664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ECBA0E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14E8F2C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7B7420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5C6C7F5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95E68C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45E56B6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0D5676E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9 </w:t>
            </w:r>
          </w:p>
        </w:tc>
      </w:tr>
      <w:tr w:rsidR="00C04C6B" w:rsidRPr="001B576D" w14:paraId="019A33D3"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A3F33E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Michelsen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35B689C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2017 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36D1140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DFA1DD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F58B8D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19B91A1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D2A4DA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0AF1D81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AFB845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1E11720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1E50174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53EC97C9"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3C2D32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Kleinert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342AA30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62BC590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EB06D2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1590A6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4FEFD32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E85381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17C4DDD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6801A2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2B787D8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487537D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2246BDCC"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687E1F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Hider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15F3D84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2009 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46BD140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EB7250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313F2A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1F51CA1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FC295C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06F8700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3ED63C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4519907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00C8613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7 </w:t>
            </w:r>
          </w:p>
        </w:tc>
      </w:tr>
      <w:tr w:rsidR="00C04C6B" w:rsidRPr="001B576D" w14:paraId="7B2A3F52"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EEBF8C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Bode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0DB3BC1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2012 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43431BE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0932E5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964F28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20B81C3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21FA87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238F833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3A98EE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2ADBF70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53A1A45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7 </w:t>
            </w:r>
          </w:p>
        </w:tc>
      </w:tr>
      <w:tr w:rsidR="00C04C6B" w:rsidRPr="001B576D" w14:paraId="5F59AD8D"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ECC22F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Leblanc-Trudeau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1865AF5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1004D8D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4FEFB4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4FAD0D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0529F61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5D17B4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40727CB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326C42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0140FAC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34E20EA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8 </w:t>
            </w:r>
          </w:p>
        </w:tc>
      </w:tr>
      <w:tr w:rsidR="00C04C6B" w:rsidRPr="001B576D" w14:paraId="78AFAEE0"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E63D57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McFarlane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2701D90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1988 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0CEFB95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3A6D3C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216DBC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11F9FF0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EBA00B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00BB584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E35B0A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5CC68D8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48301C0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r>
      <w:tr w:rsidR="00C04C6B" w:rsidRPr="001B576D" w14:paraId="0C33F4A1"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6D4B70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Norton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297E070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2011 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62E01A3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A5B84A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3FDDDF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2D39A6B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7BCE39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4472F08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882C73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1C2022E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17E6CC2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6762C403"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403C77E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Michelsen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6AD0308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2017 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4FE2AEE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65D3B3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1B5C8F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35EC25C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F71AF3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075BA7C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23F314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2D51C03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3448C96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28F41CFD"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53069A4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Kuijper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3F58906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2018 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43A94CC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0F394C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B9FADB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27D86FB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542B3B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5AF482F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15011C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27C6919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07CB9A8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1F04C950"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808D7A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Feldthusen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4644D41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598859D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EEB090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9C765A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7192C1E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624C04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6AF096F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ADD612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09E49E3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22973CD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69AD10E5"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5ABBC0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Gonzalez-Lopez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785A558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w:t>
            </w:r>
            <w:r>
              <w:rPr>
                <w:rFonts w:ascii="Calibri" w:eastAsia="Times New Roman" w:hAnsi="Calibri" w:cs="Calibri"/>
                <w:sz w:val="16"/>
                <w:szCs w:val="16"/>
              </w:rPr>
              <w:t>3</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3C90F4B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008D8F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E773B7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0F311AA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9D7302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7F5F6C0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AC078A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14E0666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7FC5FDF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8 </w:t>
            </w:r>
          </w:p>
        </w:tc>
      </w:tr>
      <w:tr w:rsidR="00C04C6B" w:rsidRPr="001B576D" w14:paraId="40A10624"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F6E207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Tanaka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2EE172E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2019 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1A025F7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816082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0431CB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19B1E8A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936594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150AFA9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13D375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0482054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0B11B03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7184A69E"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7C7571B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Doeglas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40983CC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200</w:t>
            </w:r>
            <w:r>
              <w:rPr>
                <w:rFonts w:ascii="Calibri" w:eastAsia="Times New Roman" w:hAnsi="Calibri" w:cs="Calibri"/>
                <w:sz w:val="16"/>
                <w:szCs w:val="16"/>
              </w:rPr>
              <w:t>4</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2B60096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E55012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E1A9F2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1E59189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B10A51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2899DCC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1B6FF4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546C29D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548E489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8 </w:t>
            </w:r>
          </w:p>
        </w:tc>
      </w:tr>
      <w:tr w:rsidR="00C04C6B" w:rsidRPr="001B576D" w14:paraId="1CB6ED65"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8F8F7B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Verstappen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52439B6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w:t>
            </w:r>
            <w:r>
              <w:rPr>
                <w:rFonts w:ascii="Calibri" w:eastAsia="Times New Roman" w:hAnsi="Calibri" w:cs="Calibri"/>
                <w:sz w:val="16"/>
                <w:szCs w:val="16"/>
              </w:rPr>
              <w:t>07</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06AE285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24E94F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BB53E7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73293AC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FC1F53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1EE9D72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BEF397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737CB60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12608AB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6F67966E"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0BDFDC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Hommel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03BD9D1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1998 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1C3FBD5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 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44E96F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602EAC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18F4EA9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6D7B19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1BC3C8F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100810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4B63656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3F3500A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4 </w:t>
            </w:r>
          </w:p>
        </w:tc>
      </w:tr>
      <w:tr w:rsidR="00C04C6B" w:rsidRPr="001B576D" w14:paraId="5C39A003"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7402F2E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Fifield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302D1B7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2001 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4D83DA8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6636A9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EFE401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3AED5C2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EF59EB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6FD7663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579369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06309E1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122CD02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7CFCBC07"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9BC700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Looper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3D2192D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2011 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4C0ABF4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358249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77F7D2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70F04C8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DB3D1E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068820B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F5C2D9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7E4D4E7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76C84B4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7 </w:t>
            </w:r>
          </w:p>
        </w:tc>
      </w:tr>
      <w:tr w:rsidR="00C04C6B" w:rsidRPr="001B576D" w14:paraId="280EDF89"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6C665A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Nugaliyadde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0435D2E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2017 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1FE842E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C5B7C1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CB49F4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48502D1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6DF405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7DB5550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08ACEB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5828598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1EFE97B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4 </w:t>
            </w:r>
          </w:p>
        </w:tc>
      </w:tr>
      <w:tr w:rsidR="00C04C6B" w:rsidRPr="001B576D" w14:paraId="0F685B32"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5DA24A0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Chung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35FE144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2013 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6F5BE02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2B3DAA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8D88E2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66D1C18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7F98E8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5BDE16B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219D7A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6473CAF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493EF5C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6CC3B88C"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17F369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England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785E769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5AF7F44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563A3B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A8C350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3FDAA14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16953C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00BF6A8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A66C59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63B5FD3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57BF9BA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4 </w:t>
            </w:r>
          </w:p>
        </w:tc>
      </w:tr>
      <w:tr w:rsidR="00C04C6B" w:rsidRPr="001B576D" w14:paraId="725965D8"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B8BD35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Sergeant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2E385E0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437C9BD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E74859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736BC7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09E7FDD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400E86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51E0C16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669AF7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0F7E4B6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7B1F144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4 </w:t>
            </w:r>
          </w:p>
        </w:tc>
      </w:tr>
      <w:tr w:rsidR="00C04C6B" w:rsidRPr="001B576D" w14:paraId="7D7AAFBB"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6AA4F3F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Morris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552F7B1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2011 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1991AB4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46368D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4B957C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0569EB3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B71D9E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69C03CF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EF0B53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4364C9C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0C9CFBF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33348445"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66B48EF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Van Den Hoek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37DCB70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w:t>
            </w:r>
            <w:r>
              <w:rPr>
                <w:rFonts w:ascii="Calibri" w:eastAsia="Times New Roman" w:hAnsi="Calibri" w:cs="Calibri"/>
                <w:sz w:val="16"/>
                <w:szCs w:val="16"/>
              </w:rPr>
              <w:t>3</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29673F1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8EC5F9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F1C4F4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1C1ABA8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8719A9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49436CE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AB533D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549327E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2C6ED6D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4 </w:t>
            </w:r>
          </w:p>
        </w:tc>
      </w:tr>
      <w:tr w:rsidR="00C04C6B" w:rsidRPr="001B576D" w14:paraId="21158421"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0C30B3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Bechman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5591B65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2018 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520BEE8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ECACA0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4B604C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45E1242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9349CF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2275D34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D36D25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5B30FA8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0107BE2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3CA2EA78"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517AA9C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McFarlane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69D0EB3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1987 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0EDC4EA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4C26D4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1E72C5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3C9DB10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89CE05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0558179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F8CEFF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7CDEABD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05738AD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4 </w:t>
            </w:r>
          </w:p>
        </w:tc>
      </w:tr>
      <w:tr w:rsidR="00C04C6B" w:rsidRPr="001B576D" w14:paraId="5BE01BFC"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5109E18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Odegard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031E9D8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2007 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488E7D4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D68742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B3C832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6B7FAB6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BE0936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1182797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57A3E1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4DACE83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7D55B3D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r>
      <w:tr w:rsidR="00C04C6B" w:rsidRPr="001B576D" w14:paraId="4ED63EAC"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3F9E824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Vriezekolk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3EF83DE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w:t>
            </w:r>
            <w:r>
              <w:rPr>
                <w:rFonts w:ascii="Calibri" w:eastAsia="Times New Roman" w:hAnsi="Calibri" w:cs="Calibri"/>
                <w:sz w:val="16"/>
                <w:szCs w:val="16"/>
              </w:rPr>
              <w:t>10</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546A85A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5972CB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39C484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7D8D515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1763B0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1FC2DC2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184738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2150ADB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2F258E7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6660CFA1"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C2F1A1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Sergeant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060984E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363C7ED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9DBC22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EB4DC5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4B74CA1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A79DD2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1026D4C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CBC959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29C321B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3DF11FE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30E36720"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B0A4BF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Sergeant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45116C4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2018 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4874551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1F1E12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758323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7D8A808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570B49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0FCE16D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04F499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2CC6052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43BFD1E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8 </w:t>
            </w:r>
          </w:p>
        </w:tc>
      </w:tr>
      <w:tr w:rsidR="00C04C6B" w:rsidRPr="001B576D" w14:paraId="63EC0CEA"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EF80DE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Casalla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2D3ABB4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2013 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4130450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3D4DF0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87D064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7F67B46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881AE7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320FB2A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F46525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67D1B5F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733F715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r>
      <w:tr w:rsidR="00C04C6B" w:rsidRPr="001B576D" w14:paraId="2A15374F"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71B8660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Cook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4A2E8EB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772574C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2FD7A3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1456E5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5FA7A10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CDA639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212A699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320F33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521F2B0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10C3295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7 </w:t>
            </w:r>
          </w:p>
        </w:tc>
      </w:tr>
      <w:tr w:rsidR="00C04C6B" w:rsidRPr="001B576D" w14:paraId="3E02E3F0"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AF7A99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Treharne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5A31E22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2008 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46BE5D1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005400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47600C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2E08503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FF964B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6D9945B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C14BF7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330242C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78C87A2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7 </w:t>
            </w:r>
          </w:p>
        </w:tc>
      </w:tr>
      <w:tr w:rsidR="00C04C6B" w:rsidRPr="001B576D" w14:paraId="2E8BF0FA"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FEF49D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Dobkin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69F0031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2013 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37B432B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70BA09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41D1E4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5C1F0D3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E4BC4A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2BC3752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47183F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11E0D38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791ED2D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r>
      <w:tr w:rsidR="00C04C6B" w:rsidRPr="001B576D" w14:paraId="7901D632"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49A8835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Leggett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60C4206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w:t>
            </w:r>
            <w:r>
              <w:rPr>
                <w:rFonts w:ascii="Calibri" w:eastAsia="Times New Roman" w:hAnsi="Calibri" w:cs="Calibri"/>
                <w:sz w:val="16"/>
                <w:szCs w:val="16"/>
              </w:rPr>
              <w:t>7</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5F1C3AA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9020E3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EE7A0F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5716961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888EE5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582B338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C63976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63B5404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3B70FF6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65E1A1A6"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5683319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Dyball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0211C68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2018 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7EF9A84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ABA262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255AB8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0BA18D2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FB1768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661CCC9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9E1BBD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63F0BC3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2570726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0852BF33"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C033B0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Schieir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42FCD16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77F9AC3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05181D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1EFF61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3DC0C56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76182E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62E73E7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C53582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046AC27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0EB31C5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0E674643"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697DC49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Parker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18EBD67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1992 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2A900FA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3B5C49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F4310B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6AE6450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EF30EF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6D92B38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FFE6E6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4EDD506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1B61B4F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r>
      <w:tr w:rsidR="00C04C6B" w:rsidRPr="001B576D" w14:paraId="4A9EF887"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AFF417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Norton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1D7F7D3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2011 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3EF3CB6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9CDE94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B7B4CF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2444897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45A0C4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3D967B5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106168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719A86F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50398B3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30193797"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4FB11F5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Matcham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590B632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24E8C61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104F75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6909B6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74A72C2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C562E5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213D56D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93A352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5915DCF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36CB4B6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r>
      <w:tr w:rsidR="00C04C6B" w:rsidRPr="001B576D" w14:paraId="000D7DA9"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52766F0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Iannaccone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248E2AD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2016 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7D0E8F5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29EB60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DBA234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38E73FF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A8EC2C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71D2F50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50FECB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0EF9A94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1ADF355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731BC9BB"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209A5AF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Schieir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5CA093C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2009 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1751AC1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34462D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190ECE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0FDD647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B63D71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003F472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698723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716173E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42A9472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4 </w:t>
            </w:r>
          </w:p>
        </w:tc>
      </w:tr>
      <w:tr w:rsidR="00C04C6B" w:rsidRPr="001B576D" w14:paraId="29EFF8D4"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C1702F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Rathbun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69D9BD7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2013 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61470C4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DAEA52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003C80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1C1E7B9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878BDD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2B1743A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68B757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1F267CF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22942F8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4 </w:t>
            </w:r>
          </w:p>
        </w:tc>
      </w:tr>
      <w:tr w:rsidR="00C04C6B" w:rsidRPr="001B576D" w14:paraId="01494F7B"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7629ABF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Rathbun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37B7F3F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2015 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2717D3C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823585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F0121E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497D7C8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E1ED49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2FCF136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62923A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6348819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6FA0A79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8 </w:t>
            </w:r>
          </w:p>
        </w:tc>
      </w:tr>
      <w:tr w:rsidR="00C04C6B" w:rsidRPr="001B576D" w14:paraId="1ACB473A"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747AC11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El Miedany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244DFA3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2013 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5E855FE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DBD232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BFA107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63559C4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6588EA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6E6688F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EA1712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427FB88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38D692D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4 </w:t>
            </w:r>
          </w:p>
        </w:tc>
      </w:tr>
      <w:tr w:rsidR="00C04C6B" w:rsidRPr="001B576D" w14:paraId="1038206E"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37833B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Uhlig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3565D84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2000 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1F2767A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5C114B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1B4390A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0A116C6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5977759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56E61B9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4BD102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742166A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406C279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35CBD2D2"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5440DB8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Li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5731988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2019 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24B5B43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9CF396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DDB2B8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6C2253A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7BEF230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2020823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A303F6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47FC96C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403113A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4 </w:t>
            </w:r>
          </w:p>
        </w:tc>
      </w:tr>
      <w:tr w:rsidR="00C04C6B" w:rsidRPr="001B576D" w14:paraId="0EA91A41"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6763A45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Matcham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74A5A16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2014 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112EFFC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31686A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237771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44E0E52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2C3F8A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3327500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635CDD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5926DC3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42DC0B4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51F61044"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860EE5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Van Den Hoek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09A3E7A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w:t>
            </w:r>
            <w:r>
              <w:rPr>
                <w:rFonts w:ascii="Calibri" w:eastAsia="Times New Roman" w:hAnsi="Calibri" w:cs="Calibri"/>
                <w:sz w:val="16"/>
                <w:szCs w:val="16"/>
              </w:rPr>
              <w:t>3</w:t>
            </w:r>
            <w:r w:rsidRPr="001B576D">
              <w:rPr>
                <w:rFonts w:ascii="Calibri" w:eastAsia="Times New Roman" w:hAnsi="Calibri" w:cs="Calibri"/>
                <w:sz w:val="16"/>
                <w:szCs w:val="16"/>
              </w:rPr>
              <w:t>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6FF9E08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027A17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B6A26D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6260494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2E77CA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25A639C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502A38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0149AE3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02AD6B3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r>
      <w:tr w:rsidR="00C04C6B" w:rsidRPr="001B576D" w14:paraId="600D98E9"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67DAE16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Matcham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5305C55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2014 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1F7193A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339FB6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426D9B4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01EB6B0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F75E32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28973EE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4D562E6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7E3F7F4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6503DBA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131E8725"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04B0124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Crotty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71BA6D1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1994 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17F7B46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4D1350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8EC245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5639D19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329DD4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781BB83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5A76659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0B23C28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75E952E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6BE3DEDD"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533497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Overman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6B964ED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2011 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005A9A0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ED4640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50F083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4CBADE6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37F2E6A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7C86F78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0D2904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08F5709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4AEC722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6 </w:t>
            </w:r>
          </w:p>
        </w:tc>
      </w:tr>
      <w:tr w:rsidR="00C04C6B" w:rsidRPr="001B576D" w14:paraId="1B353D4E"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FE9B3E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Matcham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63A87DA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2018 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51E9B22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0D657D3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982173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5EC0E66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953E65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12B796A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81B6DB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3F4CF8A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06EBB2C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7 </w:t>
            </w:r>
          </w:p>
        </w:tc>
      </w:tr>
      <w:tr w:rsidR="00C04C6B" w:rsidRPr="001B576D" w14:paraId="6D555C4C"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647D8CB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Euesden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3F8CF95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2017 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1E47424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2EC72B7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9DB1D2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55F9CEA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6B7A0867"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43A13D8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1BC2ED8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201EA9A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535E8D0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5 </w:t>
            </w:r>
          </w:p>
        </w:tc>
      </w:tr>
      <w:tr w:rsidR="00C04C6B" w:rsidRPr="001B576D" w14:paraId="1FF8665B" w14:textId="77777777" w:rsidTr="007A65F4">
        <w:trPr>
          <w:trHeight w:val="13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7EC2BB21"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Smedstad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0F91D40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1997 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687EFD4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AC89C75"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D272FC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53601E09"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96D231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5AE767A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7A7FF350"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19A6441E"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1A8FF6B6"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4 </w:t>
            </w:r>
          </w:p>
        </w:tc>
      </w:tr>
      <w:tr w:rsidR="00C04C6B" w:rsidRPr="001B576D" w14:paraId="58D97C76" w14:textId="77777777" w:rsidTr="007A65F4">
        <w:trPr>
          <w:trHeight w:val="165"/>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14:paraId="177B7A6B"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color w:val="333333"/>
                <w:sz w:val="16"/>
                <w:szCs w:val="16"/>
              </w:rPr>
              <w:t>Karpouzas </w:t>
            </w:r>
          </w:p>
        </w:tc>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771407AD"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2017 </w:t>
            </w:r>
          </w:p>
        </w:tc>
        <w:tc>
          <w:tcPr>
            <w:tcW w:w="1500" w:type="dxa"/>
            <w:tcBorders>
              <w:top w:val="single" w:sz="6" w:space="0" w:color="000000"/>
              <w:left w:val="single" w:sz="6" w:space="0" w:color="000000"/>
              <w:bottom w:val="single" w:sz="6" w:space="0" w:color="000000"/>
              <w:right w:val="single" w:sz="6" w:space="0" w:color="000000"/>
            </w:tcBorders>
            <w:shd w:val="clear" w:color="auto" w:fill="auto"/>
            <w:hideMark/>
          </w:tcPr>
          <w:p w14:paraId="56776983"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3E17B58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2E9D092A"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55" w:type="dxa"/>
            <w:tcBorders>
              <w:top w:val="single" w:sz="6" w:space="0" w:color="000000"/>
              <w:left w:val="single" w:sz="6" w:space="0" w:color="000000"/>
              <w:bottom w:val="single" w:sz="6" w:space="0" w:color="000000"/>
              <w:right w:val="single" w:sz="6" w:space="0" w:color="000000"/>
            </w:tcBorders>
            <w:shd w:val="clear" w:color="auto" w:fill="auto"/>
            <w:hideMark/>
          </w:tcPr>
          <w:p w14:paraId="59755E68"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14:paraId="06B3A6E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1035" w:type="dxa"/>
            <w:tcBorders>
              <w:top w:val="single" w:sz="6" w:space="0" w:color="000000"/>
              <w:left w:val="single" w:sz="6" w:space="0" w:color="000000"/>
              <w:bottom w:val="single" w:sz="6" w:space="0" w:color="000000"/>
              <w:right w:val="single" w:sz="6" w:space="0" w:color="000000"/>
            </w:tcBorders>
            <w:shd w:val="clear" w:color="auto" w:fill="auto"/>
            <w:hideMark/>
          </w:tcPr>
          <w:p w14:paraId="3517C88F"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14:paraId="6C75F674"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1 </w:t>
            </w:r>
          </w:p>
        </w:tc>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14:paraId="047CBE8C"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0 </w:t>
            </w:r>
          </w:p>
        </w:tc>
        <w:tc>
          <w:tcPr>
            <w:tcW w:w="915" w:type="dxa"/>
            <w:tcBorders>
              <w:top w:val="single" w:sz="6" w:space="0" w:color="000000"/>
              <w:left w:val="single" w:sz="6" w:space="0" w:color="000000"/>
              <w:bottom w:val="single" w:sz="6" w:space="0" w:color="000000"/>
              <w:right w:val="single" w:sz="6" w:space="0" w:color="000000"/>
            </w:tcBorders>
            <w:shd w:val="clear" w:color="auto" w:fill="auto"/>
            <w:hideMark/>
          </w:tcPr>
          <w:p w14:paraId="40A6C4D2" w14:textId="77777777" w:rsidR="00C04C6B" w:rsidRPr="001B576D" w:rsidRDefault="00C04C6B" w:rsidP="007A65F4">
            <w:pPr>
              <w:spacing w:after="0" w:line="240" w:lineRule="auto"/>
              <w:textAlignment w:val="baseline"/>
              <w:rPr>
                <w:rFonts w:ascii="Times New Roman" w:eastAsia="Times New Roman" w:hAnsi="Times New Roman" w:cs="Times New Roman"/>
                <w:sz w:val="24"/>
                <w:szCs w:val="24"/>
              </w:rPr>
            </w:pPr>
            <w:r w:rsidRPr="001B576D">
              <w:rPr>
                <w:rFonts w:ascii="Calibri" w:eastAsia="Times New Roman" w:hAnsi="Calibri" w:cs="Calibri"/>
                <w:sz w:val="16"/>
                <w:szCs w:val="16"/>
              </w:rPr>
              <w:t>4 </w:t>
            </w:r>
          </w:p>
        </w:tc>
      </w:tr>
    </w:tbl>
    <w:p w14:paraId="058C4A7A" w14:textId="4358962A" w:rsidR="001F1CB0" w:rsidRDefault="001F1CB0" w:rsidP="00DB60E7">
      <w:pPr>
        <w:spacing w:after="0" w:line="240" w:lineRule="auto"/>
        <w:textAlignment w:val="baseline"/>
        <w:rPr>
          <w:rFonts w:ascii="Segoe UI" w:eastAsia="Times New Roman" w:hAnsi="Segoe UI" w:cs="Segoe UI"/>
          <w:sz w:val="18"/>
          <w:szCs w:val="18"/>
        </w:rPr>
      </w:pPr>
    </w:p>
    <w:p w14:paraId="1FCA4DF8" w14:textId="77777777" w:rsidR="00B470E4" w:rsidRPr="00DB60E7" w:rsidRDefault="00B470E4" w:rsidP="00DB60E7">
      <w:pPr>
        <w:spacing w:after="0" w:line="240" w:lineRule="auto"/>
        <w:textAlignment w:val="baseline"/>
        <w:rPr>
          <w:rFonts w:ascii="Segoe UI" w:eastAsia="Times New Roman" w:hAnsi="Segoe UI" w:cs="Segoe UI"/>
          <w:sz w:val="18"/>
          <w:szCs w:val="18"/>
        </w:rPr>
      </w:pPr>
      <w:bookmarkStart w:id="0" w:name="_GoBack"/>
      <w:bookmarkEnd w:id="0"/>
    </w:p>
    <w:sectPr w:rsidR="00B470E4" w:rsidRPr="00DB60E7" w:rsidSect="00B470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7EDB"/>
    <w:multiLevelType w:val="hybridMultilevel"/>
    <w:tmpl w:val="CA546D28"/>
    <w:lvl w:ilvl="0" w:tplc="EEB2E10C">
      <w:start w:val="1"/>
      <w:numFmt w:val="bullet"/>
      <w:lvlText w:val=""/>
      <w:lvlJc w:val="left"/>
      <w:pPr>
        <w:ind w:left="720" w:hanging="360"/>
      </w:pPr>
      <w:rPr>
        <w:rFonts w:ascii="Symbol" w:hAnsi="Symbol" w:hint="default"/>
      </w:rPr>
    </w:lvl>
    <w:lvl w:ilvl="1" w:tplc="201E75B8">
      <w:start w:val="1"/>
      <w:numFmt w:val="bullet"/>
      <w:lvlText w:val="o"/>
      <w:lvlJc w:val="left"/>
      <w:pPr>
        <w:ind w:left="1440" w:hanging="360"/>
      </w:pPr>
      <w:rPr>
        <w:rFonts w:ascii="Courier New" w:hAnsi="Courier New" w:hint="default"/>
      </w:rPr>
    </w:lvl>
    <w:lvl w:ilvl="2" w:tplc="78F85EBC">
      <w:start w:val="1"/>
      <w:numFmt w:val="bullet"/>
      <w:lvlText w:val=""/>
      <w:lvlJc w:val="left"/>
      <w:pPr>
        <w:ind w:left="2160" w:hanging="360"/>
      </w:pPr>
      <w:rPr>
        <w:rFonts w:ascii="Wingdings" w:hAnsi="Wingdings" w:hint="default"/>
      </w:rPr>
    </w:lvl>
    <w:lvl w:ilvl="3" w:tplc="A8427EB8">
      <w:start w:val="1"/>
      <w:numFmt w:val="bullet"/>
      <w:lvlText w:val=""/>
      <w:lvlJc w:val="left"/>
      <w:pPr>
        <w:ind w:left="2880" w:hanging="360"/>
      </w:pPr>
      <w:rPr>
        <w:rFonts w:ascii="Symbol" w:hAnsi="Symbol" w:hint="default"/>
      </w:rPr>
    </w:lvl>
    <w:lvl w:ilvl="4" w:tplc="B8BEFF92">
      <w:start w:val="1"/>
      <w:numFmt w:val="bullet"/>
      <w:lvlText w:val="o"/>
      <w:lvlJc w:val="left"/>
      <w:pPr>
        <w:ind w:left="3600" w:hanging="360"/>
      </w:pPr>
      <w:rPr>
        <w:rFonts w:ascii="Courier New" w:hAnsi="Courier New" w:hint="default"/>
      </w:rPr>
    </w:lvl>
    <w:lvl w:ilvl="5" w:tplc="1676FF10">
      <w:start w:val="1"/>
      <w:numFmt w:val="bullet"/>
      <w:lvlText w:val=""/>
      <w:lvlJc w:val="left"/>
      <w:pPr>
        <w:ind w:left="4320" w:hanging="360"/>
      </w:pPr>
      <w:rPr>
        <w:rFonts w:ascii="Wingdings" w:hAnsi="Wingdings" w:hint="default"/>
      </w:rPr>
    </w:lvl>
    <w:lvl w:ilvl="6" w:tplc="8D242E3C">
      <w:start w:val="1"/>
      <w:numFmt w:val="bullet"/>
      <w:lvlText w:val=""/>
      <w:lvlJc w:val="left"/>
      <w:pPr>
        <w:ind w:left="5040" w:hanging="360"/>
      </w:pPr>
      <w:rPr>
        <w:rFonts w:ascii="Symbol" w:hAnsi="Symbol" w:hint="default"/>
      </w:rPr>
    </w:lvl>
    <w:lvl w:ilvl="7" w:tplc="28EA271E">
      <w:start w:val="1"/>
      <w:numFmt w:val="bullet"/>
      <w:lvlText w:val="o"/>
      <w:lvlJc w:val="left"/>
      <w:pPr>
        <w:ind w:left="5760" w:hanging="360"/>
      </w:pPr>
      <w:rPr>
        <w:rFonts w:ascii="Courier New" w:hAnsi="Courier New" w:hint="default"/>
      </w:rPr>
    </w:lvl>
    <w:lvl w:ilvl="8" w:tplc="237E1C26">
      <w:start w:val="1"/>
      <w:numFmt w:val="bullet"/>
      <w:lvlText w:val=""/>
      <w:lvlJc w:val="left"/>
      <w:pPr>
        <w:ind w:left="6480" w:hanging="360"/>
      </w:pPr>
      <w:rPr>
        <w:rFonts w:ascii="Wingdings" w:hAnsi="Wingdings" w:hint="default"/>
      </w:rPr>
    </w:lvl>
  </w:abstractNum>
  <w:abstractNum w:abstractNumId="1" w15:restartNumberingAfterBreak="0">
    <w:nsid w:val="18CB6275"/>
    <w:multiLevelType w:val="hybridMultilevel"/>
    <w:tmpl w:val="E3140592"/>
    <w:lvl w:ilvl="0" w:tplc="F65E00D4">
      <w:start w:val="1"/>
      <w:numFmt w:val="bullet"/>
      <w:lvlText w:val=""/>
      <w:lvlJc w:val="left"/>
      <w:pPr>
        <w:ind w:left="720" w:hanging="360"/>
      </w:pPr>
      <w:rPr>
        <w:rFonts w:ascii="Symbol" w:hAnsi="Symbol" w:hint="default"/>
      </w:rPr>
    </w:lvl>
    <w:lvl w:ilvl="1" w:tplc="1818CF64">
      <w:start w:val="1"/>
      <w:numFmt w:val="bullet"/>
      <w:lvlText w:val="o"/>
      <w:lvlJc w:val="left"/>
      <w:pPr>
        <w:ind w:left="1440" w:hanging="360"/>
      </w:pPr>
      <w:rPr>
        <w:rFonts w:ascii="Courier New" w:hAnsi="Courier New" w:hint="default"/>
      </w:rPr>
    </w:lvl>
    <w:lvl w:ilvl="2" w:tplc="C65EA066">
      <w:start w:val="1"/>
      <w:numFmt w:val="bullet"/>
      <w:lvlText w:val=""/>
      <w:lvlJc w:val="left"/>
      <w:pPr>
        <w:ind w:left="2160" w:hanging="360"/>
      </w:pPr>
      <w:rPr>
        <w:rFonts w:ascii="Wingdings" w:hAnsi="Wingdings" w:hint="default"/>
      </w:rPr>
    </w:lvl>
    <w:lvl w:ilvl="3" w:tplc="FD544D8E">
      <w:start w:val="1"/>
      <w:numFmt w:val="bullet"/>
      <w:lvlText w:val=""/>
      <w:lvlJc w:val="left"/>
      <w:pPr>
        <w:ind w:left="2880" w:hanging="360"/>
      </w:pPr>
      <w:rPr>
        <w:rFonts w:ascii="Symbol" w:hAnsi="Symbol" w:hint="default"/>
      </w:rPr>
    </w:lvl>
    <w:lvl w:ilvl="4" w:tplc="C70815C0">
      <w:start w:val="1"/>
      <w:numFmt w:val="bullet"/>
      <w:lvlText w:val="o"/>
      <w:lvlJc w:val="left"/>
      <w:pPr>
        <w:ind w:left="3600" w:hanging="360"/>
      </w:pPr>
      <w:rPr>
        <w:rFonts w:ascii="Courier New" w:hAnsi="Courier New" w:hint="default"/>
      </w:rPr>
    </w:lvl>
    <w:lvl w:ilvl="5" w:tplc="D88C198A">
      <w:start w:val="1"/>
      <w:numFmt w:val="bullet"/>
      <w:lvlText w:val=""/>
      <w:lvlJc w:val="left"/>
      <w:pPr>
        <w:ind w:left="4320" w:hanging="360"/>
      </w:pPr>
      <w:rPr>
        <w:rFonts w:ascii="Wingdings" w:hAnsi="Wingdings" w:hint="default"/>
      </w:rPr>
    </w:lvl>
    <w:lvl w:ilvl="6" w:tplc="45F43176">
      <w:start w:val="1"/>
      <w:numFmt w:val="bullet"/>
      <w:lvlText w:val=""/>
      <w:lvlJc w:val="left"/>
      <w:pPr>
        <w:ind w:left="5040" w:hanging="360"/>
      </w:pPr>
      <w:rPr>
        <w:rFonts w:ascii="Symbol" w:hAnsi="Symbol" w:hint="default"/>
      </w:rPr>
    </w:lvl>
    <w:lvl w:ilvl="7" w:tplc="CA8E479A">
      <w:start w:val="1"/>
      <w:numFmt w:val="bullet"/>
      <w:lvlText w:val="o"/>
      <w:lvlJc w:val="left"/>
      <w:pPr>
        <w:ind w:left="5760" w:hanging="360"/>
      </w:pPr>
      <w:rPr>
        <w:rFonts w:ascii="Courier New" w:hAnsi="Courier New" w:hint="default"/>
      </w:rPr>
    </w:lvl>
    <w:lvl w:ilvl="8" w:tplc="2D70A29E">
      <w:start w:val="1"/>
      <w:numFmt w:val="bullet"/>
      <w:lvlText w:val=""/>
      <w:lvlJc w:val="left"/>
      <w:pPr>
        <w:ind w:left="6480" w:hanging="360"/>
      </w:pPr>
      <w:rPr>
        <w:rFonts w:ascii="Wingdings" w:hAnsi="Wingdings" w:hint="default"/>
      </w:rPr>
    </w:lvl>
  </w:abstractNum>
  <w:abstractNum w:abstractNumId="2" w15:restartNumberingAfterBreak="0">
    <w:nsid w:val="1C2319CB"/>
    <w:multiLevelType w:val="hybridMultilevel"/>
    <w:tmpl w:val="FFFFFFFF"/>
    <w:lvl w:ilvl="0" w:tplc="614889BE">
      <w:start w:val="1"/>
      <w:numFmt w:val="bullet"/>
      <w:lvlText w:val=""/>
      <w:lvlJc w:val="left"/>
      <w:pPr>
        <w:ind w:left="720" w:hanging="360"/>
      </w:pPr>
      <w:rPr>
        <w:rFonts w:ascii="Symbol" w:hAnsi="Symbol" w:hint="default"/>
      </w:rPr>
    </w:lvl>
    <w:lvl w:ilvl="1" w:tplc="C8FC11A2">
      <w:start w:val="1"/>
      <w:numFmt w:val="bullet"/>
      <w:lvlText w:val="o"/>
      <w:lvlJc w:val="left"/>
      <w:pPr>
        <w:ind w:left="1440" w:hanging="360"/>
      </w:pPr>
      <w:rPr>
        <w:rFonts w:ascii="Courier New" w:hAnsi="Courier New" w:hint="default"/>
      </w:rPr>
    </w:lvl>
    <w:lvl w:ilvl="2" w:tplc="B9E03CBE">
      <w:start w:val="1"/>
      <w:numFmt w:val="bullet"/>
      <w:lvlText w:val=""/>
      <w:lvlJc w:val="left"/>
      <w:pPr>
        <w:ind w:left="2160" w:hanging="360"/>
      </w:pPr>
      <w:rPr>
        <w:rFonts w:ascii="Wingdings" w:hAnsi="Wingdings" w:hint="default"/>
      </w:rPr>
    </w:lvl>
    <w:lvl w:ilvl="3" w:tplc="D83ABD9A">
      <w:start w:val="1"/>
      <w:numFmt w:val="bullet"/>
      <w:lvlText w:val=""/>
      <w:lvlJc w:val="left"/>
      <w:pPr>
        <w:ind w:left="2880" w:hanging="360"/>
      </w:pPr>
      <w:rPr>
        <w:rFonts w:ascii="Symbol" w:hAnsi="Symbol" w:hint="default"/>
      </w:rPr>
    </w:lvl>
    <w:lvl w:ilvl="4" w:tplc="4D5E901E">
      <w:start w:val="1"/>
      <w:numFmt w:val="bullet"/>
      <w:lvlText w:val="o"/>
      <w:lvlJc w:val="left"/>
      <w:pPr>
        <w:ind w:left="3600" w:hanging="360"/>
      </w:pPr>
      <w:rPr>
        <w:rFonts w:ascii="Courier New" w:hAnsi="Courier New" w:hint="default"/>
      </w:rPr>
    </w:lvl>
    <w:lvl w:ilvl="5" w:tplc="3A74E950">
      <w:start w:val="1"/>
      <w:numFmt w:val="bullet"/>
      <w:lvlText w:val=""/>
      <w:lvlJc w:val="left"/>
      <w:pPr>
        <w:ind w:left="4320" w:hanging="360"/>
      </w:pPr>
      <w:rPr>
        <w:rFonts w:ascii="Wingdings" w:hAnsi="Wingdings" w:hint="default"/>
      </w:rPr>
    </w:lvl>
    <w:lvl w:ilvl="6" w:tplc="595A5DD4">
      <w:start w:val="1"/>
      <w:numFmt w:val="bullet"/>
      <w:lvlText w:val=""/>
      <w:lvlJc w:val="left"/>
      <w:pPr>
        <w:ind w:left="5040" w:hanging="360"/>
      </w:pPr>
      <w:rPr>
        <w:rFonts w:ascii="Symbol" w:hAnsi="Symbol" w:hint="default"/>
      </w:rPr>
    </w:lvl>
    <w:lvl w:ilvl="7" w:tplc="19FA103E">
      <w:start w:val="1"/>
      <w:numFmt w:val="bullet"/>
      <w:lvlText w:val="o"/>
      <w:lvlJc w:val="left"/>
      <w:pPr>
        <w:ind w:left="5760" w:hanging="360"/>
      </w:pPr>
      <w:rPr>
        <w:rFonts w:ascii="Courier New" w:hAnsi="Courier New" w:hint="default"/>
      </w:rPr>
    </w:lvl>
    <w:lvl w:ilvl="8" w:tplc="8D08E71E">
      <w:start w:val="1"/>
      <w:numFmt w:val="bullet"/>
      <w:lvlText w:val=""/>
      <w:lvlJc w:val="left"/>
      <w:pPr>
        <w:ind w:left="6480" w:hanging="360"/>
      </w:pPr>
      <w:rPr>
        <w:rFonts w:ascii="Wingdings" w:hAnsi="Wingdings" w:hint="default"/>
      </w:rPr>
    </w:lvl>
  </w:abstractNum>
  <w:abstractNum w:abstractNumId="3" w15:restartNumberingAfterBreak="0">
    <w:nsid w:val="34061202"/>
    <w:multiLevelType w:val="hybridMultilevel"/>
    <w:tmpl w:val="FFFFFFFF"/>
    <w:lvl w:ilvl="0" w:tplc="F6E67C4C">
      <w:start w:val="1"/>
      <w:numFmt w:val="bullet"/>
      <w:lvlText w:val=""/>
      <w:lvlJc w:val="left"/>
      <w:pPr>
        <w:ind w:left="720" w:hanging="360"/>
      </w:pPr>
      <w:rPr>
        <w:rFonts w:ascii="Symbol" w:hAnsi="Symbol" w:hint="default"/>
      </w:rPr>
    </w:lvl>
    <w:lvl w:ilvl="1" w:tplc="F3885846">
      <w:start w:val="1"/>
      <w:numFmt w:val="bullet"/>
      <w:lvlText w:val="o"/>
      <w:lvlJc w:val="left"/>
      <w:pPr>
        <w:ind w:left="1440" w:hanging="360"/>
      </w:pPr>
      <w:rPr>
        <w:rFonts w:ascii="Courier New" w:hAnsi="Courier New" w:hint="default"/>
      </w:rPr>
    </w:lvl>
    <w:lvl w:ilvl="2" w:tplc="0A3875A0">
      <w:start w:val="1"/>
      <w:numFmt w:val="bullet"/>
      <w:lvlText w:val=""/>
      <w:lvlJc w:val="left"/>
      <w:pPr>
        <w:ind w:left="2160" w:hanging="360"/>
      </w:pPr>
      <w:rPr>
        <w:rFonts w:ascii="Wingdings" w:hAnsi="Wingdings" w:hint="default"/>
      </w:rPr>
    </w:lvl>
    <w:lvl w:ilvl="3" w:tplc="EBC6CFCC">
      <w:start w:val="1"/>
      <w:numFmt w:val="bullet"/>
      <w:lvlText w:val=""/>
      <w:lvlJc w:val="left"/>
      <w:pPr>
        <w:ind w:left="2880" w:hanging="360"/>
      </w:pPr>
      <w:rPr>
        <w:rFonts w:ascii="Symbol" w:hAnsi="Symbol" w:hint="default"/>
      </w:rPr>
    </w:lvl>
    <w:lvl w:ilvl="4" w:tplc="4B2C4E58">
      <w:start w:val="1"/>
      <w:numFmt w:val="bullet"/>
      <w:lvlText w:val="o"/>
      <w:lvlJc w:val="left"/>
      <w:pPr>
        <w:ind w:left="3600" w:hanging="360"/>
      </w:pPr>
      <w:rPr>
        <w:rFonts w:ascii="Courier New" w:hAnsi="Courier New" w:hint="default"/>
      </w:rPr>
    </w:lvl>
    <w:lvl w:ilvl="5" w:tplc="E8C6763C">
      <w:start w:val="1"/>
      <w:numFmt w:val="bullet"/>
      <w:lvlText w:val=""/>
      <w:lvlJc w:val="left"/>
      <w:pPr>
        <w:ind w:left="4320" w:hanging="360"/>
      </w:pPr>
      <w:rPr>
        <w:rFonts w:ascii="Wingdings" w:hAnsi="Wingdings" w:hint="default"/>
      </w:rPr>
    </w:lvl>
    <w:lvl w:ilvl="6" w:tplc="3884906A">
      <w:start w:val="1"/>
      <w:numFmt w:val="bullet"/>
      <w:lvlText w:val=""/>
      <w:lvlJc w:val="left"/>
      <w:pPr>
        <w:ind w:left="5040" w:hanging="360"/>
      </w:pPr>
      <w:rPr>
        <w:rFonts w:ascii="Symbol" w:hAnsi="Symbol" w:hint="default"/>
      </w:rPr>
    </w:lvl>
    <w:lvl w:ilvl="7" w:tplc="C50E5134">
      <w:start w:val="1"/>
      <w:numFmt w:val="bullet"/>
      <w:lvlText w:val="o"/>
      <w:lvlJc w:val="left"/>
      <w:pPr>
        <w:ind w:left="5760" w:hanging="360"/>
      </w:pPr>
      <w:rPr>
        <w:rFonts w:ascii="Courier New" w:hAnsi="Courier New" w:hint="default"/>
      </w:rPr>
    </w:lvl>
    <w:lvl w:ilvl="8" w:tplc="9D649570">
      <w:start w:val="1"/>
      <w:numFmt w:val="bullet"/>
      <w:lvlText w:val=""/>
      <w:lvlJc w:val="left"/>
      <w:pPr>
        <w:ind w:left="6480" w:hanging="360"/>
      </w:pPr>
      <w:rPr>
        <w:rFonts w:ascii="Wingdings" w:hAnsi="Wingdings" w:hint="default"/>
      </w:rPr>
    </w:lvl>
  </w:abstractNum>
  <w:abstractNum w:abstractNumId="4" w15:restartNumberingAfterBreak="0">
    <w:nsid w:val="35456771"/>
    <w:multiLevelType w:val="hybridMultilevel"/>
    <w:tmpl w:val="FFFFFFFF"/>
    <w:lvl w:ilvl="0" w:tplc="6B80ACD8">
      <w:start w:val="1"/>
      <w:numFmt w:val="bullet"/>
      <w:lvlText w:val=""/>
      <w:lvlJc w:val="left"/>
      <w:pPr>
        <w:ind w:left="720" w:hanging="360"/>
      </w:pPr>
      <w:rPr>
        <w:rFonts w:ascii="Symbol" w:hAnsi="Symbol" w:hint="default"/>
      </w:rPr>
    </w:lvl>
    <w:lvl w:ilvl="1" w:tplc="8564E18E">
      <w:start w:val="1"/>
      <w:numFmt w:val="bullet"/>
      <w:lvlText w:val="o"/>
      <w:lvlJc w:val="left"/>
      <w:pPr>
        <w:ind w:left="1440" w:hanging="360"/>
      </w:pPr>
      <w:rPr>
        <w:rFonts w:ascii="Courier New" w:hAnsi="Courier New" w:hint="default"/>
      </w:rPr>
    </w:lvl>
    <w:lvl w:ilvl="2" w:tplc="829AD6C8">
      <w:start w:val="1"/>
      <w:numFmt w:val="bullet"/>
      <w:lvlText w:val=""/>
      <w:lvlJc w:val="left"/>
      <w:pPr>
        <w:ind w:left="2160" w:hanging="360"/>
      </w:pPr>
      <w:rPr>
        <w:rFonts w:ascii="Wingdings" w:hAnsi="Wingdings" w:hint="default"/>
      </w:rPr>
    </w:lvl>
    <w:lvl w:ilvl="3" w:tplc="36CA723E">
      <w:start w:val="1"/>
      <w:numFmt w:val="bullet"/>
      <w:lvlText w:val=""/>
      <w:lvlJc w:val="left"/>
      <w:pPr>
        <w:ind w:left="2880" w:hanging="360"/>
      </w:pPr>
      <w:rPr>
        <w:rFonts w:ascii="Symbol" w:hAnsi="Symbol" w:hint="default"/>
      </w:rPr>
    </w:lvl>
    <w:lvl w:ilvl="4" w:tplc="4776D5AE">
      <w:start w:val="1"/>
      <w:numFmt w:val="bullet"/>
      <w:lvlText w:val="o"/>
      <w:lvlJc w:val="left"/>
      <w:pPr>
        <w:ind w:left="3600" w:hanging="360"/>
      </w:pPr>
      <w:rPr>
        <w:rFonts w:ascii="Courier New" w:hAnsi="Courier New" w:hint="default"/>
      </w:rPr>
    </w:lvl>
    <w:lvl w:ilvl="5" w:tplc="14BA86E6">
      <w:start w:val="1"/>
      <w:numFmt w:val="bullet"/>
      <w:lvlText w:val=""/>
      <w:lvlJc w:val="left"/>
      <w:pPr>
        <w:ind w:left="4320" w:hanging="360"/>
      </w:pPr>
      <w:rPr>
        <w:rFonts w:ascii="Wingdings" w:hAnsi="Wingdings" w:hint="default"/>
      </w:rPr>
    </w:lvl>
    <w:lvl w:ilvl="6" w:tplc="B6CE94C8">
      <w:start w:val="1"/>
      <w:numFmt w:val="bullet"/>
      <w:lvlText w:val=""/>
      <w:lvlJc w:val="left"/>
      <w:pPr>
        <w:ind w:left="5040" w:hanging="360"/>
      </w:pPr>
      <w:rPr>
        <w:rFonts w:ascii="Symbol" w:hAnsi="Symbol" w:hint="default"/>
      </w:rPr>
    </w:lvl>
    <w:lvl w:ilvl="7" w:tplc="5A46BF32">
      <w:start w:val="1"/>
      <w:numFmt w:val="bullet"/>
      <w:lvlText w:val="o"/>
      <w:lvlJc w:val="left"/>
      <w:pPr>
        <w:ind w:left="5760" w:hanging="360"/>
      </w:pPr>
      <w:rPr>
        <w:rFonts w:ascii="Courier New" w:hAnsi="Courier New" w:hint="default"/>
      </w:rPr>
    </w:lvl>
    <w:lvl w:ilvl="8" w:tplc="66809F42">
      <w:start w:val="1"/>
      <w:numFmt w:val="bullet"/>
      <w:lvlText w:val=""/>
      <w:lvlJc w:val="left"/>
      <w:pPr>
        <w:ind w:left="6480" w:hanging="360"/>
      </w:pPr>
      <w:rPr>
        <w:rFonts w:ascii="Wingdings" w:hAnsi="Wingdings" w:hint="default"/>
      </w:rPr>
    </w:lvl>
  </w:abstractNum>
  <w:abstractNum w:abstractNumId="5" w15:restartNumberingAfterBreak="0">
    <w:nsid w:val="523B656C"/>
    <w:multiLevelType w:val="hybridMultilevel"/>
    <w:tmpl w:val="FFFFFFFF"/>
    <w:lvl w:ilvl="0" w:tplc="4768F5E2">
      <w:start w:val="1"/>
      <w:numFmt w:val="bullet"/>
      <w:lvlText w:val=""/>
      <w:lvlJc w:val="left"/>
      <w:pPr>
        <w:ind w:left="720" w:hanging="360"/>
      </w:pPr>
      <w:rPr>
        <w:rFonts w:ascii="Symbol" w:hAnsi="Symbol" w:hint="default"/>
      </w:rPr>
    </w:lvl>
    <w:lvl w:ilvl="1" w:tplc="901C215E">
      <w:start w:val="1"/>
      <w:numFmt w:val="bullet"/>
      <w:lvlText w:val="o"/>
      <w:lvlJc w:val="left"/>
      <w:pPr>
        <w:ind w:left="1440" w:hanging="360"/>
      </w:pPr>
      <w:rPr>
        <w:rFonts w:ascii="Courier New" w:hAnsi="Courier New" w:hint="default"/>
      </w:rPr>
    </w:lvl>
    <w:lvl w:ilvl="2" w:tplc="7A66046C">
      <w:start w:val="1"/>
      <w:numFmt w:val="bullet"/>
      <w:lvlText w:val=""/>
      <w:lvlJc w:val="left"/>
      <w:pPr>
        <w:ind w:left="2160" w:hanging="360"/>
      </w:pPr>
      <w:rPr>
        <w:rFonts w:ascii="Wingdings" w:hAnsi="Wingdings" w:hint="default"/>
      </w:rPr>
    </w:lvl>
    <w:lvl w:ilvl="3" w:tplc="E0DAB17C">
      <w:start w:val="1"/>
      <w:numFmt w:val="bullet"/>
      <w:lvlText w:val=""/>
      <w:lvlJc w:val="left"/>
      <w:pPr>
        <w:ind w:left="2880" w:hanging="360"/>
      </w:pPr>
      <w:rPr>
        <w:rFonts w:ascii="Symbol" w:hAnsi="Symbol" w:hint="default"/>
      </w:rPr>
    </w:lvl>
    <w:lvl w:ilvl="4" w:tplc="7C623724">
      <w:start w:val="1"/>
      <w:numFmt w:val="bullet"/>
      <w:lvlText w:val="o"/>
      <w:lvlJc w:val="left"/>
      <w:pPr>
        <w:ind w:left="3600" w:hanging="360"/>
      </w:pPr>
      <w:rPr>
        <w:rFonts w:ascii="Courier New" w:hAnsi="Courier New" w:hint="default"/>
      </w:rPr>
    </w:lvl>
    <w:lvl w:ilvl="5" w:tplc="BEE63430">
      <w:start w:val="1"/>
      <w:numFmt w:val="bullet"/>
      <w:lvlText w:val=""/>
      <w:lvlJc w:val="left"/>
      <w:pPr>
        <w:ind w:left="4320" w:hanging="360"/>
      </w:pPr>
      <w:rPr>
        <w:rFonts w:ascii="Wingdings" w:hAnsi="Wingdings" w:hint="default"/>
      </w:rPr>
    </w:lvl>
    <w:lvl w:ilvl="6" w:tplc="7854AA10">
      <w:start w:val="1"/>
      <w:numFmt w:val="bullet"/>
      <w:lvlText w:val=""/>
      <w:lvlJc w:val="left"/>
      <w:pPr>
        <w:ind w:left="5040" w:hanging="360"/>
      </w:pPr>
      <w:rPr>
        <w:rFonts w:ascii="Symbol" w:hAnsi="Symbol" w:hint="default"/>
      </w:rPr>
    </w:lvl>
    <w:lvl w:ilvl="7" w:tplc="CACEBD32">
      <w:start w:val="1"/>
      <w:numFmt w:val="bullet"/>
      <w:lvlText w:val="o"/>
      <w:lvlJc w:val="left"/>
      <w:pPr>
        <w:ind w:left="5760" w:hanging="360"/>
      </w:pPr>
      <w:rPr>
        <w:rFonts w:ascii="Courier New" w:hAnsi="Courier New" w:hint="default"/>
      </w:rPr>
    </w:lvl>
    <w:lvl w:ilvl="8" w:tplc="C590BC82">
      <w:start w:val="1"/>
      <w:numFmt w:val="bullet"/>
      <w:lvlText w:val=""/>
      <w:lvlJc w:val="left"/>
      <w:pPr>
        <w:ind w:left="6480" w:hanging="360"/>
      </w:pPr>
      <w:rPr>
        <w:rFonts w:ascii="Wingdings" w:hAnsi="Wingdings" w:hint="default"/>
      </w:rPr>
    </w:lvl>
  </w:abstractNum>
  <w:abstractNum w:abstractNumId="6" w15:restartNumberingAfterBreak="0">
    <w:nsid w:val="5D2806D3"/>
    <w:multiLevelType w:val="hybridMultilevel"/>
    <w:tmpl w:val="E3664CBA"/>
    <w:lvl w:ilvl="0" w:tplc="0F2421DA">
      <w:start w:val="1"/>
      <w:numFmt w:val="bullet"/>
      <w:lvlText w:val=""/>
      <w:lvlJc w:val="left"/>
      <w:pPr>
        <w:ind w:left="720" w:hanging="360"/>
      </w:pPr>
      <w:rPr>
        <w:rFonts w:ascii="Symbol" w:hAnsi="Symbol" w:hint="default"/>
      </w:rPr>
    </w:lvl>
    <w:lvl w:ilvl="1" w:tplc="FA16CB7E">
      <w:start w:val="1"/>
      <w:numFmt w:val="bullet"/>
      <w:lvlText w:val="o"/>
      <w:lvlJc w:val="left"/>
      <w:pPr>
        <w:ind w:left="1440" w:hanging="360"/>
      </w:pPr>
      <w:rPr>
        <w:rFonts w:ascii="Courier New" w:hAnsi="Courier New" w:hint="default"/>
      </w:rPr>
    </w:lvl>
    <w:lvl w:ilvl="2" w:tplc="3B7EA0CC">
      <w:start w:val="1"/>
      <w:numFmt w:val="bullet"/>
      <w:lvlText w:val=""/>
      <w:lvlJc w:val="left"/>
      <w:pPr>
        <w:ind w:left="2160" w:hanging="360"/>
      </w:pPr>
      <w:rPr>
        <w:rFonts w:ascii="Wingdings" w:hAnsi="Wingdings" w:hint="default"/>
      </w:rPr>
    </w:lvl>
    <w:lvl w:ilvl="3" w:tplc="5660F634">
      <w:start w:val="1"/>
      <w:numFmt w:val="bullet"/>
      <w:lvlText w:val=""/>
      <w:lvlJc w:val="left"/>
      <w:pPr>
        <w:ind w:left="2880" w:hanging="360"/>
      </w:pPr>
      <w:rPr>
        <w:rFonts w:ascii="Symbol" w:hAnsi="Symbol" w:hint="default"/>
      </w:rPr>
    </w:lvl>
    <w:lvl w:ilvl="4" w:tplc="F0C67DD2">
      <w:start w:val="1"/>
      <w:numFmt w:val="bullet"/>
      <w:lvlText w:val="o"/>
      <w:lvlJc w:val="left"/>
      <w:pPr>
        <w:ind w:left="3600" w:hanging="360"/>
      </w:pPr>
      <w:rPr>
        <w:rFonts w:ascii="Courier New" w:hAnsi="Courier New" w:hint="default"/>
      </w:rPr>
    </w:lvl>
    <w:lvl w:ilvl="5" w:tplc="6CFC6600">
      <w:start w:val="1"/>
      <w:numFmt w:val="bullet"/>
      <w:lvlText w:val=""/>
      <w:lvlJc w:val="left"/>
      <w:pPr>
        <w:ind w:left="4320" w:hanging="360"/>
      </w:pPr>
      <w:rPr>
        <w:rFonts w:ascii="Wingdings" w:hAnsi="Wingdings" w:hint="default"/>
      </w:rPr>
    </w:lvl>
    <w:lvl w:ilvl="6" w:tplc="6C06B0DC">
      <w:start w:val="1"/>
      <w:numFmt w:val="bullet"/>
      <w:lvlText w:val=""/>
      <w:lvlJc w:val="left"/>
      <w:pPr>
        <w:ind w:left="5040" w:hanging="360"/>
      </w:pPr>
      <w:rPr>
        <w:rFonts w:ascii="Symbol" w:hAnsi="Symbol" w:hint="default"/>
      </w:rPr>
    </w:lvl>
    <w:lvl w:ilvl="7" w:tplc="93B6305A">
      <w:start w:val="1"/>
      <w:numFmt w:val="bullet"/>
      <w:lvlText w:val="o"/>
      <w:lvlJc w:val="left"/>
      <w:pPr>
        <w:ind w:left="5760" w:hanging="360"/>
      </w:pPr>
      <w:rPr>
        <w:rFonts w:ascii="Courier New" w:hAnsi="Courier New" w:hint="default"/>
      </w:rPr>
    </w:lvl>
    <w:lvl w:ilvl="8" w:tplc="6E4CF27C">
      <w:start w:val="1"/>
      <w:numFmt w:val="bullet"/>
      <w:lvlText w:val=""/>
      <w:lvlJc w:val="left"/>
      <w:pPr>
        <w:ind w:left="6480" w:hanging="360"/>
      </w:pPr>
      <w:rPr>
        <w:rFonts w:ascii="Wingdings" w:hAnsi="Wingdings" w:hint="default"/>
      </w:rPr>
    </w:lvl>
  </w:abstractNum>
  <w:abstractNum w:abstractNumId="7" w15:restartNumberingAfterBreak="0">
    <w:nsid w:val="5EA3662C"/>
    <w:multiLevelType w:val="hybridMultilevel"/>
    <w:tmpl w:val="FEAA4B66"/>
    <w:lvl w:ilvl="0" w:tplc="0274846A">
      <w:start w:val="1"/>
      <w:numFmt w:val="bullet"/>
      <w:lvlText w:val=""/>
      <w:lvlJc w:val="left"/>
      <w:pPr>
        <w:ind w:left="720" w:hanging="360"/>
      </w:pPr>
      <w:rPr>
        <w:rFonts w:ascii="Symbol" w:hAnsi="Symbol" w:hint="default"/>
      </w:rPr>
    </w:lvl>
    <w:lvl w:ilvl="1" w:tplc="4C8609EE">
      <w:start w:val="1"/>
      <w:numFmt w:val="bullet"/>
      <w:lvlText w:val="o"/>
      <w:lvlJc w:val="left"/>
      <w:pPr>
        <w:ind w:left="1440" w:hanging="360"/>
      </w:pPr>
      <w:rPr>
        <w:rFonts w:ascii="Courier New" w:hAnsi="Courier New" w:hint="default"/>
      </w:rPr>
    </w:lvl>
    <w:lvl w:ilvl="2" w:tplc="38AEFBD0">
      <w:start w:val="1"/>
      <w:numFmt w:val="bullet"/>
      <w:lvlText w:val=""/>
      <w:lvlJc w:val="left"/>
      <w:pPr>
        <w:ind w:left="2160" w:hanging="360"/>
      </w:pPr>
      <w:rPr>
        <w:rFonts w:ascii="Wingdings" w:hAnsi="Wingdings" w:hint="default"/>
      </w:rPr>
    </w:lvl>
    <w:lvl w:ilvl="3" w:tplc="259AD490">
      <w:start w:val="1"/>
      <w:numFmt w:val="bullet"/>
      <w:lvlText w:val=""/>
      <w:lvlJc w:val="left"/>
      <w:pPr>
        <w:ind w:left="2880" w:hanging="360"/>
      </w:pPr>
      <w:rPr>
        <w:rFonts w:ascii="Symbol" w:hAnsi="Symbol" w:hint="default"/>
      </w:rPr>
    </w:lvl>
    <w:lvl w:ilvl="4" w:tplc="315ABC20">
      <w:start w:val="1"/>
      <w:numFmt w:val="bullet"/>
      <w:lvlText w:val="o"/>
      <w:lvlJc w:val="left"/>
      <w:pPr>
        <w:ind w:left="3600" w:hanging="360"/>
      </w:pPr>
      <w:rPr>
        <w:rFonts w:ascii="Courier New" w:hAnsi="Courier New" w:hint="default"/>
      </w:rPr>
    </w:lvl>
    <w:lvl w:ilvl="5" w:tplc="B748E302">
      <w:start w:val="1"/>
      <w:numFmt w:val="bullet"/>
      <w:lvlText w:val=""/>
      <w:lvlJc w:val="left"/>
      <w:pPr>
        <w:ind w:left="4320" w:hanging="360"/>
      </w:pPr>
      <w:rPr>
        <w:rFonts w:ascii="Wingdings" w:hAnsi="Wingdings" w:hint="default"/>
      </w:rPr>
    </w:lvl>
    <w:lvl w:ilvl="6" w:tplc="58460CFE">
      <w:start w:val="1"/>
      <w:numFmt w:val="bullet"/>
      <w:lvlText w:val=""/>
      <w:lvlJc w:val="left"/>
      <w:pPr>
        <w:ind w:left="5040" w:hanging="360"/>
      </w:pPr>
      <w:rPr>
        <w:rFonts w:ascii="Symbol" w:hAnsi="Symbol" w:hint="default"/>
      </w:rPr>
    </w:lvl>
    <w:lvl w:ilvl="7" w:tplc="C7DA9DB0">
      <w:start w:val="1"/>
      <w:numFmt w:val="bullet"/>
      <w:lvlText w:val="o"/>
      <w:lvlJc w:val="left"/>
      <w:pPr>
        <w:ind w:left="5760" w:hanging="360"/>
      </w:pPr>
      <w:rPr>
        <w:rFonts w:ascii="Courier New" w:hAnsi="Courier New" w:hint="default"/>
      </w:rPr>
    </w:lvl>
    <w:lvl w:ilvl="8" w:tplc="18D2B532">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
  </w:num>
  <w:num w:numId="4">
    <w:abstractNumId w:val="0"/>
  </w:num>
  <w:num w:numId="5">
    <w:abstractNumId w:val="5"/>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C6B"/>
    <w:rsid w:val="001F1CB0"/>
    <w:rsid w:val="005E0490"/>
    <w:rsid w:val="00765F26"/>
    <w:rsid w:val="00B470E4"/>
    <w:rsid w:val="00C04C6B"/>
    <w:rsid w:val="00DB60E7"/>
    <w:rsid w:val="061E8E1D"/>
    <w:rsid w:val="15F6CD3A"/>
    <w:rsid w:val="198D84E3"/>
    <w:rsid w:val="2157935E"/>
    <w:rsid w:val="29054F5D"/>
    <w:rsid w:val="34AD4570"/>
    <w:rsid w:val="39DC527D"/>
    <w:rsid w:val="4C774F89"/>
    <w:rsid w:val="4ED7BED8"/>
    <w:rsid w:val="532C81CC"/>
    <w:rsid w:val="60D57CA0"/>
    <w:rsid w:val="638086DB"/>
    <w:rsid w:val="6658E8B7"/>
    <w:rsid w:val="73594718"/>
    <w:rsid w:val="773D4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93F4"/>
  <w15:chartTrackingRefBased/>
  <w15:docId w15:val="{7FAD3670-12D5-DA42-9295-5B97E6F2F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C6B"/>
    <w:pPr>
      <w:spacing w:after="160" w:line="259"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4C6B"/>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C04C6B"/>
    <w:rPr>
      <w:sz w:val="16"/>
      <w:szCs w:val="16"/>
    </w:rPr>
  </w:style>
  <w:style w:type="paragraph" w:styleId="CommentText">
    <w:name w:val="annotation text"/>
    <w:basedOn w:val="Normal"/>
    <w:link w:val="CommentTextChar"/>
    <w:uiPriority w:val="99"/>
    <w:unhideWhenUsed/>
    <w:rsid w:val="00C04C6B"/>
    <w:pPr>
      <w:spacing w:line="240" w:lineRule="auto"/>
    </w:pPr>
    <w:rPr>
      <w:sz w:val="20"/>
      <w:szCs w:val="20"/>
    </w:rPr>
  </w:style>
  <w:style w:type="character" w:customStyle="1" w:styleId="CommentTextChar">
    <w:name w:val="Comment Text Char"/>
    <w:basedOn w:val="DefaultParagraphFont"/>
    <w:link w:val="CommentText"/>
    <w:uiPriority w:val="99"/>
    <w:rsid w:val="00C04C6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04C6B"/>
    <w:rPr>
      <w:b/>
      <w:bCs/>
    </w:rPr>
  </w:style>
  <w:style w:type="character" w:customStyle="1" w:styleId="CommentSubjectChar">
    <w:name w:val="Comment Subject Char"/>
    <w:basedOn w:val="CommentTextChar"/>
    <w:link w:val="CommentSubject"/>
    <w:uiPriority w:val="99"/>
    <w:semiHidden/>
    <w:rsid w:val="00C04C6B"/>
    <w:rPr>
      <w:b/>
      <w:bCs/>
      <w:kern w:val="0"/>
      <w:sz w:val="20"/>
      <w:szCs w:val="20"/>
      <w14:ligatures w14:val="none"/>
    </w:rPr>
  </w:style>
  <w:style w:type="paragraph" w:styleId="Revision">
    <w:name w:val="Revision"/>
    <w:hidden/>
    <w:uiPriority w:val="99"/>
    <w:semiHidden/>
    <w:rsid w:val="00C04C6B"/>
    <w:rPr>
      <w:kern w:val="0"/>
      <w:sz w:val="22"/>
      <w:szCs w:val="22"/>
      <w14:ligatures w14:val="none"/>
    </w:rPr>
  </w:style>
  <w:style w:type="paragraph" w:styleId="Header">
    <w:name w:val="header"/>
    <w:basedOn w:val="Normal"/>
    <w:link w:val="HeaderChar"/>
    <w:uiPriority w:val="99"/>
    <w:unhideWhenUsed/>
    <w:rsid w:val="00C04C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C6B"/>
    <w:rPr>
      <w:kern w:val="0"/>
      <w:sz w:val="22"/>
      <w:szCs w:val="22"/>
      <w14:ligatures w14:val="none"/>
    </w:rPr>
  </w:style>
  <w:style w:type="paragraph" w:styleId="Footer">
    <w:name w:val="footer"/>
    <w:basedOn w:val="Normal"/>
    <w:link w:val="FooterChar"/>
    <w:uiPriority w:val="99"/>
    <w:unhideWhenUsed/>
    <w:rsid w:val="00C04C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C6B"/>
    <w:rPr>
      <w:kern w:val="0"/>
      <w:sz w:val="22"/>
      <w:szCs w:val="22"/>
      <w14:ligatures w14:val="none"/>
    </w:rPr>
  </w:style>
  <w:style w:type="paragraph" w:customStyle="1" w:styleId="paragraph">
    <w:name w:val="paragraph"/>
    <w:basedOn w:val="Normal"/>
    <w:rsid w:val="00C04C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04C6B"/>
  </w:style>
  <w:style w:type="character" w:customStyle="1" w:styleId="eop">
    <w:name w:val="eop"/>
    <w:basedOn w:val="DefaultParagraphFont"/>
    <w:rsid w:val="00C04C6B"/>
  </w:style>
  <w:style w:type="character" w:styleId="Hyperlink">
    <w:name w:val="Hyperlink"/>
    <w:basedOn w:val="DefaultParagraphFont"/>
    <w:uiPriority w:val="99"/>
    <w:unhideWhenUsed/>
    <w:rsid w:val="00C04C6B"/>
    <w:rPr>
      <w:color w:val="0563C1" w:themeColor="hyperlink"/>
      <w:u w:val="single"/>
    </w:rPr>
  </w:style>
  <w:style w:type="paragraph" w:customStyle="1" w:styleId="msonormal0">
    <w:name w:val="msonormal"/>
    <w:basedOn w:val="Normal"/>
    <w:rsid w:val="00C04C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C04C6B"/>
  </w:style>
  <w:style w:type="character" w:styleId="PageNumber">
    <w:name w:val="page number"/>
    <w:basedOn w:val="DefaultParagraphFont"/>
    <w:uiPriority w:val="99"/>
    <w:semiHidden/>
    <w:unhideWhenUsed/>
    <w:rsid w:val="00C04C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36886</Words>
  <Characters>210251</Characters>
  <Application>Microsoft Office Word</Application>
  <DocSecurity>0</DocSecurity>
  <Lines>1752</Lines>
  <Paragraphs>493</Paragraphs>
  <ScaleCrop>false</ScaleCrop>
  <Company/>
  <LinksUpToDate>false</LinksUpToDate>
  <CharactersWithSpaces>246644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dc:creator>
  <cp:keywords/>
  <dc:description/>
  <cp:lastModifiedBy>Paul Alexander D.</cp:lastModifiedBy>
  <cp:revision>6</cp:revision>
  <dcterms:created xsi:type="dcterms:W3CDTF">2023-11-29T16:10:00Z</dcterms:created>
  <dcterms:modified xsi:type="dcterms:W3CDTF">2024-05-07T05:51:00Z</dcterms:modified>
</cp:coreProperties>
</file>