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vertAnchor="page" w:horzAnchor="margin" w:tblpY="1106"/>
        <w:tblW w:w="12996" w:type="dxa"/>
        <w:tblLayout w:type="fixed"/>
        <w:tblLook w:val="04A0" w:firstRow="1" w:lastRow="0" w:firstColumn="1" w:lastColumn="0" w:noHBand="0" w:noVBand="1"/>
      </w:tblPr>
      <w:tblGrid>
        <w:gridCol w:w="1696"/>
        <w:gridCol w:w="471"/>
        <w:gridCol w:w="1155"/>
        <w:gridCol w:w="359"/>
        <w:gridCol w:w="850"/>
        <w:gridCol w:w="1049"/>
        <w:gridCol w:w="216"/>
        <w:gridCol w:w="952"/>
        <w:gridCol w:w="1069"/>
        <w:gridCol w:w="116"/>
        <w:gridCol w:w="1730"/>
        <w:gridCol w:w="668"/>
        <w:gridCol w:w="216"/>
        <w:gridCol w:w="930"/>
        <w:gridCol w:w="318"/>
        <w:gridCol w:w="1201"/>
      </w:tblGrid>
      <w:tr w:rsidR="003D38AE" w:rsidRPr="00D7338A" w14:paraId="638BBFF6" w14:textId="77777777" w:rsidTr="003D38AE">
        <w:trPr>
          <w:trHeight w:val="168"/>
        </w:trPr>
        <w:tc>
          <w:tcPr>
            <w:tcW w:w="12996" w:type="dxa"/>
            <w:gridSpan w:val="16"/>
          </w:tcPr>
          <w:p w14:paraId="78BC1C04" w14:textId="09534ACD" w:rsidR="003D38AE" w:rsidRPr="00D7338A" w:rsidRDefault="003D38AE" w:rsidP="003D38AE">
            <w:pPr>
              <w:tabs>
                <w:tab w:val="left" w:pos="3990"/>
              </w:tabs>
              <w:spacing w:line="200" w:lineRule="exact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0"/>
                <w:szCs w:val="20"/>
              </w:rPr>
              <w:t xml:space="preserve">Supplementary </w:t>
            </w: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Table</w:t>
            </w:r>
            <w:r w:rsidR="00A46ACC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46BC5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Quality assessment of the included studies</w:t>
            </w:r>
          </w:p>
        </w:tc>
      </w:tr>
      <w:tr w:rsidR="003D38AE" w:rsidRPr="00D7338A" w14:paraId="32F335F6" w14:textId="77777777" w:rsidTr="003D38AE">
        <w:trPr>
          <w:trHeight w:val="168"/>
        </w:trPr>
        <w:tc>
          <w:tcPr>
            <w:tcW w:w="12996" w:type="dxa"/>
            <w:gridSpan w:val="16"/>
            <w:shd w:val="clear" w:color="auto" w:fill="AEAAAA" w:themeFill="background2" w:themeFillShade="BF"/>
            <w:hideMark/>
          </w:tcPr>
          <w:p w14:paraId="0350199C" w14:textId="3F26CBBE" w:rsidR="003D38AE" w:rsidRPr="00D7338A" w:rsidRDefault="008341F0" w:rsidP="003D38AE">
            <w:pPr>
              <w:tabs>
                <w:tab w:val="left" w:pos="3990"/>
              </w:tabs>
              <w:spacing w:line="200" w:lineRule="exact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(a) </w:t>
            </w:r>
            <w:r w:rsidR="003D38AE"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Quality assessment of the included non-randomized </w:t>
            </w:r>
            <w:r w:rsidR="003D38AE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cohort </w:t>
            </w:r>
            <w:r w:rsidR="003D38AE"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studies via Newcastle-Ottawa scale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(case-control studies)</w:t>
            </w:r>
          </w:p>
        </w:tc>
      </w:tr>
      <w:tr w:rsidR="003D38AE" w:rsidRPr="00D7338A" w14:paraId="3611460D" w14:textId="77777777" w:rsidTr="003D38AE">
        <w:trPr>
          <w:trHeight w:val="648"/>
        </w:trPr>
        <w:tc>
          <w:tcPr>
            <w:tcW w:w="1696" w:type="dxa"/>
            <w:vMerge w:val="restart"/>
            <w:hideMark/>
          </w:tcPr>
          <w:p w14:paraId="3769F25D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Publication</w:t>
            </w:r>
          </w:p>
        </w:tc>
        <w:tc>
          <w:tcPr>
            <w:tcW w:w="5052" w:type="dxa"/>
            <w:gridSpan w:val="7"/>
            <w:hideMark/>
          </w:tcPr>
          <w:p w14:paraId="7683BC03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6D0C450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Selection</w:t>
            </w:r>
          </w:p>
        </w:tc>
        <w:tc>
          <w:tcPr>
            <w:tcW w:w="1185" w:type="dxa"/>
            <w:gridSpan w:val="2"/>
            <w:vMerge w:val="restart"/>
            <w:hideMark/>
          </w:tcPr>
          <w:p w14:paraId="02080968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95D942E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Comparability</w:t>
            </w:r>
          </w:p>
        </w:tc>
        <w:tc>
          <w:tcPr>
            <w:tcW w:w="3544" w:type="dxa"/>
            <w:gridSpan w:val="4"/>
            <w:hideMark/>
          </w:tcPr>
          <w:p w14:paraId="660A616F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748BD0D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1519" w:type="dxa"/>
            <w:gridSpan w:val="2"/>
            <w:vMerge w:val="restart"/>
            <w:hideMark/>
          </w:tcPr>
          <w:p w14:paraId="7C896F30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F7B91FA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29C024F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Quality score (maximum=9)</w:t>
            </w:r>
          </w:p>
        </w:tc>
      </w:tr>
      <w:tr w:rsidR="003D38AE" w:rsidRPr="00D7338A" w14:paraId="7C16219F" w14:textId="77777777" w:rsidTr="003D38AE">
        <w:trPr>
          <w:trHeight w:val="635"/>
        </w:trPr>
        <w:tc>
          <w:tcPr>
            <w:tcW w:w="1696" w:type="dxa"/>
            <w:vMerge/>
            <w:hideMark/>
          </w:tcPr>
          <w:p w14:paraId="4FB920CA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gridSpan w:val="2"/>
            <w:hideMark/>
          </w:tcPr>
          <w:p w14:paraId="0C2BBB7B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Representativeness of the exposed cohort</w:t>
            </w:r>
          </w:p>
        </w:tc>
        <w:tc>
          <w:tcPr>
            <w:tcW w:w="1209" w:type="dxa"/>
            <w:gridSpan w:val="2"/>
            <w:hideMark/>
          </w:tcPr>
          <w:p w14:paraId="04C405D9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Selection of the non- exposed cohort</w:t>
            </w:r>
          </w:p>
        </w:tc>
        <w:tc>
          <w:tcPr>
            <w:tcW w:w="1265" w:type="dxa"/>
            <w:gridSpan w:val="2"/>
            <w:hideMark/>
          </w:tcPr>
          <w:p w14:paraId="6F211718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Ascertainment of the exposure</w:t>
            </w:r>
          </w:p>
        </w:tc>
        <w:tc>
          <w:tcPr>
            <w:tcW w:w="952" w:type="dxa"/>
            <w:hideMark/>
          </w:tcPr>
          <w:p w14:paraId="637FD593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Outcome status at start of study</w:t>
            </w:r>
          </w:p>
        </w:tc>
        <w:tc>
          <w:tcPr>
            <w:tcW w:w="1185" w:type="dxa"/>
            <w:gridSpan w:val="2"/>
            <w:vMerge/>
            <w:hideMark/>
          </w:tcPr>
          <w:p w14:paraId="3A314AEF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hideMark/>
          </w:tcPr>
          <w:p w14:paraId="10148732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Assessment of the outcome</w:t>
            </w:r>
          </w:p>
        </w:tc>
        <w:tc>
          <w:tcPr>
            <w:tcW w:w="884" w:type="dxa"/>
            <w:gridSpan w:val="2"/>
            <w:hideMark/>
          </w:tcPr>
          <w:p w14:paraId="7E9350DE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Length of follow-up</w:t>
            </w:r>
          </w:p>
        </w:tc>
        <w:tc>
          <w:tcPr>
            <w:tcW w:w="930" w:type="dxa"/>
            <w:hideMark/>
          </w:tcPr>
          <w:p w14:paraId="74924E54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Adequacy of follow-up</w:t>
            </w:r>
          </w:p>
        </w:tc>
        <w:tc>
          <w:tcPr>
            <w:tcW w:w="1519" w:type="dxa"/>
            <w:gridSpan w:val="2"/>
            <w:vMerge/>
            <w:hideMark/>
          </w:tcPr>
          <w:p w14:paraId="2BD3EC1F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38AE" w:rsidRPr="00D7338A" w14:paraId="30FDF733" w14:textId="77777777" w:rsidTr="003D38AE">
        <w:trPr>
          <w:trHeight w:val="158"/>
        </w:trPr>
        <w:tc>
          <w:tcPr>
            <w:tcW w:w="1696" w:type="dxa"/>
          </w:tcPr>
          <w:p w14:paraId="7814D216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Scrivo</w:t>
            </w:r>
            <w:r w:rsidRPr="00D7338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et al.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(2017)</w:t>
            </w:r>
          </w:p>
        </w:tc>
        <w:tc>
          <w:tcPr>
            <w:tcW w:w="1626" w:type="dxa"/>
            <w:gridSpan w:val="2"/>
          </w:tcPr>
          <w:p w14:paraId="51CC839D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209" w:type="dxa"/>
            <w:gridSpan w:val="2"/>
          </w:tcPr>
          <w:p w14:paraId="2DE1EDFC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</w:tcPr>
          <w:p w14:paraId="4F73AF1E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52" w:type="dxa"/>
          </w:tcPr>
          <w:p w14:paraId="2411F22F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185" w:type="dxa"/>
            <w:gridSpan w:val="2"/>
          </w:tcPr>
          <w:p w14:paraId="5F84B835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1730" w:type="dxa"/>
          </w:tcPr>
          <w:p w14:paraId="019BBFDF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884" w:type="dxa"/>
            <w:gridSpan w:val="2"/>
          </w:tcPr>
          <w:p w14:paraId="4F1C6FBB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30" w:type="dxa"/>
          </w:tcPr>
          <w:p w14:paraId="10F728BD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519" w:type="dxa"/>
            <w:gridSpan w:val="2"/>
          </w:tcPr>
          <w:p w14:paraId="74E28464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3D38AE" w:rsidRPr="00D7338A" w14:paraId="4597B43E" w14:textId="77777777" w:rsidTr="003D38AE">
        <w:trPr>
          <w:trHeight w:val="158"/>
        </w:trPr>
        <w:tc>
          <w:tcPr>
            <w:tcW w:w="1696" w:type="dxa"/>
            <w:tcBorders>
              <w:bottom w:val="single" w:sz="4" w:space="0" w:color="BFBFBF" w:themeColor="background1" w:themeShade="BF"/>
            </w:tcBorders>
          </w:tcPr>
          <w:p w14:paraId="1A013792" w14:textId="77777777" w:rsidR="003D38AE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Minamino et al. (2021)</w:t>
            </w:r>
          </w:p>
        </w:tc>
        <w:tc>
          <w:tcPr>
            <w:tcW w:w="1626" w:type="dxa"/>
            <w:gridSpan w:val="2"/>
            <w:tcBorders>
              <w:bottom w:val="single" w:sz="4" w:space="0" w:color="BFBFBF" w:themeColor="background1" w:themeShade="BF"/>
            </w:tcBorders>
          </w:tcPr>
          <w:p w14:paraId="3BBD9FED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209" w:type="dxa"/>
            <w:gridSpan w:val="2"/>
            <w:tcBorders>
              <w:bottom w:val="single" w:sz="4" w:space="0" w:color="BFBFBF" w:themeColor="background1" w:themeShade="BF"/>
            </w:tcBorders>
          </w:tcPr>
          <w:p w14:paraId="74AD104D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bottom w:val="single" w:sz="4" w:space="0" w:color="BFBFBF" w:themeColor="background1" w:themeShade="BF"/>
            </w:tcBorders>
          </w:tcPr>
          <w:p w14:paraId="2E574592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52" w:type="dxa"/>
            <w:tcBorders>
              <w:bottom w:val="single" w:sz="4" w:space="0" w:color="BFBFBF" w:themeColor="background1" w:themeShade="BF"/>
            </w:tcBorders>
          </w:tcPr>
          <w:p w14:paraId="6514C595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85" w:type="dxa"/>
            <w:gridSpan w:val="2"/>
            <w:tcBorders>
              <w:bottom w:val="single" w:sz="4" w:space="0" w:color="BFBFBF" w:themeColor="background1" w:themeShade="BF"/>
            </w:tcBorders>
          </w:tcPr>
          <w:p w14:paraId="68ECD345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1730" w:type="dxa"/>
            <w:tcBorders>
              <w:bottom w:val="single" w:sz="4" w:space="0" w:color="BFBFBF" w:themeColor="background1" w:themeShade="BF"/>
            </w:tcBorders>
          </w:tcPr>
          <w:p w14:paraId="6071FEB7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884" w:type="dxa"/>
            <w:gridSpan w:val="2"/>
            <w:tcBorders>
              <w:bottom w:val="single" w:sz="4" w:space="0" w:color="BFBFBF" w:themeColor="background1" w:themeShade="BF"/>
            </w:tcBorders>
          </w:tcPr>
          <w:p w14:paraId="1045ADF7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30" w:type="dxa"/>
            <w:tcBorders>
              <w:bottom w:val="single" w:sz="4" w:space="0" w:color="BFBFBF" w:themeColor="background1" w:themeShade="BF"/>
            </w:tcBorders>
          </w:tcPr>
          <w:p w14:paraId="5C2F9D64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9" w:type="dxa"/>
            <w:gridSpan w:val="2"/>
            <w:tcBorders>
              <w:bottom w:val="single" w:sz="4" w:space="0" w:color="BFBFBF" w:themeColor="background1" w:themeShade="BF"/>
            </w:tcBorders>
          </w:tcPr>
          <w:p w14:paraId="29B5FC2B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3D38AE" w:rsidRPr="00D7338A" w14:paraId="2B368E4A" w14:textId="77777777" w:rsidTr="003D38AE">
        <w:trPr>
          <w:trHeight w:val="158"/>
        </w:trPr>
        <w:tc>
          <w:tcPr>
            <w:tcW w:w="1696" w:type="dxa"/>
            <w:tcBorders>
              <w:bottom w:val="single" w:sz="4" w:space="0" w:color="BFBFBF" w:themeColor="background1" w:themeShade="BF"/>
            </w:tcBorders>
          </w:tcPr>
          <w:p w14:paraId="67EA9852" w14:textId="77777777" w:rsidR="003D38AE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Anyfanti et al. (2025)</w:t>
            </w:r>
          </w:p>
        </w:tc>
        <w:tc>
          <w:tcPr>
            <w:tcW w:w="1626" w:type="dxa"/>
            <w:gridSpan w:val="2"/>
            <w:tcBorders>
              <w:bottom w:val="single" w:sz="4" w:space="0" w:color="BFBFBF" w:themeColor="background1" w:themeShade="BF"/>
            </w:tcBorders>
          </w:tcPr>
          <w:p w14:paraId="2DE26DE9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209" w:type="dxa"/>
            <w:gridSpan w:val="2"/>
            <w:tcBorders>
              <w:bottom w:val="single" w:sz="4" w:space="0" w:color="BFBFBF" w:themeColor="background1" w:themeShade="BF"/>
            </w:tcBorders>
          </w:tcPr>
          <w:p w14:paraId="629F619A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bottom w:val="single" w:sz="4" w:space="0" w:color="BFBFBF" w:themeColor="background1" w:themeShade="BF"/>
            </w:tcBorders>
          </w:tcPr>
          <w:p w14:paraId="1770489C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52" w:type="dxa"/>
            <w:tcBorders>
              <w:bottom w:val="single" w:sz="4" w:space="0" w:color="BFBFBF" w:themeColor="background1" w:themeShade="BF"/>
            </w:tcBorders>
          </w:tcPr>
          <w:p w14:paraId="499E3F38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185" w:type="dxa"/>
            <w:gridSpan w:val="2"/>
            <w:tcBorders>
              <w:bottom w:val="single" w:sz="4" w:space="0" w:color="BFBFBF" w:themeColor="background1" w:themeShade="BF"/>
            </w:tcBorders>
          </w:tcPr>
          <w:p w14:paraId="56EC2A2C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730" w:type="dxa"/>
            <w:tcBorders>
              <w:bottom w:val="single" w:sz="4" w:space="0" w:color="BFBFBF" w:themeColor="background1" w:themeShade="BF"/>
            </w:tcBorders>
          </w:tcPr>
          <w:p w14:paraId="3D1ACA3A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884" w:type="dxa"/>
            <w:gridSpan w:val="2"/>
            <w:tcBorders>
              <w:bottom w:val="single" w:sz="4" w:space="0" w:color="BFBFBF" w:themeColor="background1" w:themeShade="BF"/>
            </w:tcBorders>
          </w:tcPr>
          <w:p w14:paraId="47CCF0A8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30" w:type="dxa"/>
            <w:tcBorders>
              <w:bottom w:val="single" w:sz="4" w:space="0" w:color="BFBFBF" w:themeColor="background1" w:themeShade="BF"/>
            </w:tcBorders>
          </w:tcPr>
          <w:p w14:paraId="1C3931DA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9" w:type="dxa"/>
            <w:gridSpan w:val="2"/>
            <w:tcBorders>
              <w:bottom w:val="single" w:sz="4" w:space="0" w:color="BFBFBF" w:themeColor="background1" w:themeShade="BF"/>
            </w:tcBorders>
          </w:tcPr>
          <w:p w14:paraId="593A4359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3D38AE" w:rsidRPr="00D7338A" w14:paraId="27657609" w14:textId="77777777" w:rsidTr="003D38AE">
        <w:trPr>
          <w:trHeight w:val="158"/>
        </w:trPr>
        <w:tc>
          <w:tcPr>
            <w:tcW w:w="12996" w:type="dxa"/>
            <w:gridSpan w:val="16"/>
            <w:tcBorders>
              <w:bottom w:val="single" w:sz="4" w:space="0" w:color="auto"/>
            </w:tcBorders>
            <w:shd w:val="clear" w:color="auto" w:fill="AEAAAA" w:themeFill="background2" w:themeFillShade="BF"/>
          </w:tcPr>
          <w:p w14:paraId="66FD885E" w14:textId="5C802C31" w:rsidR="003D38AE" w:rsidRPr="00D7338A" w:rsidRDefault="008341F0" w:rsidP="003D38AE">
            <w:pPr>
              <w:spacing w:line="200" w:lineRule="exact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(b) </w:t>
            </w:r>
            <w:r w:rsidR="003D38AE"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Quality assessment of the included non-randomized </w:t>
            </w:r>
            <w:r w:rsidR="003D38AE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case-control </w:t>
            </w:r>
            <w:r w:rsidR="003D38AE"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studies via Newcastle-Ottawa scale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(cohort studies)</w:t>
            </w:r>
          </w:p>
        </w:tc>
      </w:tr>
      <w:tr w:rsidR="003D38AE" w:rsidRPr="00D7338A" w14:paraId="5B38A0E6" w14:textId="77777777" w:rsidTr="003D38AE">
        <w:trPr>
          <w:trHeight w:val="158"/>
        </w:trPr>
        <w:tc>
          <w:tcPr>
            <w:tcW w:w="1696" w:type="dxa"/>
            <w:tcBorders>
              <w:top w:val="single" w:sz="4" w:space="0" w:color="auto"/>
            </w:tcBorders>
          </w:tcPr>
          <w:p w14:paraId="7A6E02B8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Publication</w:t>
            </w:r>
          </w:p>
        </w:tc>
        <w:tc>
          <w:tcPr>
            <w:tcW w:w="5052" w:type="dxa"/>
            <w:gridSpan w:val="7"/>
            <w:tcBorders>
              <w:top w:val="single" w:sz="4" w:space="0" w:color="auto"/>
            </w:tcBorders>
          </w:tcPr>
          <w:p w14:paraId="696B49AC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3F63D00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Selection</w:t>
            </w:r>
          </w:p>
        </w:tc>
        <w:tc>
          <w:tcPr>
            <w:tcW w:w="1185" w:type="dxa"/>
            <w:gridSpan w:val="2"/>
            <w:vMerge w:val="restart"/>
            <w:tcBorders>
              <w:top w:val="single" w:sz="4" w:space="0" w:color="auto"/>
            </w:tcBorders>
          </w:tcPr>
          <w:p w14:paraId="288F09F5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27DD77F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Comparability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</w:tcBorders>
          </w:tcPr>
          <w:p w14:paraId="00C0CE4D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FB7050F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1519" w:type="dxa"/>
            <w:gridSpan w:val="2"/>
            <w:vMerge w:val="restart"/>
            <w:tcBorders>
              <w:top w:val="single" w:sz="4" w:space="0" w:color="auto"/>
            </w:tcBorders>
          </w:tcPr>
          <w:p w14:paraId="2B4A0D48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2EC59B3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039FA00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Quality score (maximum=9)</w:t>
            </w:r>
          </w:p>
        </w:tc>
      </w:tr>
      <w:tr w:rsidR="003D38AE" w:rsidRPr="00D7338A" w14:paraId="07D04E1C" w14:textId="77777777" w:rsidTr="003D38AE">
        <w:trPr>
          <w:trHeight w:val="158"/>
        </w:trPr>
        <w:tc>
          <w:tcPr>
            <w:tcW w:w="1696" w:type="dxa"/>
          </w:tcPr>
          <w:p w14:paraId="26817BA9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gridSpan w:val="2"/>
          </w:tcPr>
          <w:p w14:paraId="5071CFA5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Representativeness of 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209" w:type="dxa"/>
            <w:gridSpan w:val="2"/>
          </w:tcPr>
          <w:p w14:paraId="3937D132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Selection of 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controls</w:t>
            </w:r>
          </w:p>
        </w:tc>
        <w:tc>
          <w:tcPr>
            <w:tcW w:w="1265" w:type="dxa"/>
            <w:gridSpan w:val="2"/>
          </w:tcPr>
          <w:p w14:paraId="2D61465A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Adequate case definition</w:t>
            </w:r>
          </w:p>
        </w:tc>
        <w:tc>
          <w:tcPr>
            <w:tcW w:w="952" w:type="dxa"/>
          </w:tcPr>
          <w:p w14:paraId="07D4C6B6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Definition of controls</w:t>
            </w:r>
          </w:p>
        </w:tc>
        <w:tc>
          <w:tcPr>
            <w:tcW w:w="1185" w:type="dxa"/>
            <w:gridSpan w:val="2"/>
            <w:vMerge/>
          </w:tcPr>
          <w:p w14:paraId="08D7E9B2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5E2D0045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Ascertainment of exposure</w:t>
            </w:r>
          </w:p>
        </w:tc>
        <w:tc>
          <w:tcPr>
            <w:tcW w:w="884" w:type="dxa"/>
            <w:gridSpan w:val="2"/>
          </w:tcPr>
          <w:p w14:paraId="7F703027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Same method for cases and control </w:t>
            </w:r>
          </w:p>
        </w:tc>
        <w:tc>
          <w:tcPr>
            <w:tcW w:w="930" w:type="dxa"/>
          </w:tcPr>
          <w:p w14:paraId="0DF44740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Non-response rate</w:t>
            </w:r>
          </w:p>
        </w:tc>
        <w:tc>
          <w:tcPr>
            <w:tcW w:w="1519" w:type="dxa"/>
            <w:gridSpan w:val="2"/>
            <w:vMerge/>
          </w:tcPr>
          <w:p w14:paraId="6F5E181F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38AE" w:rsidRPr="00D7338A" w14:paraId="5336910A" w14:textId="77777777" w:rsidTr="003D38AE">
        <w:trPr>
          <w:trHeight w:val="158"/>
        </w:trPr>
        <w:tc>
          <w:tcPr>
            <w:tcW w:w="1696" w:type="dxa"/>
          </w:tcPr>
          <w:p w14:paraId="5D512A90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Kianifard et al. (2014)</w:t>
            </w:r>
          </w:p>
        </w:tc>
        <w:tc>
          <w:tcPr>
            <w:tcW w:w="1626" w:type="dxa"/>
            <w:gridSpan w:val="2"/>
          </w:tcPr>
          <w:p w14:paraId="0DDABE77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209" w:type="dxa"/>
            <w:gridSpan w:val="2"/>
          </w:tcPr>
          <w:p w14:paraId="1BC9A124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265" w:type="dxa"/>
            <w:gridSpan w:val="2"/>
          </w:tcPr>
          <w:p w14:paraId="2137A79D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52" w:type="dxa"/>
          </w:tcPr>
          <w:p w14:paraId="6F25FB16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185" w:type="dxa"/>
            <w:gridSpan w:val="2"/>
          </w:tcPr>
          <w:p w14:paraId="1F1E7F05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1730" w:type="dxa"/>
          </w:tcPr>
          <w:p w14:paraId="6FFB9863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884" w:type="dxa"/>
            <w:gridSpan w:val="2"/>
          </w:tcPr>
          <w:p w14:paraId="2212094D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30" w:type="dxa"/>
          </w:tcPr>
          <w:p w14:paraId="28FB81DA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9" w:type="dxa"/>
            <w:gridSpan w:val="2"/>
          </w:tcPr>
          <w:p w14:paraId="53B1487C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3D38AE" w:rsidRPr="00D7338A" w14:paraId="4466A474" w14:textId="77777777" w:rsidTr="003D38AE">
        <w:trPr>
          <w:trHeight w:val="158"/>
        </w:trPr>
        <w:tc>
          <w:tcPr>
            <w:tcW w:w="1696" w:type="dxa"/>
          </w:tcPr>
          <w:p w14:paraId="6F671E39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Marouen</w:t>
            </w:r>
            <w:r w:rsidRPr="00D7338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et al.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(2017)</w:t>
            </w:r>
          </w:p>
        </w:tc>
        <w:tc>
          <w:tcPr>
            <w:tcW w:w="1626" w:type="dxa"/>
            <w:gridSpan w:val="2"/>
          </w:tcPr>
          <w:p w14:paraId="61FF58A1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209" w:type="dxa"/>
            <w:gridSpan w:val="2"/>
          </w:tcPr>
          <w:p w14:paraId="1BF8164C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265" w:type="dxa"/>
            <w:gridSpan w:val="2"/>
          </w:tcPr>
          <w:p w14:paraId="177C141D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52" w:type="dxa"/>
          </w:tcPr>
          <w:p w14:paraId="0E1C6059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185" w:type="dxa"/>
            <w:gridSpan w:val="2"/>
          </w:tcPr>
          <w:p w14:paraId="71A8F891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1730" w:type="dxa"/>
          </w:tcPr>
          <w:p w14:paraId="7A54C264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884" w:type="dxa"/>
            <w:gridSpan w:val="2"/>
          </w:tcPr>
          <w:p w14:paraId="20B26FF0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30" w:type="dxa"/>
          </w:tcPr>
          <w:p w14:paraId="787D1C88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9" w:type="dxa"/>
            <w:gridSpan w:val="2"/>
          </w:tcPr>
          <w:p w14:paraId="72BC7F25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3D38AE" w:rsidRPr="00D7338A" w14:paraId="164F622B" w14:textId="77777777" w:rsidTr="003D38AE">
        <w:trPr>
          <w:trHeight w:val="158"/>
        </w:trPr>
        <w:tc>
          <w:tcPr>
            <w:tcW w:w="1696" w:type="dxa"/>
          </w:tcPr>
          <w:p w14:paraId="30BFD347" w14:textId="77777777" w:rsidR="003D38AE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Carranza-Leon et al. (2017)</w:t>
            </w:r>
          </w:p>
        </w:tc>
        <w:tc>
          <w:tcPr>
            <w:tcW w:w="1626" w:type="dxa"/>
            <w:gridSpan w:val="2"/>
          </w:tcPr>
          <w:p w14:paraId="4A191C2A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209" w:type="dxa"/>
            <w:gridSpan w:val="2"/>
          </w:tcPr>
          <w:p w14:paraId="405A5B23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265" w:type="dxa"/>
            <w:gridSpan w:val="2"/>
          </w:tcPr>
          <w:p w14:paraId="65672C6C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52" w:type="dxa"/>
          </w:tcPr>
          <w:p w14:paraId="42201BDA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185" w:type="dxa"/>
            <w:gridSpan w:val="2"/>
          </w:tcPr>
          <w:p w14:paraId="64D95442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730" w:type="dxa"/>
          </w:tcPr>
          <w:p w14:paraId="00824E8F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884" w:type="dxa"/>
            <w:gridSpan w:val="2"/>
          </w:tcPr>
          <w:p w14:paraId="220C6A9D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30" w:type="dxa"/>
          </w:tcPr>
          <w:p w14:paraId="5162D862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9" w:type="dxa"/>
            <w:gridSpan w:val="2"/>
          </w:tcPr>
          <w:p w14:paraId="58141AA7" w14:textId="77777777" w:rsidR="003D38AE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3D38AE" w:rsidRPr="00D7338A" w14:paraId="1B50F7F4" w14:textId="77777777" w:rsidTr="003D38AE">
        <w:trPr>
          <w:trHeight w:val="158"/>
        </w:trPr>
        <w:tc>
          <w:tcPr>
            <w:tcW w:w="1696" w:type="dxa"/>
          </w:tcPr>
          <w:p w14:paraId="7E75DBDE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Vitales-Noyola et al. (2018)</w:t>
            </w:r>
          </w:p>
        </w:tc>
        <w:tc>
          <w:tcPr>
            <w:tcW w:w="1626" w:type="dxa"/>
            <w:gridSpan w:val="2"/>
          </w:tcPr>
          <w:p w14:paraId="0A80C219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209" w:type="dxa"/>
            <w:gridSpan w:val="2"/>
          </w:tcPr>
          <w:p w14:paraId="08A2E2AC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265" w:type="dxa"/>
            <w:gridSpan w:val="2"/>
          </w:tcPr>
          <w:p w14:paraId="6BDE8CB1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52" w:type="dxa"/>
          </w:tcPr>
          <w:p w14:paraId="53C84295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185" w:type="dxa"/>
            <w:gridSpan w:val="2"/>
          </w:tcPr>
          <w:p w14:paraId="44AF37B4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730" w:type="dxa"/>
          </w:tcPr>
          <w:p w14:paraId="10F8CB9C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884" w:type="dxa"/>
            <w:gridSpan w:val="2"/>
          </w:tcPr>
          <w:p w14:paraId="33A7E3A2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30" w:type="dxa"/>
          </w:tcPr>
          <w:p w14:paraId="4AD48E06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9" w:type="dxa"/>
            <w:gridSpan w:val="2"/>
          </w:tcPr>
          <w:p w14:paraId="575963A8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3D38AE" w:rsidRPr="00D7338A" w14:paraId="2918F842" w14:textId="77777777" w:rsidTr="003D38AE">
        <w:trPr>
          <w:trHeight w:val="158"/>
        </w:trPr>
        <w:tc>
          <w:tcPr>
            <w:tcW w:w="1696" w:type="dxa"/>
          </w:tcPr>
          <w:p w14:paraId="0C450FE7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gridSpan w:val="2"/>
          </w:tcPr>
          <w:p w14:paraId="507FD69A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gridSpan w:val="2"/>
          </w:tcPr>
          <w:p w14:paraId="5358A8F0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gridSpan w:val="2"/>
          </w:tcPr>
          <w:p w14:paraId="0B55D49C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</w:tcPr>
          <w:p w14:paraId="76CA1AD8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gridSpan w:val="2"/>
          </w:tcPr>
          <w:p w14:paraId="4274B6D2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129674ED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gridSpan w:val="2"/>
          </w:tcPr>
          <w:p w14:paraId="31106B62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</w:tcPr>
          <w:p w14:paraId="5DF46CC9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gridSpan w:val="2"/>
          </w:tcPr>
          <w:p w14:paraId="04FE413A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38AE" w:rsidRPr="00D7338A" w14:paraId="09F3D55B" w14:textId="77777777" w:rsidTr="003D38AE">
        <w:trPr>
          <w:trHeight w:val="168"/>
        </w:trPr>
        <w:tc>
          <w:tcPr>
            <w:tcW w:w="12996" w:type="dxa"/>
            <w:gridSpan w:val="16"/>
            <w:shd w:val="clear" w:color="auto" w:fill="AEAAAA" w:themeFill="background2" w:themeFillShade="BF"/>
            <w:hideMark/>
          </w:tcPr>
          <w:p w14:paraId="3DF8B991" w14:textId="46A8EDCD" w:rsidR="003D38AE" w:rsidRPr="00D7338A" w:rsidRDefault="008341F0" w:rsidP="003D38AE">
            <w:pPr>
              <w:spacing w:line="200" w:lineRule="exact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(c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)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D38AE"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Quality assessment of the included randomized controlled trials via Cochrane risk of bias 2 tool</w:t>
            </w:r>
          </w:p>
        </w:tc>
      </w:tr>
      <w:tr w:rsidR="003D38AE" w:rsidRPr="00D7338A" w14:paraId="1B224D3F" w14:textId="77777777" w:rsidTr="003D38AE">
        <w:trPr>
          <w:trHeight w:val="665"/>
        </w:trPr>
        <w:tc>
          <w:tcPr>
            <w:tcW w:w="2167" w:type="dxa"/>
            <w:gridSpan w:val="2"/>
            <w:hideMark/>
          </w:tcPr>
          <w:p w14:paraId="6A4CCA30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First author</w:t>
            </w:r>
          </w:p>
          <w:p w14:paraId="1EF5943E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Year of publication</w:t>
            </w:r>
          </w:p>
        </w:tc>
        <w:tc>
          <w:tcPr>
            <w:tcW w:w="1514" w:type="dxa"/>
            <w:gridSpan w:val="2"/>
            <w:hideMark/>
          </w:tcPr>
          <w:p w14:paraId="4E44CB37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Randomization process</w:t>
            </w:r>
          </w:p>
        </w:tc>
        <w:tc>
          <w:tcPr>
            <w:tcW w:w="1899" w:type="dxa"/>
            <w:gridSpan w:val="2"/>
            <w:hideMark/>
          </w:tcPr>
          <w:p w14:paraId="4034DBC4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Deviations from the intended interventions</w:t>
            </w:r>
          </w:p>
        </w:tc>
        <w:tc>
          <w:tcPr>
            <w:tcW w:w="2237" w:type="dxa"/>
            <w:gridSpan w:val="3"/>
            <w:hideMark/>
          </w:tcPr>
          <w:p w14:paraId="46DFBF6D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Missing outcome data</w:t>
            </w:r>
          </w:p>
        </w:tc>
        <w:tc>
          <w:tcPr>
            <w:tcW w:w="2514" w:type="dxa"/>
            <w:gridSpan w:val="3"/>
            <w:hideMark/>
          </w:tcPr>
          <w:p w14:paraId="10BF8E8B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Measurement of outcomes</w:t>
            </w:r>
          </w:p>
        </w:tc>
        <w:tc>
          <w:tcPr>
            <w:tcW w:w="1464" w:type="dxa"/>
            <w:gridSpan w:val="3"/>
            <w:hideMark/>
          </w:tcPr>
          <w:p w14:paraId="1FCC2B16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Selection of the reported result</w:t>
            </w:r>
          </w:p>
        </w:tc>
        <w:tc>
          <w:tcPr>
            <w:tcW w:w="1201" w:type="dxa"/>
            <w:hideMark/>
          </w:tcPr>
          <w:p w14:paraId="769DB47E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338A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Overall</w:t>
            </w:r>
          </w:p>
        </w:tc>
      </w:tr>
      <w:tr w:rsidR="003D38AE" w:rsidRPr="00D7338A" w14:paraId="3EC0C90A" w14:textId="77777777" w:rsidTr="003D38AE">
        <w:trPr>
          <w:trHeight w:val="158"/>
        </w:trPr>
        <w:tc>
          <w:tcPr>
            <w:tcW w:w="2167" w:type="dxa"/>
            <w:gridSpan w:val="2"/>
          </w:tcPr>
          <w:p w14:paraId="0DFA2CF3" w14:textId="77777777" w:rsidR="003D38AE" w:rsidRPr="00D7338A" w:rsidRDefault="003D38AE" w:rsidP="003D38AE">
            <w:pPr>
              <w:spacing w:line="200" w:lineRule="exac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Kianifard et al. (2024)</w:t>
            </w:r>
          </w:p>
        </w:tc>
        <w:tc>
          <w:tcPr>
            <w:tcW w:w="1514" w:type="dxa"/>
            <w:gridSpan w:val="2"/>
          </w:tcPr>
          <w:p w14:paraId="519B2F8E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t>Some concerns</w:t>
            </w:r>
          </w:p>
        </w:tc>
        <w:tc>
          <w:tcPr>
            <w:tcW w:w="1899" w:type="dxa"/>
            <w:gridSpan w:val="2"/>
          </w:tcPr>
          <w:p w14:paraId="497C4D27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t>Some concerns</w:t>
            </w:r>
          </w:p>
        </w:tc>
        <w:tc>
          <w:tcPr>
            <w:tcW w:w="2237" w:type="dxa"/>
            <w:gridSpan w:val="3"/>
          </w:tcPr>
          <w:p w14:paraId="40A8A098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t>Some concerns</w:t>
            </w:r>
          </w:p>
        </w:tc>
        <w:tc>
          <w:tcPr>
            <w:tcW w:w="2514" w:type="dxa"/>
            <w:gridSpan w:val="3"/>
          </w:tcPr>
          <w:p w14:paraId="2025AF61" w14:textId="77777777" w:rsidR="003D38AE" w:rsidRPr="00D7338A" w:rsidRDefault="00FC09E1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L</w:t>
            </w:r>
            <w:r w:rsidR="003D38AE" w:rsidRPr="00D7338A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ow risk</w:t>
            </w:r>
          </w:p>
        </w:tc>
        <w:tc>
          <w:tcPr>
            <w:tcW w:w="1464" w:type="dxa"/>
            <w:gridSpan w:val="3"/>
          </w:tcPr>
          <w:p w14:paraId="60C5CCA4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t>Some concerns</w:t>
            </w:r>
          </w:p>
        </w:tc>
        <w:tc>
          <w:tcPr>
            <w:tcW w:w="1201" w:type="dxa"/>
          </w:tcPr>
          <w:p w14:paraId="1F489675" w14:textId="77777777" w:rsidR="003D38AE" w:rsidRPr="00D7338A" w:rsidRDefault="003D38AE" w:rsidP="003D38AE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t>Some concerns</w:t>
            </w:r>
          </w:p>
        </w:tc>
      </w:tr>
    </w:tbl>
    <w:p w14:paraId="04ED69DD" w14:textId="77777777" w:rsidR="00DA1021" w:rsidRDefault="00DA1021" w:rsidP="003D38AE"/>
    <w:sectPr w:rsidR="00DA1021" w:rsidSect="00D55833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7EE"/>
    <w:rsid w:val="00045E79"/>
    <w:rsid w:val="0005293C"/>
    <w:rsid w:val="00093C22"/>
    <w:rsid w:val="003D38AE"/>
    <w:rsid w:val="004837FE"/>
    <w:rsid w:val="008341F0"/>
    <w:rsid w:val="009757EE"/>
    <w:rsid w:val="00997E14"/>
    <w:rsid w:val="00A46ACC"/>
    <w:rsid w:val="00A7596E"/>
    <w:rsid w:val="00C7547D"/>
    <w:rsid w:val="00D55833"/>
    <w:rsid w:val="00DA1021"/>
    <w:rsid w:val="00DA64F9"/>
    <w:rsid w:val="00F23C91"/>
    <w:rsid w:val="00FC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0FE91"/>
  <w15:chartTrackingRefBased/>
  <w15:docId w15:val="{AEB7B602-BC6B-4F74-B2D0-F916B6E19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D5583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Panagiota Anyfanti</cp:lastModifiedBy>
  <cp:revision>12</cp:revision>
  <dcterms:created xsi:type="dcterms:W3CDTF">2026-01-01T10:05:00Z</dcterms:created>
  <dcterms:modified xsi:type="dcterms:W3CDTF">2026-01-12T08:35:00Z</dcterms:modified>
</cp:coreProperties>
</file>