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FE2A" w14:textId="77777777" w:rsidR="00576D50" w:rsidRPr="00BE04C6" w:rsidRDefault="00576D50" w:rsidP="00576D5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r w:rsidRPr="00BE04C6">
        <w:rPr>
          <w:rFonts w:ascii="Times New Roman" w:hAnsi="Times New Roman" w:cs="Times New Roman"/>
          <w:b/>
          <w:bCs/>
          <w:sz w:val="24"/>
          <w:szCs w:val="24"/>
          <w:lang w:val="en-US"/>
        </w:rPr>
        <w:t>aterial 3:</w:t>
      </w:r>
    </w:p>
    <w:p w14:paraId="775E6FE4" w14:textId="77777777" w:rsidR="00576D50" w:rsidRPr="00BE04C6" w:rsidRDefault="00576D50" w:rsidP="00576D50">
      <w:pPr>
        <w:rPr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The ICD-10 codes of the primary diagnoses used to obtain the data from the visits to specialized medical care:</w:t>
      </w:r>
      <w:r w:rsidRPr="00BE04C6">
        <w:rPr>
          <w:lang w:val="en-US"/>
        </w:rPr>
        <w:t xml:space="preserve"> </w:t>
      </w:r>
    </w:p>
    <w:p w14:paraId="7CF775DC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A00–B99: Certain infectious and parasitic diseases </w:t>
      </w:r>
    </w:p>
    <w:p w14:paraId="3C7178D3" w14:textId="77777777" w:rsidR="00576D50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6C3">
        <w:rPr>
          <w:rFonts w:ascii="Times New Roman" w:hAnsi="Times New Roman" w:cs="Times New Roman"/>
          <w:sz w:val="24"/>
          <w:szCs w:val="24"/>
        </w:rPr>
        <w:t>C00-D48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306C3">
        <w:rPr>
          <w:rFonts w:ascii="Times New Roman" w:hAnsi="Times New Roman" w:cs="Times New Roman"/>
          <w:sz w:val="24"/>
          <w:szCs w:val="24"/>
        </w:rPr>
        <w:t xml:space="preserve"> Neoplasms </w:t>
      </w:r>
    </w:p>
    <w:p w14:paraId="683512E3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D50–D89: Diseases of the blood and blood-forming organs and certain disorders involving the immune mechanism </w:t>
      </w:r>
    </w:p>
    <w:p w14:paraId="57227F4E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E00–E90: Endocrine, nutritional and metabolic diseases </w:t>
      </w:r>
    </w:p>
    <w:p w14:paraId="617AC24E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F00–F99: Mental and behavioral disorders </w:t>
      </w:r>
    </w:p>
    <w:p w14:paraId="3D7D048D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G00–G99: Diseases of the nervous </w:t>
      </w:r>
    </w:p>
    <w:p w14:paraId="00246361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H00–H59: Diseases of the eye and adnexa </w:t>
      </w:r>
    </w:p>
    <w:p w14:paraId="0F051EAA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I00–I99: Diseases of the circulatory system </w:t>
      </w:r>
    </w:p>
    <w:p w14:paraId="5276097E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J00–J99: Diseases of the respiratory system </w:t>
      </w:r>
    </w:p>
    <w:p w14:paraId="155715A7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K00–K93: Diseases of the digestive system </w:t>
      </w:r>
    </w:p>
    <w:p w14:paraId="48E65C6B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L00–L99: Diseases of the skin and subcutaneous tissue </w:t>
      </w:r>
    </w:p>
    <w:p w14:paraId="487449EA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M00–M99: Diseases of the musculoskeletal system and connective tissue </w:t>
      </w:r>
    </w:p>
    <w:p w14:paraId="30447611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N00–N99: Diseases of the genitourinary system </w:t>
      </w:r>
    </w:p>
    <w:p w14:paraId="4D723EC5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Q00–Q99: Congenital malformations, deformations and chromosomal abnormalities </w:t>
      </w:r>
    </w:p>
    <w:p w14:paraId="32DEE82E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R00–R99: Symptoms, signs and abnormal clinical and laboratory findings, not elsewhere classified</w:t>
      </w:r>
    </w:p>
    <w:p w14:paraId="2C7DF3AB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S00–T98: Injury, poisoning and certain other consequences of external causes </w:t>
      </w:r>
    </w:p>
    <w:p w14:paraId="76F9C17B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V01–Y98: External causes of morbidity and mortality </w:t>
      </w:r>
    </w:p>
    <w:p w14:paraId="66808E22" w14:textId="77777777" w:rsidR="00576D50" w:rsidRPr="00BE04C6" w:rsidRDefault="00576D50" w:rsidP="00576D50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Z00–ZZB: Factors influencing health status and contact with health services</w:t>
      </w:r>
    </w:p>
    <w:p w14:paraId="6CD99154" w14:textId="47EABBA2" w:rsidR="00576D50" w:rsidRPr="001B4459" w:rsidRDefault="00576D50" w:rsidP="00576D50">
      <w:pPr>
        <w:rPr>
          <w:rFonts w:ascii="Times New Roman" w:hAnsi="Times New Roman" w:cs="Times New Roman"/>
          <w:sz w:val="24"/>
          <w:szCs w:val="24"/>
          <w:lang w:val="en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ICD-10 code class O00-O99 (pregnancy, childbirth and the puerperium)</w:t>
      </w:r>
      <w:r w:rsidRPr="001B4459">
        <w:rPr>
          <w:rFonts w:ascii="Times New Roman" w:hAnsi="Times New Roman" w:cs="Times New Roman"/>
          <w:sz w:val="24"/>
          <w:szCs w:val="24"/>
          <w:lang w:val="en"/>
        </w:rPr>
        <w:t xml:space="preserve"> was excluded concerning women only and class P00-P96 (certain conditions originating in the perinatal period) was excluded concerning only newborns</w:t>
      </w:r>
      <w:r w:rsidR="00670C42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1CDE80C7" w14:textId="77777777" w:rsidR="00504875" w:rsidRPr="00576D50" w:rsidRDefault="00504875">
      <w:pPr>
        <w:rPr>
          <w:lang w:val="en"/>
        </w:rPr>
      </w:pPr>
    </w:p>
    <w:sectPr w:rsidR="00504875" w:rsidRPr="00576D5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7D65"/>
    <w:multiLevelType w:val="hybridMultilevel"/>
    <w:tmpl w:val="CF88542E"/>
    <w:lvl w:ilvl="0" w:tplc="937CA6A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28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50"/>
    <w:rsid w:val="003D50CD"/>
    <w:rsid w:val="00504875"/>
    <w:rsid w:val="00576D50"/>
    <w:rsid w:val="005D1EB9"/>
    <w:rsid w:val="00670C42"/>
    <w:rsid w:val="0093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C7CE"/>
  <w15:chartTrackingRefBased/>
  <w15:docId w15:val="{2ACDE404-8F09-4B58-9086-E9D7DD87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76D50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76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76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76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76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76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76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76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76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76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76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76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76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76D5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76D5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76D5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76D5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76D5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76D5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76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76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76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76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76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76D5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76D5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76D5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76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76D5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76D50"/>
    <w:rPr>
      <w:b/>
      <w:bCs/>
      <w:smallCaps/>
      <w:color w:val="0F4761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576D50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576D50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576D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Anna</dc:creator>
  <cp:keywords/>
  <dc:description/>
  <cp:lastModifiedBy>Laine Anna</cp:lastModifiedBy>
  <cp:revision>2</cp:revision>
  <dcterms:created xsi:type="dcterms:W3CDTF">2026-04-02T08:00:00Z</dcterms:created>
  <dcterms:modified xsi:type="dcterms:W3CDTF">2026-04-08T09:07:00Z</dcterms:modified>
</cp:coreProperties>
</file>