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45" w:rsidRPr="00F473A0" w:rsidRDefault="00381545" w:rsidP="00381545">
      <w:pPr>
        <w:pStyle w:val="Heading1"/>
        <w:spacing w:line="276" w:lineRule="auto"/>
        <w:jc w:val="both"/>
        <w:rPr>
          <w:lang w:val="en-US"/>
        </w:rPr>
      </w:pPr>
      <w:r w:rsidRPr="00F473A0">
        <w:rPr>
          <w:lang w:val="en-US"/>
        </w:rPr>
        <w:t>Online Resource</w:t>
      </w:r>
    </w:p>
    <w:p w:rsidR="00381545" w:rsidRPr="00F473A0" w:rsidRDefault="00381545" w:rsidP="00381545">
      <w:proofErr w:type="gramStart"/>
      <w:r w:rsidRPr="00F473A0">
        <w:rPr>
          <w:b/>
        </w:rPr>
        <w:t>Online Resource 1.</w:t>
      </w:r>
      <w:proofErr w:type="gramEnd"/>
      <w:r w:rsidRPr="00F473A0">
        <w:rPr>
          <w:i/>
        </w:rPr>
        <w:t xml:space="preserve"> </w:t>
      </w:r>
      <w:proofErr w:type="gramStart"/>
      <w:r w:rsidRPr="00F473A0">
        <w:t xml:space="preserve">Map of the vector and construct used for transformation of </w:t>
      </w:r>
      <w:r w:rsidRPr="00F473A0">
        <w:rPr>
          <w:i/>
        </w:rPr>
        <w:t>A. thaliana</w:t>
      </w:r>
      <w:r w:rsidRPr="00F473A0">
        <w:t>.</w:t>
      </w:r>
      <w:proofErr w:type="gramEnd"/>
    </w:p>
    <w:p w:rsidR="00381545" w:rsidRPr="00F473A0" w:rsidRDefault="00381545" w:rsidP="00381545">
      <w:proofErr w:type="gramStart"/>
      <w:r w:rsidRPr="00F473A0">
        <w:rPr>
          <w:b/>
        </w:rPr>
        <w:t>Online Resource 2.</w:t>
      </w:r>
      <w:proofErr w:type="gramEnd"/>
      <w:r w:rsidRPr="00F473A0">
        <w:t xml:space="preserve"> </w:t>
      </w:r>
      <w:proofErr w:type="gramStart"/>
      <w:r w:rsidRPr="00F473A0">
        <w:t xml:space="preserve">Number of reads and coverage per </w:t>
      </w:r>
      <w:r w:rsidRPr="00F473A0">
        <w:rPr>
          <w:i/>
        </w:rPr>
        <w:t>A. thaliana</w:t>
      </w:r>
      <w:r w:rsidRPr="00F473A0">
        <w:t xml:space="preserve"> </w:t>
      </w:r>
      <w:proofErr w:type="spellStart"/>
      <w:r w:rsidRPr="00F473A0">
        <w:t>transformant</w:t>
      </w:r>
      <w:proofErr w:type="spellEnd"/>
      <w:r w:rsidRPr="00F473A0">
        <w:t xml:space="preserve"> </w:t>
      </w:r>
      <w:proofErr w:type="spellStart"/>
      <w:r w:rsidRPr="00F473A0">
        <w:t>At1</w:t>
      </w:r>
      <w:proofErr w:type="spellEnd"/>
      <w:r w:rsidRPr="00F473A0">
        <w:t xml:space="preserve"> to </w:t>
      </w:r>
      <w:proofErr w:type="spellStart"/>
      <w:r w:rsidRPr="00F473A0">
        <w:t>At5</w:t>
      </w:r>
      <w:proofErr w:type="spellEnd"/>
      <w:r w:rsidRPr="00F473A0">
        <w:t>, and the non-transformed reference pool.</w:t>
      </w:r>
      <w:proofErr w:type="gramEnd"/>
    </w:p>
    <w:p w:rsidR="00381545" w:rsidRPr="00F473A0" w:rsidRDefault="00381545" w:rsidP="00381545">
      <w:pPr>
        <w:jc w:val="both"/>
      </w:pPr>
      <w:proofErr w:type="gramStart"/>
      <w:r w:rsidRPr="00F473A0">
        <w:rPr>
          <w:b/>
        </w:rPr>
        <w:t>Online Resource 3.</w:t>
      </w:r>
      <w:proofErr w:type="gramEnd"/>
      <w:r w:rsidRPr="00F473A0">
        <w:t xml:space="preserve"> Reads of </w:t>
      </w:r>
      <w:proofErr w:type="spellStart"/>
      <w:r w:rsidRPr="00F473A0">
        <w:t>transformant</w:t>
      </w:r>
      <w:proofErr w:type="spellEnd"/>
      <w:r w:rsidRPr="00F473A0">
        <w:t xml:space="preserve"> </w:t>
      </w:r>
      <w:proofErr w:type="spellStart"/>
      <w:r w:rsidRPr="00F473A0">
        <w:t>At1</w:t>
      </w:r>
      <w:proofErr w:type="spellEnd"/>
      <w:r w:rsidRPr="00F473A0">
        <w:t>, mapped to the left end of the T-DNA (black sequence at top). The normal font refers to T-DNA, and the transparent font to genomic DNA of the host. Reads of intact mapped read pairs are in blue, reads of broken pairs in red. The figure illustrates that T-DNA has been inserted at three different loci in this plant.</w:t>
      </w:r>
    </w:p>
    <w:p w:rsidR="00381545" w:rsidRPr="00F473A0" w:rsidRDefault="00381545" w:rsidP="00381545">
      <w:pPr>
        <w:jc w:val="both"/>
      </w:pPr>
      <w:proofErr w:type="gramStart"/>
      <w:r w:rsidRPr="00F473A0">
        <w:rPr>
          <w:b/>
        </w:rPr>
        <w:t>Online Resource 4.</w:t>
      </w:r>
      <w:proofErr w:type="gramEnd"/>
      <w:r w:rsidRPr="00F473A0">
        <w:t xml:space="preserve"> Verification of the splinter in </w:t>
      </w:r>
      <w:r w:rsidRPr="00F473A0">
        <w:rPr>
          <w:i/>
        </w:rPr>
        <w:t>A. thaliana</w:t>
      </w:r>
      <w:r w:rsidRPr="00F473A0">
        <w:t xml:space="preserve"> </w:t>
      </w:r>
      <w:proofErr w:type="spellStart"/>
      <w:r w:rsidRPr="00F473A0">
        <w:t>transformant</w:t>
      </w:r>
      <w:proofErr w:type="spellEnd"/>
      <w:r w:rsidRPr="00F473A0">
        <w:t xml:space="preserve"> 2 (</w:t>
      </w:r>
      <w:proofErr w:type="spellStart"/>
      <w:r w:rsidRPr="00F473A0">
        <w:t>At2</w:t>
      </w:r>
      <w:proofErr w:type="spellEnd"/>
      <w:r w:rsidRPr="00F473A0">
        <w:t xml:space="preserve">); </w:t>
      </w:r>
      <w:r w:rsidRPr="00F473A0">
        <w:rPr>
          <w:b/>
        </w:rPr>
        <w:t>A.</w:t>
      </w:r>
      <w:r w:rsidRPr="00F473A0">
        <w:t xml:space="preserve"> Used primer sequences; </w:t>
      </w:r>
      <w:r w:rsidRPr="00F473A0">
        <w:rPr>
          <w:b/>
        </w:rPr>
        <w:t>B.</w:t>
      </w:r>
      <w:r w:rsidRPr="00F473A0">
        <w:t xml:space="preserve"> Graphical representation of primer positions on chromosome 2 containing the splinter; </w:t>
      </w:r>
      <w:r w:rsidRPr="00F473A0">
        <w:rPr>
          <w:b/>
        </w:rPr>
        <w:t>C.</w:t>
      </w:r>
      <w:r w:rsidRPr="00F473A0">
        <w:t xml:space="preserve"> Digital Agilent </w:t>
      </w:r>
      <w:proofErr w:type="spellStart"/>
      <w:r w:rsidRPr="00F473A0">
        <w:t>Bioanalyzer</w:t>
      </w:r>
      <w:proofErr w:type="spellEnd"/>
      <w:r w:rsidRPr="00F473A0">
        <w:t xml:space="preserve"> gel image of obtained </w:t>
      </w:r>
      <w:proofErr w:type="spellStart"/>
      <w:r w:rsidRPr="00F473A0">
        <w:t>PCR</w:t>
      </w:r>
      <w:proofErr w:type="spellEnd"/>
      <w:r w:rsidRPr="00F473A0">
        <w:t xml:space="preserve"> fragments. The third lane shows both the amplified fragments with and without the splinter. These two fragments and the </w:t>
      </w:r>
      <w:proofErr w:type="spellStart"/>
      <w:r w:rsidRPr="00F473A0">
        <w:t>PCR</w:t>
      </w:r>
      <w:proofErr w:type="spellEnd"/>
      <w:r w:rsidRPr="00F473A0">
        <w:t xml:space="preserve"> fragment shown in the second lane were sequenced, and fully confirmed the DNA sequences of the splinter, flanking DNA, and of the homologous native locus, shown in Figure 2.</w:t>
      </w:r>
    </w:p>
    <w:p w:rsidR="00381545" w:rsidRPr="00F473A0" w:rsidRDefault="00381545" w:rsidP="00381545">
      <w:pPr>
        <w:jc w:val="both"/>
      </w:pPr>
    </w:p>
    <w:p w:rsidR="00381545" w:rsidRPr="00F473A0" w:rsidRDefault="00381545" w:rsidP="00381545"/>
    <w:p w:rsidR="00381545" w:rsidRPr="00F473A0" w:rsidRDefault="00381545" w:rsidP="00381545">
      <w:pPr>
        <w:jc w:val="both"/>
      </w:pPr>
    </w:p>
    <w:p w:rsidR="00381545" w:rsidRPr="00F473A0" w:rsidRDefault="00381545" w:rsidP="00381545">
      <w:pPr>
        <w:jc w:val="both"/>
        <w:rPr>
          <w:b/>
        </w:rPr>
      </w:pPr>
      <w:r w:rsidRPr="00F473A0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margin">
              <wp:align>top</wp:align>
            </wp:positionV>
            <wp:extent cx="3225600" cy="4291200"/>
            <wp:effectExtent l="0" t="0" r="0" b="0"/>
            <wp:wrapTopAndBottom/>
            <wp:docPr id="3" name="Picture 3" descr="C:\Users\schou018\AppData\Local\Microsoft\Windows\Temporary Internet Files\Content.Outlook\DJPISMMZ\pBGWFS7 pSA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u018\AppData\Local\Microsoft\Windows\Temporary Internet Files\Content.Outlook\DJPISMMZ\pBGWFS7 pSAUR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00" cy="42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F473A0">
        <w:rPr>
          <w:b/>
        </w:rPr>
        <w:t>Online Resource 1.</w:t>
      </w:r>
      <w:proofErr w:type="gramEnd"/>
      <w:r w:rsidRPr="00F473A0">
        <w:rPr>
          <w:i/>
        </w:rPr>
        <w:t xml:space="preserve"> </w:t>
      </w:r>
      <w:proofErr w:type="gramStart"/>
      <w:r w:rsidRPr="00F473A0">
        <w:t xml:space="preserve">Map of vector and construct used for transformation of </w:t>
      </w:r>
      <w:r w:rsidRPr="00F473A0">
        <w:rPr>
          <w:i/>
        </w:rPr>
        <w:t>A. thaliana</w:t>
      </w:r>
      <w:r w:rsidRPr="00F473A0">
        <w:t>.</w:t>
      </w:r>
      <w:proofErr w:type="gramEnd"/>
      <w:r w:rsidRPr="00F473A0">
        <w:t xml:space="preserve"> 1-270: left border (LB) and surrounding DNA; 286-1400: </w:t>
      </w:r>
      <w:r w:rsidRPr="00F473A0">
        <w:rPr>
          <w:i/>
        </w:rPr>
        <w:t>Bar</w:t>
      </w:r>
      <w:r w:rsidRPr="00F473A0">
        <w:t xml:space="preserve"> gene; 1631-5305: </w:t>
      </w:r>
      <w:proofErr w:type="spellStart"/>
      <w:r w:rsidRPr="00F473A0">
        <w:rPr>
          <w:u w:val="single"/>
        </w:rPr>
        <w:t>pSAUR</w:t>
      </w:r>
      <w:proofErr w:type="spellEnd"/>
      <w:r w:rsidRPr="00F473A0">
        <w:t xml:space="preserve"> promoter; 5329-5328: recombination site; 5377-7914: </w:t>
      </w:r>
      <w:proofErr w:type="spellStart"/>
      <w:r w:rsidRPr="00F473A0">
        <w:rPr>
          <w:i/>
        </w:rPr>
        <w:t>gfp</w:t>
      </w:r>
      <w:proofErr w:type="spellEnd"/>
      <w:r w:rsidRPr="00F473A0">
        <w:t xml:space="preserve">; 7917-8179: </w:t>
      </w:r>
      <w:proofErr w:type="spellStart"/>
      <w:r w:rsidRPr="00F473A0">
        <w:t>Tnos</w:t>
      </w:r>
      <w:proofErr w:type="spellEnd"/>
      <w:r w:rsidRPr="00F473A0">
        <w:t>; 8180-</w:t>
      </w:r>
      <w:proofErr w:type="gramStart"/>
      <w:r w:rsidRPr="00F473A0">
        <w:t>8325 :</w:t>
      </w:r>
      <w:proofErr w:type="gramEnd"/>
      <w:r w:rsidRPr="00F473A0">
        <w:t xml:space="preserve"> right border (</w:t>
      </w:r>
      <w:proofErr w:type="spellStart"/>
      <w:r w:rsidRPr="00F473A0">
        <w:t>RB</w:t>
      </w:r>
      <w:proofErr w:type="spellEnd"/>
      <w:r w:rsidRPr="00F473A0">
        <w:t>) and surrounding DNA.</w:t>
      </w:r>
    </w:p>
    <w:p w:rsidR="00381545" w:rsidRPr="00F473A0" w:rsidRDefault="00381545" w:rsidP="00381545">
      <w:r w:rsidRPr="00F473A0">
        <w:br w:type="page"/>
      </w:r>
    </w:p>
    <w:p w:rsidR="00381545" w:rsidRPr="00F473A0" w:rsidRDefault="00381545" w:rsidP="00381545">
      <w:proofErr w:type="gramStart"/>
      <w:r w:rsidRPr="00F473A0">
        <w:rPr>
          <w:b/>
        </w:rPr>
        <w:lastRenderedPageBreak/>
        <w:t>Online Resource 2.</w:t>
      </w:r>
      <w:proofErr w:type="gramEnd"/>
      <w:r w:rsidRPr="00F473A0">
        <w:t xml:space="preserve"> </w:t>
      </w:r>
      <w:proofErr w:type="gramStart"/>
      <w:r w:rsidRPr="00F473A0">
        <w:t xml:space="preserve">Number of reads and coverage per </w:t>
      </w:r>
      <w:r w:rsidRPr="00F473A0">
        <w:rPr>
          <w:i/>
        </w:rPr>
        <w:t>A. thaliana</w:t>
      </w:r>
      <w:r w:rsidRPr="00F473A0">
        <w:t xml:space="preserve"> </w:t>
      </w:r>
      <w:proofErr w:type="spellStart"/>
      <w:r w:rsidRPr="00F473A0">
        <w:t>transformant</w:t>
      </w:r>
      <w:proofErr w:type="spellEnd"/>
      <w:r w:rsidRPr="00F473A0">
        <w:t xml:space="preserve"> </w:t>
      </w:r>
      <w:proofErr w:type="spellStart"/>
      <w:r w:rsidRPr="00F473A0">
        <w:t>At1</w:t>
      </w:r>
      <w:proofErr w:type="spellEnd"/>
      <w:r w:rsidRPr="00F473A0">
        <w:t xml:space="preserve"> to </w:t>
      </w:r>
      <w:proofErr w:type="spellStart"/>
      <w:r w:rsidRPr="00F473A0">
        <w:t>At5</w:t>
      </w:r>
      <w:proofErr w:type="spellEnd"/>
      <w:r w:rsidRPr="00F473A0">
        <w:t>, and the non-transformed reference pool.</w:t>
      </w:r>
      <w:proofErr w:type="gramEnd"/>
    </w:p>
    <w:tbl>
      <w:tblPr>
        <w:tblW w:w="8241" w:type="dxa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1526"/>
        <w:gridCol w:w="1218"/>
        <w:gridCol w:w="1218"/>
        <w:gridCol w:w="1102"/>
        <w:gridCol w:w="1361"/>
        <w:gridCol w:w="1816"/>
      </w:tblGrid>
      <w:tr w:rsidR="00381545" w:rsidRPr="00F473A0" w:rsidTr="008F22BF">
        <w:tc>
          <w:tcPr>
            <w:tcW w:w="15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 ID</w:t>
            </w:r>
          </w:p>
        </w:tc>
        <w:tc>
          <w:tcPr>
            <w:tcW w:w="121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Number of sequence reads</w:t>
            </w:r>
          </w:p>
        </w:tc>
        <w:tc>
          <w:tcPr>
            <w:tcW w:w="121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Number of reads after trimming</w:t>
            </w:r>
          </w:p>
        </w:tc>
        <w:tc>
          <w:tcPr>
            <w:tcW w:w="110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Read Length (</w:t>
            </w: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nt</w:t>
            </w:r>
            <w:proofErr w:type="spellEnd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mapped reads</w:t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Average Coverage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At1</w:t>
            </w:r>
            <w:proofErr w:type="spellEnd"/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61683376</w:t>
            </w:r>
          </w:p>
        </w:tc>
        <w:tc>
          <w:tcPr>
            <w:tcW w:w="1218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59480648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61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99.6%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48.53 X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At2</w:t>
            </w:r>
            <w:proofErr w:type="spellEnd"/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33049036</w:t>
            </w:r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32103568</w:t>
            </w:r>
          </w:p>
        </w:tc>
        <w:tc>
          <w:tcPr>
            <w:tcW w:w="1102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361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99.5%</w:t>
            </w:r>
          </w:p>
        </w:tc>
        <w:tc>
          <w:tcPr>
            <w:tcW w:w="181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26.25 X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At3</w:t>
            </w:r>
            <w:proofErr w:type="spellEnd"/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31968584</w:t>
            </w:r>
          </w:p>
        </w:tc>
        <w:tc>
          <w:tcPr>
            <w:tcW w:w="1218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30902759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361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99.8%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25.29 X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At4</w:t>
            </w:r>
            <w:proofErr w:type="spellEnd"/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56915326</w:t>
            </w:r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54937185</w:t>
            </w:r>
          </w:p>
        </w:tc>
        <w:tc>
          <w:tcPr>
            <w:tcW w:w="1102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61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99.5%</w:t>
            </w:r>
          </w:p>
        </w:tc>
        <w:tc>
          <w:tcPr>
            <w:tcW w:w="181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44.77 X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At5</w:t>
            </w:r>
            <w:proofErr w:type="spellEnd"/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45006154</w:t>
            </w:r>
          </w:p>
        </w:tc>
        <w:tc>
          <w:tcPr>
            <w:tcW w:w="1218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43359470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61" w:type="dxa"/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99.7%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35.40 X</w:t>
            </w:r>
          </w:p>
        </w:tc>
      </w:tr>
      <w:tr w:rsidR="00381545" w:rsidRPr="00F473A0" w:rsidTr="008F22BF">
        <w:tc>
          <w:tcPr>
            <w:tcW w:w="152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3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WT1-4pool</w:t>
            </w:r>
            <w:proofErr w:type="spellEnd"/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158153422</w:t>
            </w:r>
          </w:p>
        </w:tc>
        <w:tc>
          <w:tcPr>
            <w:tcW w:w="1218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152300479</w:t>
            </w:r>
          </w:p>
        </w:tc>
        <w:tc>
          <w:tcPr>
            <w:tcW w:w="1102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61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99.5%</w:t>
            </w:r>
          </w:p>
        </w:tc>
        <w:tc>
          <w:tcPr>
            <w:tcW w:w="1816" w:type="dxa"/>
            <w:shd w:val="clear" w:color="auto" w:fill="auto"/>
            <w:hideMark/>
          </w:tcPr>
          <w:p w:rsidR="00381545" w:rsidRPr="00F473A0" w:rsidRDefault="00381545" w:rsidP="008F22BF">
            <w:pPr>
              <w:pStyle w:val="NormalWeb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3A0">
              <w:rPr>
                <w:rFonts w:ascii="Arial" w:hAnsi="Arial" w:cs="Arial"/>
                <w:color w:val="000000"/>
                <w:sz w:val="20"/>
                <w:szCs w:val="20"/>
              </w:rPr>
              <w:t>124.1 X</w:t>
            </w:r>
          </w:p>
        </w:tc>
      </w:tr>
    </w:tbl>
    <w:p w:rsidR="00381545" w:rsidRPr="00F473A0" w:rsidRDefault="00381545" w:rsidP="00381545">
      <w:r w:rsidRPr="00F473A0">
        <w:br w:type="page"/>
      </w:r>
    </w:p>
    <w:p w:rsidR="00381545" w:rsidRDefault="00381545" w:rsidP="00381545">
      <w:r w:rsidRPr="00F473A0">
        <w:rPr>
          <w:noProof/>
        </w:rPr>
        <w:lastRenderedPageBreak/>
        <w:drawing>
          <wp:inline distT="0" distB="0" distL="0" distR="0">
            <wp:extent cx="5270500" cy="403934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39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F473A0">
        <w:rPr>
          <w:b/>
        </w:rPr>
        <w:t>Online Resource</w:t>
      </w:r>
      <w:r w:rsidRPr="00F473A0">
        <w:t xml:space="preserve"> </w:t>
      </w:r>
      <w:r w:rsidRPr="00F473A0">
        <w:rPr>
          <w:b/>
        </w:rPr>
        <w:t>3.</w:t>
      </w:r>
      <w:proofErr w:type="gramEnd"/>
      <w:r w:rsidRPr="00F473A0">
        <w:t xml:space="preserve"> Reads of </w:t>
      </w:r>
      <w:proofErr w:type="spellStart"/>
      <w:r w:rsidRPr="00F473A0">
        <w:t>transformant</w:t>
      </w:r>
      <w:proofErr w:type="spellEnd"/>
      <w:r w:rsidRPr="00F473A0">
        <w:t xml:space="preserve"> </w:t>
      </w:r>
      <w:proofErr w:type="spellStart"/>
      <w:r w:rsidRPr="00F473A0">
        <w:t>At1</w:t>
      </w:r>
      <w:proofErr w:type="spellEnd"/>
      <w:r w:rsidRPr="00F473A0">
        <w:t>, mapped to the left end of the T-DNA (black sequence at top). The normal font refers to T-DNA, and the transparent font to genomic DNA of the host. Reads of intact mapped read pairs are in blue, reads of broken pairs in red. The figure illustrates that the T-DNA has been inserted into three different loci in this plant. This is consistent with Table 1. The expected ends of the T-DNA-inserts in the left border (LB</w:t>
      </w:r>
      <w:proofErr w:type="gramStart"/>
      <w:r w:rsidRPr="00F473A0">
        <w:t>),</w:t>
      </w:r>
      <w:proofErr w:type="gramEnd"/>
      <w:r w:rsidRPr="00F473A0">
        <w:t xml:space="preserve"> are at position 242. The detected ends appeared at positions 242, 248, and 260, illustrating that 0 to 18 </w:t>
      </w:r>
      <w:proofErr w:type="spellStart"/>
      <w:r w:rsidRPr="00F473A0">
        <w:t>bp</w:t>
      </w:r>
      <w:proofErr w:type="spellEnd"/>
      <w:r w:rsidRPr="00F473A0">
        <w:t xml:space="preserve"> </w:t>
      </w:r>
      <w:proofErr w:type="gramStart"/>
      <w:r w:rsidRPr="00F473A0">
        <w:t>have</w:t>
      </w:r>
      <w:proofErr w:type="gramEnd"/>
      <w:r w:rsidRPr="00F473A0">
        <w:t xml:space="preserve"> been truncated from the LB-end of the T-</w:t>
      </w:r>
      <w:proofErr w:type="spellStart"/>
      <w:r w:rsidRPr="00F473A0">
        <w:t>DNAs</w:t>
      </w:r>
      <w:proofErr w:type="spellEnd"/>
      <w:r w:rsidRPr="00F473A0">
        <w:t>.</w:t>
      </w:r>
    </w:p>
    <w:p w:rsidR="00381545" w:rsidRPr="00F473A0" w:rsidRDefault="00381545" w:rsidP="00381545">
      <w:pPr>
        <w:rPr>
          <w:b/>
        </w:rPr>
      </w:pPr>
      <w:r w:rsidRPr="00F473A0">
        <w:rPr>
          <w:b/>
        </w:rPr>
        <w:br w:type="page"/>
      </w:r>
    </w:p>
    <w:p w:rsidR="00381545" w:rsidRPr="00F473A0" w:rsidRDefault="00381545" w:rsidP="00381545">
      <w:pPr>
        <w:jc w:val="both"/>
        <w:rPr>
          <w:b/>
        </w:rPr>
      </w:pPr>
      <w:r w:rsidRPr="00F473A0">
        <w:rPr>
          <w:b/>
        </w:rPr>
        <w:lastRenderedPageBreak/>
        <w:t>A.</w:t>
      </w:r>
    </w:p>
    <w:tbl>
      <w:tblPr>
        <w:tblStyle w:val="IntenseQuote1"/>
        <w:tblpPr w:leftFromText="181" w:rightFromText="181" w:vertAnchor="text" w:horzAnchor="margin" w:tblpX="1" w:tblpY="1"/>
        <w:tblW w:w="0" w:type="auto"/>
        <w:tblLook w:val="04A0"/>
      </w:tblPr>
      <w:tblGrid>
        <w:gridCol w:w="3756"/>
        <w:gridCol w:w="4760"/>
      </w:tblGrid>
      <w:tr w:rsidR="00381545" w:rsidRPr="00F473A0" w:rsidTr="008F22BF">
        <w:trPr>
          <w:cnfStyle w:val="100000000000"/>
          <w:trHeight w:val="280"/>
        </w:trPr>
        <w:tc>
          <w:tcPr>
            <w:cnfStyle w:val="001000000000"/>
            <w:tcW w:w="3756" w:type="dxa"/>
            <w:noWrap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rPr>
                <w:b w:val="0"/>
                <w:bCs w:val="0"/>
                <w:color w:val="auto"/>
              </w:rPr>
            </w:pPr>
            <w:r w:rsidRPr="00F473A0">
              <w:t>Primer name</w:t>
            </w:r>
          </w:p>
        </w:tc>
        <w:tc>
          <w:tcPr>
            <w:tcW w:w="4760" w:type="dxa"/>
            <w:noWrap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cnfStyle w:val="100000000000"/>
              <w:rPr>
                <w:b w:val="0"/>
                <w:bCs w:val="0"/>
                <w:color w:val="auto"/>
              </w:rPr>
            </w:pPr>
            <w:r w:rsidRPr="00F473A0">
              <w:t>Primer sequence</w:t>
            </w:r>
          </w:p>
        </w:tc>
      </w:tr>
      <w:tr w:rsidR="00381545" w:rsidRPr="00F473A0" w:rsidTr="008F22BF">
        <w:trPr>
          <w:cnfStyle w:val="000000100000"/>
          <w:trHeight w:val="280"/>
        </w:trPr>
        <w:tc>
          <w:tcPr>
            <w:cnfStyle w:val="001000000000"/>
            <w:tcW w:w="3756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rPr>
                <w:b w:val="0"/>
                <w:bCs w:val="0"/>
                <w:color w:val="auto"/>
              </w:rPr>
            </w:pPr>
            <w:proofErr w:type="spellStart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chr2</w:t>
            </w:r>
            <w:proofErr w:type="spellEnd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 xml:space="preserve"> F</w:t>
            </w:r>
          </w:p>
        </w:tc>
        <w:tc>
          <w:tcPr>
            <w:tcW w:w="4760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cnfStyle w:val="000000100000"/>
              <w:rPr>
                <w:color w:val="auto"/>
              </w:rPr>
            </w:pPr>
            <w:proofErr w:type="spellStart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TTGATGCTGCATTCCTGATCCGATTGT</w:t>
            </w:r>
            <w:proofErr w:type="spellEnd"/>
          </w:p>
        </w:tc>
      </w:tr>
      <w:tr w:rsidR="00381545" w:rsidRPr="00F473A0" w:rsidTr="008F22BF">
        <w:trPr>
          <w:trHeight w:val="280"/>
        </w:trPr>
        <w:tc>
          <w:tcPr>
            <w:cnfStyle w:val="001000000000"/>
            <w:tcW w:w="3756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rPr>
                <w:b w:val="0"/>
                <w:bCs w:val="0"/>
                <w:color w:val="auto"/>
              </w:rPr>
            </w:pPr>
            <w:proofErr w:type="spellStart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chr2</w:t>
            </w:r>
            <w:proofErr w:type="spellEnd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 xml:space="preserve"> R</w:t>
            </w:r>
          </w:p>
        </w:tc>
        <w:tc>
          <w:tcPr>
            <w:tcW w:w="4760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cnfStyle w:val="000000000000"/>
              <w:rPr>
                <w:color w:val="auto"/>
              </w:rPr>
            </w:pPr>
            <w:proofErr w:type="spellStart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CCTATGTGATCTTTTGTGCTCCACCATCAC</w:t>
            </w:r>
            <w:proofErr w:type="spellEnd"/>
          </w:p>
        </w:tc>
      </w:tr>
      <w:tr w:rsidR="00381545" w:rsidRPr="00F473A0" w:rsidTr="008F22BF">
        <w:trPr>
          <w:cnfStyle w:val="000000100000"/>
          <w:trHeight w:val="280"/>
        </w:trPr>
        <w:tc>
          <w:tcPr>
            <w:cnfStyle w:val="001000000000"/>
            <w:tcW w:w="3756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rPr>
                <w:b w:val="0"/>
                <w:bCs w:val="0"/>
                <w:color w:val="auto"/>
              </w:rPr>
            </w:pPr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splinter cross  border (</w:t>
            </w:r>
            <w:proofErr w:type="spellStart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>scb</w:t>
            </w:r>
            <w:proofErr w:type="spellEnd"/>
            <w:r w:rsidRPr="00F473A0">
              <w:rPr>
                <w:rFonts w:ascii="Calibri" w:hAnsi="Calibri" w:cs="Arial"/>
                <w:color w:val="000000" w:themeColor="dark1"/>
                <w:kern w:val="24"/>
                <w:szCs w:val="22"/>
              </w:rPr>
              <w:t xml:space="preserve">) </w:t>
            </w:r>
          </w:p>
        </w:tc>
        <w:tc>
          <w:tcPr>
            <w:tcW w:w="4760" w:type="dxa"/>
            <w:noWrap/>
            <w:hideMark/>
          </w:tcPr>
          <w:p w:rsidR="00381545" w:rsidRPr="00F473A0" w:rsidRDefault="00381545" w:rsidP="008F22BF">
            <w:pPr>
              <w:keepNext/>
              <w:keepLines/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F473A0">
              <w:rPr>
                <w:rFonts w:ascii="Calibri" w:hAnsi="Calibri"/>
                <w:color w:val="000000"/>
                <w:szCs w:val="22"/>
              </w:rPr>
              <w:t xml:space="preserve"> </w:t>
            </w:r>
            <w:proofErr w:type="spellStart"/>
            <w:r w:rsidRPr="00F473A0">
              <w:rPr>
                <w:rFonts w:ascii="Calibri" w:hAnsi="Calibri"/>
                <w:color w:val="000000"/>
                <w:szCs w:val="22"/>
              </w:rPr>
              <w:t>AATGCCAGAAATGTCAATTTGATCAT</w:t>
            </w:r>
            <w:proofErr w:type="spellEnd"/>
          </w:p>
        </w:tc>
      </w:tr>
    </w:tbl>
    <w:p w:rsidR="00381545" w:rsidRPr="00F473A0" w:rsidRDefault="00381545" w:rsidP="00381545">
      <w:pPr>
        <w:jc w:val="both"/>
      </w:pPr>
    </w:p>
    <w:p w:rsidR="00381545" w:rsidRPr="00F473A0" w:rsidRDefault="00381545" w:rsidP="00381545">
      <w:pPr>
        <w:jc w:val="both"/>
        <w:rPr>
          <w:b/>
        </w:rPr>
      </w:pPr>
      <w:r w:rsidRPr="00F473A0">
        <w:rPr>
          <w:b/>
        </w:rPr>
        <w:t>B.</w:t>
      </w:r>
    </w:p>
    <w:p w:rsidR="00381545" w:rsidRPr="00F473A0" w:rsidRDefault="00381545" w:rsidP="00381545">
      <w:pPr>
        <w:jc w:val="both"/>
      </w:pPr>
      <w:r w:rsidRPr="00F473A0">
        <w:rPr>
          <w:noProof/>
        </w:rPr>
        <w:drawing>
          <wp:inline distT="0" distB="0" distL="0" distR="0">
            <wp:extent cx="5288400" cy="51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00" cy="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45" w:rsidRPr="00F473A0" w:rsidRDefault="00381545" w:rsidP="00381545">
      <w:pPr>
        <w:jc w:val="both"/>
      </w:pPr>
    </w:p>
    <w:p w:rsidR="00381545" w:rsidRPr="00F473A0" w:rsidRDefault="00381545" w:rsidP="00381545">
      <w:pPr>
        <w:jc w:val="both"/>
        <w:rPr>
          <w:b/>
        </w:rPr>
      </w:pPr>
      <w:r w:rsidRPr="00F473A0">
        <w:rPr>
          <w:b/>
        </w:rPr>
        <w:t>C.</w:t>
      </w:r>
    </w:p>
    <w:p w:rsidR="00C55855" w:rsidRDefault="00381545" w:rsidP="00381545">
      <w:pPr>
        <w:jc w:val="both"/>
      </w:pPr>
      <w:r w:rsidRPr="00F473A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153063</wp:posOffset>
            </wp:positionH>
            <wp:positionV relativeFrom="paragraph">
              <wp:posOffset>152152</wp:posOffset>
            </wp:positionV>
            <wp:extent cx="1715770" cy="4111625"/>
            <wp:effectExtent l="0" t="0" r="0" b="317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F473A0">
        <w:rPr>
          <w:b/>
        </w:rPr>
        <w:t>Online Resource 4.</w:t>
      </w:r>
      <w:proofErr w:type="gramEnd"/>
      <w:r w:rsidRPr="00F473A0">
        <w:t xml:space="preserve"> </w:t>
      </w:r>
      <w:proofErr w:type="spellStart"/>
      <w:r w:rsidRPr="00F473A0">
        <w:t>PCRs</w:t>
      </w:r>
      <w:proofErr w:type="spellEnd"/>
      <w:r w:rsidRPr="00F473A0">
        <w:t xml:space="preserve"> for verification of the presence of the splinter in </w:t>
      </w:r>
      <w:proofErr w:type="gramStart"/>
      <w:r w:rsidRPr="00F473A0">
        <w:rPr>
          <w:i/>
        </w:rPr>
        <w:t>A.</w:t>
      </w:r>
      <w:proofErr w:type="gramEnd"/>
      <w:r w:rsidRPr="00F473A0">
        <w:rPr>
          <w:i/>
        </w:rPr>
        <w:t xml:space="preserve"> thaliana</w:t>
      </w:r>
      <w:r w:rsidRPr="00F473A0">
        <w:t xml:space="preserve"> </w:t>
      </w:r>
      <w:proofErr w:type="spellStart"/>
      <w:r w:rsidRPr="00F473A0">
        <w:t>transformant</w:t>
      </w:r>
      <w:proofErr w:type="spellEnd"/>
      <w:r w:rsidRPr="00F473A0">
        <w:t xml:space="preserve"> 2 (</w:t>
      </w:r>
      <w:proofErr w:type="spellStart"/>
      <w:r w:rsidRPr="00F473A0">
        <w:t>At2</w:t>
      </w:r>
      <w:proofErr w:type="spellEnd"/>
      <w:r w:rsidRPr="00F473A0">
        <w:t xml:space="preserve">); </w:t>
      </w:r>
      <w:r w:rsidRPr="00F473A0">
        <w:rPr>
          <w:b/>
        </w:rPr>
        <w:t>A.</w:t>
      </w:r>
      <w:r w:rsidRPr="00F473A0">
        <w:t xml:space="preserve"> </w:t>
      </w:r>
      <w:proofErr w:type="gramStart"/>
      <w:r w:rsidRPr="00F473A0">
        <w:t xml:space="preserve">The primer sequences; </w:t>
      </w:r>
      <w:r w:rsidRPr="00F473A0">
        <w:rPr>
          <w:b/>
        </w:rPr>
        <w:t>B.</w:t>
      </w:r>
      <w:proofErr w:type="gramEnd"/>
      <w:r w:rsidRPr="00F473A0">
        <w:t xml:space="preserve"> </w:t>
      </w:r>
      <w:proofErr w:type="gramStart"/>
      <w:r w:rsidRPr="00F473A0">
        <w:t xml:space="preserve">A cartoon showing the positions of the primers on the chromosome containing the splinter; </w:t>
      </w:r>
      <w:r w:rsidRPr="00F473A0">
        <w:rPr>
          <w:b/>
        </w:rPr>
        <w:t>C.</w:t>
      </w:r>
      <w:r w:rsidRPr="00F473A0">
        <w:t xml:space="preserve"> Digital representation of the observed </w:t>
      </w:r>
      <w:proofErr w:type="spellStart"/>
      <w:r w:rsidRPr="00F473A0">
        <w:t>amplicons</w:t>
      </w:r>
      <w:proofErr w:type="spellEnd"/>
      <w:r w:rsidRPr="00F473A0">
        <w:t xml:space="preserve"> after </w:t>
      </w:r>
      <w:proofErr w:type="spellStart"/>
      <w:r w:rsidRPr="00F473A0">
        <w:t>PCR</w:t>
      </w:r>
      <w:proofErr w:type="spellEnd"/>
      <w:r w:rsidRPr="00F473A0">
        <w:t xml:space="preserve">, using Agilent </w:t>
      </w:r>
      <w:proofErr w:type="spellStart"/>
      <w:r w:rsidRPr="00F473A0">
        <w:t>Bioanalyzer</w:t>
      </w:r>
      <w:proofErr w:type="spellEnd"/>
      <w:r w:rsidRPr="00F473A0">
        <w:t>.</w:t>
      </w:r>
      <w:proofErr w:type="gramEnd"/>
      <w:r w:rsidRPr="00F473A0">
        <w:t xml:space="preserve"> The third lane shows both the </w:t>
      </w:r>
      <w:proofErr w:type="spellStart"/>
      <w:r w:rsidRPr="00F473A0">
        <w:t>amplicon</w:t>
      </w:r>
      <w:proofErr w:type="spellEnd"/>
      <w:r w:rsidRPr="00F473A0">
        <w:t xml:space="preserve"> without the splinter, and the </w:t>
      </w:r>
      <w:proofErr w:type="spellStart"/>
      <w:r w:rsidRPr="00F473A0">
        <w:t>amplicon</w:t>
      </w:r>
      <w:proofErr w:type="spellEnd"/>
      <w:r w:rsidRPr="00F473A0">
        <w:t xml:space="preserve"> containing the splinter. These two </w:t>
      </w:r>
      <w:proofErr w:type="spellStart"/>
      <w:r w:rsidRPr="00F473A0">
        <w:t>amplicons</w:t>
      </w:r>
      <w:proofErr w:type="spellEnd"/>
      <w:r w:rsidRPr="00F473A0">
        <w:t xml:space="preserve"> and the </w:t>
      </w:r>
      <w:proofErr w:type="spellStart"/>
      <w:r w:rsidRPr="00F473A0">
        <w:t>amplicon</w:t>
      </w:r>
      <w:proofErr w:type="spellEnd"/>
      <w:r w:rsidRPr="00F473A0">
        <w:t xml:space="preserve"> in the second lane were sequenced, and fully confirmed the </w:t>
      </w:r>
      <w:r w:rsidRPr="00F473A0">
        <w:lastRenderedPageBreak/>
        <w:t>DNA sequences of the splinter, of the flanking DNA, and of the homologous native locus, shown in Figure 2.</w:t>
      </w:r>
    </w:p>
    <w:sectPr w:rsidR="00C55855" w:rsidSect="007472B2">
      <w:pgSz w:w="11900" w:h="16840"/>
      <w:pgMar w:top="1702" w:right="1800" w:bottom="1702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81545"/>
    <w:rsid w:val="0025067D"/>
    <w:rsid w:val="00381545"/>
    <w:rsid w:val="00C55855"/>
    <w:rsid w:val="00FD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855"/>
  </w:style>
  <w:style w:type="paragraph" w:styleId="Heading1">
    <w:name w:val="heading 1"/>
    <w:basedOn w:val="Normal"/>
    <w:next w:val="Normal"/>
    <w:link w:val="Heading1Char"/>
    <w:uiPriority w:val="9"/>
    <w:qFormat/>
    <w:rsid w:val="0038154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54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 w:eastAsia="ja-JP"/>
    </w:rPr>
  </w:style>
  <w:style w:type="paragraph" w:styleId="NormalWeb">
    <w:name w:val="Normal (Web)"/>
    <w:basedOn w:val="Normal"/>
    <w:uiPriority w:val="99"/>
    <w:unhideWhenUsed/>
    <w:rsid w:val="0038154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table" w:customStyle="1" w:styleId="IntenseQuote1">
    <w:name w:val="Intense Quote1"/>
    <w:basedOn w:val="TableNormal"/>
    <w:uiPriority w:val="60"/>
    <w:qFormat/>
    <w:rsid w:val="00381545"/>
    <w:pPr>
      <w:spacing w:after="0" w:line="240" w:lineRule="auto"/>
    </w:pPr>
    <w:rPr>
      <w:rFonts w:ascii="Cambria" w:eastAsia="MS Mincho" w:hAnsi="Cambria" w:cs="Times New Roman"/>
      <w:color w:val="365F9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0011294</dc:creator>
  <cp:lastModifiedBy>0011294</cp:lastModifiedBy>
  <cp:revision>1</cp:revision>
  <dcterms:created xsi:type="dcterms:W3CDTF">2017-01-12T09:17:00Z</dcterms:created>
  <dcterms:modified xsi:type="dcterms:W3CDTF">2017-01-12T09:18:00Z</dcterms:modified>
</cp:coreProperties>
</file>