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1867D" w14:textId="77777777" w:rsidR="00A0570B" w:rsidRDefault="008206BB" w:rsidP="008206BB">
      <w:pPr>
        <w:spacing w:line="360" w:lineRule="auto"/>
        <w:jc w:val="both"/>
        <w:rPr>
          <w:rFonts w:ascii="Times New Roman" w:hAnsi="Times New Roman" w:cs="Times New Roman"/>
          <w:b/>
          <w:bCs/>
          <w:i/>
          <w:iCs/>
        </w:rPr>
      </w:pPr>
      <w:r w:rsidRPr="008206BB">
        <w:rPr>
          <w:rFonts w:ascii="Times New Roman" w:hAnsi="Times New Roman" w:cs="Times New Roman"/>
          <w:b/>
          <w:bCs/>
        </w:rPr>
        <w:t xml:space="preserve">Plant Growth-Promoting Traits of </w:t>
      </w:r>
      <w:r w:rsidRPr="008206BB">
        <w:rPr>
          <w:rFonts w:ascii="Times New Roman" w:hAnsi="Times New Roman" w:cs="Times New Roman"/>
          <w:b/>
          <w:bCs/>
          <w:i/>
          <w:iCs/>
        </w:rPr>
        <w:t>M</w:t>
      </w:r>
      <w:r w:rsidRPr="008206BB">
        <w:rPr>
          <w:rFonts w:ascii="Times New Roman" w:hAnsi="Times New Roman" w:cs="Times New Roman"/>
          <w:b/>
          <w:bCs/>
        </w:rPr>
        <w:t xml:space="preserve">. </w:t>
      </w:r>
      <w:r w:rsidRPr="008206BB">
        <w:rPr>
          <w:rFonts w:ascii="Times New Roman" w:hAnsi="Times New Roman" w:cs="Times New Roman"/>
          <w:b/>
          <w:bCs/>
          <w:i/>
          <w:iCs/>
        </w:rPr>
        <w:t>mucilaginosa</w:t>
      </w:r>
      <w:r w:rsidRPr="008206BB">
        <w:rPr>
          <w:rFonts w:ascii="Times New Roman" w:hAnsi="Times New Roman" w:cs="Times New Roman"/>
          <w:b/>
          <w:bCs/>
        </w:rPr>
        <w:t xml:space="preserve"> and </w:t>
      </w:r>
      <w:r w:rsidRPr="008206BB">
        <w:rPr>
          <w:rFonts w:ascii="Times New Roman" w:hAnsi="Times New Roman" w:cs="Times New Roman"/>
          <w:b/>
          <w:bCs/>
          <w:i/>
          <w:iCs/>
        </w:rPr>
        <w:t>M</w:t>
      </w:r>
      <w:r w:rsidRPr="008206BB">
        <w:rPr>
          <w:rFonts w:ascii="Times New Roman" w:hAnsi="Times New Roman" w:cs="Times New Roman"/>
          <w:b/>
          <w:bCs/>
        </w:rPr>
        <w:t xml:space="preserve">. </w:t>
      </w:r>
      <w:r w:rsidRPr="008206BB">
        <w:rPr>
          <w:rFonts w:ascii="Times New Roman" w:hAnsi="Times New Roman" w:cs="Times New Roman"/>
          <w:b/>
          <w:bCs/>
          <w:i/>
          <w:iCs/>
        </w:rPr>
        <w:t>rubra</w:t>
      </w:r>
    </w:p>
    <w:p w14:paraId="3A1461DA" w14:textId="26E4A094" w:rsidR="008206BB" w:rsidRPr="00A0570B" w:rsidRDefault="008206BB" w:rsidP="008206BB">
      <w:pPr>
        <w:spacing w:line="360" w:lineRule="auto"/>
        <w:jc w:val="both"/>
        <w:rPr>
          <w:rFonts w:ascii="Times New Roman" w:hAnsi="Times New Roman" w:cs="Times New Roman"/>
          <w:b/>
          <w:bCs/>
        </w:rPr>
      </w:pPr>
      <w:r w:rsidRPr="008206BB">
        <w:rPr>
          <w:rFonts w:ascii="Times New Roman" w:hAnsi="Times New Roman" w:cs="Times New Roman"/>
        </w:rPr>
        <w:t xml:space="preserve">Both </w:t>
      </w:r>
      <w:r w:rsidR="00D879A9" w:rsidRPr="00D879A9">
        <w:rPr>
          <w:rFonts w:ascii="Times New Roman" w:hAnsi="Times New Roman" w:cs="Times New Roman"/>
          <w:i/>
          <w:iCs/>
        </w:rPr>
        <w:t>M</w:t>
      </w:r>
      <w:r w:rsidR="00D879A9" w:rsidRPr="00D879A9">
        <w:rPr>
          <w:rFonts w:ascii="Times New Roman" w:hAnsi="Times New Roman" w:cs="Times New Roman"/>
        </w:rPr>
        <w:t xml:space="preserve">. </w:t>
      </w:r>
      <w:r w:rsidR="00D879A9" w:rsidRPr="00D879A9">
        <w:rPr>
          <w:rFonts w:ascii="Times New Roman" w:hAnsi="Times New Roman" w:cs="Times New Roman"/>
          <w:i/>
          <w:iCs/>
        </w:rPr>
        <w:t>mucilaginosa</w:t>
      </w:r>
      <w:r w:rsidR="00D879A9" w:rsidRPr="00D879A9">
        <w:rPr>
          <w:rFonts w:ascii="Times New Roman" w:hAnsi="Times New Roman" w:cs="Times New Roman"/>
        </w:rPr>
        <w:t xml:space="preserve"> and </w:t>
      </w:r>
      <w:r w:rsidR="00D879A9" w:rsidRPr="00D879A9">
        <w:rPr>
          <w:rFonts w:ascii="Times New Roman" w:hAnsi="Times New Roman" w:cs="Times New Roman"/>
          <w:i/>
          <w:iCs/>
        </w:rPr>
        <w:t>M</w:t>
      </w:r>
      <w:r w:rsidR="00D879A9" w:rsidRPr="00D879A9">
        <w:rPr>
          <w:rFonts w:ascii="Times New Roman" w:hAnsi="Times New Roman" w:cs="Times New Roman"/>
        </w:rPr>
        <w:t xml:space="preserve">. </w:t>
      </w:r>
      <w:r w:rsidR="00D879A9" w:rsidRPr="00D879A9">
        <w:rPr>
          <w:rFonts w:ascii="Times New Roman" w:hAnsi="Times New Roman" w:cs="Times New Roman"/>
          <w:i/>
          <w:iCs/>
        </w:rPr>
        <w:t>rubra</w:t>
      </w:r>
      <w:r w:rsidR="00D879A9">
        <w:rPr>
          <w:rFonts w:ascii="Times New Roman" w:hAnsi="Times New Roman" w:cs="Times New Roman"/>
          <w:b/>
          <w:bCs/>
          <w:i/>
          <w:iCs/>
        </w:rPr>
        <w:t xml:space="preserve"> </w:t>
      </w:r>
      <w:r w:rsidRPr="008206BB">
        <w:rPr>
          <w:rFonts w:ascii="Times New Roman" w:hAnsi="Times New Roman" w:cs="Times New Roman"/>
        </w:rPr>
        <w:t xml:space="preserve">exhibited positive activity in multiple plant growth-promoting (PGP) traits. </w:t>
      </w:r>
      <w:r w:rsidR="00896899" w:rsidRPr="00896899">
        <w:rPr>
          <w:rFonts w:ascii="Times New Roman" w:hAnsi="Times New Roman" w:cs="Times New Roman"/>
        </w:rPr>
        <w:t>Specifically, both strains demonstrated the ability to produce indole-3-acetic acid (IAA), solubilize phosphate, produce siderophores, and fix nitrogen</w:t>
      </w:r>
      <w:r w:rsidR="00593BE3">
        <w:rPr>
          <w:rFonts w:ascii="Times New Roman" w:hAnsi="Times New Roman" w:cs="Times New Roman"/>
        </w:rPr>
        <w:t xml:space="preserve"> </w:t>
      </w:r>
      <w:r w:rsidR="00F13AB8">
        <w:rPr>
          <w:rFonts w:ascii="Times New Roman" w:hAnsi="Times New Roman" w:cs="Times New Roman"/>
        </w:rPr>
        <w:t>(</w:t>
      </w:r>
      <w:r w:rsidRPr="00AE65BE">
        <w:rPr>
          <w:rFonts w:ascii="Times New Roman" w:hAnsi="Times New Roman" w:cs="Times New Roman"/>
          <w:color w:val="0F9ED5" w:themeColor="accent4"/>
        </w:rPr>
        <w:t>Supplementary Table 1</w:t>
      </w:r>
      <w:r w:rsidR="00F13AB8">
        <w:rPr>
          <w:rFonts w:ascii="Times New Roman" w:hAnsi="Times New Roman" w:cs="Times New Roman"/>
        </w:rPr>
        <w:t>)</w:t>
      </w:r>
      <w:r w:rsidRPr="008206BB">
        <w:rPr>
          <w:rFonts w:ascii="Times New Roman" w:hAnsi="Times New Roman" w:cs="Times New Roman"/>
        </w:rPr>
        <w:t>.</w:t>
      </w:r>
    </w:p>
    <w:tbl>
      <w:tblPr>
        <w:tblStyle w:val="TableGrid"/>
        <w:tblpPr w:leftFromText="180" w:rightFromText="180" w:vertAnchor="page" w:horzAnchor="margin" w:tblpX="-645" w:tblpY="3496"/>
        <w:tblW w:w="10450" w:type="dxa"/>
        <w:tblInd w:w="0" w:type="dxa"/>
        <w:tblLook w:val="04A0" w:firstRow="1" w:lastRow="0" w:firstColumn="1" w:lastColumn="0" w:noHBand="0" w:noVBand="1"/>
      </w:tblPr>
      <w:tblGrid>
        <w:gridCol w:w="1800"/>
        <w:gridCol w:w="1625"/>
        <w:gridCol w:w="2712"/>
        <w:gridCol w:w="2513"/>
        <w:gridCol w:w="1800"/>
      </w:tblGrid>
      <w:tr w:rsidR="00593BE3" w14:paraId="3F94FF70" w14:textId="77777777" w:rsidTr="00B536AD">
        <w:tc>
          <w:tcPr>
            <w:tcW w:w="1800" w:type="dxa"/>
            <w:vAlign w:val="center"/>
          </w:tcPr>
          <w:p w14:paraId="688AED88" w14:textId="77777777" w:rsidR="00593BE3" w:rsidRPr="00AA0986" w:rsidRDefault="00593BE3" w:rsidP="00B536AD">
            <w:pPr>
              <w:jc w:val="center"/>
              <w:rPr>
                <w:rFonts w:ascii="Times New Roman" w:hAnsi="Times New Roman"/>
                <w:b/>
                <w:bCs/>
              </w:rPr>
            </w:pPr>
            <w:r w:rsidRPr="00AA0986">
              <w:rPr>
                <w:rFonts w:ascii="Times New Roman" w:hAnsi="Times New Roman"/>
                <w:b/>
                <w:bCs/>
              </w:rPr>
              <w:t>Strains</w:t>
            </w:r>
          </w:p>
        </w:tc>
        <w:tc>
          <w:tcPr>
            <w:tcW w:w="1625" w:type="dxa"/>
            <w:vAlign w:val="center"/>
          </w:tcPr>
          <w:p w14:paraId="34C77C1C" w14:textId="2F5FB114" w:rsidR="00593BE3" w:rsidRPr="00AA0986" w:rsidRDefault="00593BE3" w:rsidP="00B536AD">
            <w:pPr>
              <w:jc w:val="center"/>
              <w:rPr>
                <w:rFonts w:ascii="Times New Roman" w:hAnsi="Times New Roman"/>
                <w:b/>
                <w:bCs/>
              </w:rPr>
            </w:pPr>
            <w:r w:rsidRPr="00AA0986">
              <w:rPr>
                <w:rFonts w:ascii="Times New Roman" w:hAnsi="Times New Roman"/>
                <w:b/>
                <w:bCs/>
              </w:rPr>
              <w:t>IAA</w:t>
            </w:r>
            <w:r w:rsidR="00C502BC">
              <w:rPr>
                <w:rFonts w:ascii="Times New Roman" w:hAnsi="Times New Roman"/>
                <w:b/>
                <w:bCs/>
              </w:rPr>
              <w:t xml:space="preserve"> </w:t>
            </w:r>
            <w:r w:rsidR="00C502BC" w:rsidRPr="00C502BC">
              <w:rPr>
                <w:rFonts w:asciiTheme="minorHAnsi" w:eastAsiaTheme="minorHAnsi" w:hAnsiTheme="minorHAnsi" w:cstheme="minorBidi"/>
                <w:sz w:val="24"/>
                <w:szCs w:val="24"/>
                <w:lang w:val="en-US"/>
              </w:rPr>
              <w:t xml:space="preserve"> </w:t>
            </w:r>
            <w:r w:rsidR="00C502BC" w:rsidRPr="00C502BC">
              <w:rPr>
                <w:rFonts w:ascii="Times New Roman" w:hAnsi="Times New Roman"/>
                <w:b/>
                <w:bCs/>
                <w:lang w:val="en-US"/>
              </w:rPr>
              <w:t>(µg mL⁻¹)</w:t>
            </w:r>
          </w:p>
        </w:tc>
        <w:tc>
          <w:tcPr>
            <w:tcW w:w="2712" w:type="dxa"/>
            <w:vAlign w:val="center"/>
          </w:tcPr>
          <w:p w14:paraId="63F101C1" w14:textId="6AC19D11" w:rsidR="00593BE3" w:rsidRPr="00AA0986" w:rsidRDefault="00593BE3" w:rsidP="00B536AD">
            <w:pPr>
              <w:jc w:val="center"/>
              <w:rPr>
                <w:rFonts w:ascii="Times New Roman" w:hAnsi="Times New Roman"/>
                <w:b/>
                <w:bCs/>
              </w:rPr>
            </w:pPr>
            <w:r w:rsidRPr="00AA0986">
              <w:rPr>
                <w:rFonts w:ascii="Times New Roman" w:hAnsi="Times New Roman"/>
                <w:b/>
                <w:bCs/>
              </w:rPr>
              <w:t>Phosphate Solubilization</w:t>
            </w:r>
            <w:r w:rsidR="00C502BC">
              <w:rPr>
                <w:rFonts w:ascii="Times New Roman" w:hAnsi="Times New Roman"/>
                <w:b/>
                <w:bCs/>
              </w:rPr>
              <w:t xml:space="preserve"> </w:t>
            </w:r>
            <w:r w:rsidR="00C502BC" w:rsidRPr="00C502BC">
              <w:rPr>
                <w:rFonts w:asciiTheme="minorHAnsi" w:eastAsiaTheme="minorHAnsi" w:hAnsiTheme="minorHAnsi" w:cstheme="minorBidi"/>
                <w:sz w:val="24"/>
                <w:szCs w:val="24"/>
                <w:lang w:val="en-US"/>
              </w:rPr>
              <w:t xml:space="preserve"> </w:t>
            </w:r>
            <w:r w:rsidR="00C502BC" w:rsidRPr="00C502BC">
              <w:rPr>
                <w:rFonts w:ascii="Times New Roman" w:hAnsi="Times New Roman"/>
                <w:b/>
                <w:bCs/>
                <w:lang w:val="en-US"/>
              </w:rPr>
              <w:t>(halo diameter, mm)</w:t>
            </w:r>
          </w:p>
        </w:tc>
        <w:tc>
          <w:tcPr>
            <w:tcW w:w="2513" w:type="dxa"/>
            <w:vAlign w:val="center"/>
          </w:tcPr>
          <w:p w14:paraId="2FDD432C" w14:textId="6FB4A3F6" w:rsidR="00593BE3" w:rsidRPr="00AA0986" w:rsidRDefault="00593BE3" w:rsidP="00B536AD">
            <w:pPr>
              <w:jc w:val="center"/>
              <w:rPr>
                <w:rFonts w:ascii="Times New Roman" w:hAnsi="Times New Roman"/>
                <w:b/>
                <w:bCs/>
              </w:rPr>
            </w:pPr>
            <w:r w:rsidRPr="00AA0986">
              <w:rPr>
                <w:rFonts w:ascii="Times New Roman" w:hAnsi="Times New Roman"/>
                <w:b/>
                <w:bCs/>
              </w:rPr>
              <w:t>Siderophore Production</w:t>
            </w:r>
            <w:r w:rsidR="00C502BC">
              <w:rPr>
                <w:rFonts w:ascii="Times New Roman" w:hAnsi="Times New Roman"/>
                <w:b/>
                <w:bCs/>
              </w:rPr>
              <w:t xml:space="preserve"> </w:t>
            </w:r>
            <w:r w:rsidR="00C502BC" w:rsidRPr="00C502BC">
              <w:rPr>
                <w:rFonts w:asciiTheme="minorHAnsi" w:eastAsiaTheme="minorHAnsi" w:hAnsiTheme="minorHAnsi" w:cstheme="minorBidi"/>
                <w:sz w:val="24"/>
                <w:szCs w:val="24"/>
                <w:lang w:val="en-US"/>
              </w:rPr>
              <w:t xml:space="preserve"> </w:t>
            </w:r>
            <w:r w:rsidR="00C502BC" w:rsidRPr="00C502BC">
              <w:rPr>
                <w:rFonts w:ascii="Times New Roman" w:hAnsi="Times New Roman"/>
                <w:b/>
                <w:bCs/>
                <w:lang w:val="en-US"/>
              </w:rPr>
              <w:t>(CAS halo, mm)</w:t>
            </w:r>
          </w:p>
        </w:tc>
        <w:tc>
          <w:tcPr>
            <w:tcW w:w="1800" w:type="dxa"/>
            <w:vAlign w:val="center"/>
          </w:tcPr>
          <w:p w14:paraId="5666C4B4" w14:textId="4C00B209" w:rsidR="00593BE3" w:rsidRPr="00AA0986" w:rsidRDefault="00593BE3" w:rsidP="00B536AD">
            <w:pPr>
              <w:jc w:val="center"/>
              <w:rPr>
                <w:rFonts w:ascii="Times New Roman" w:hAnsi="Times New Roman"/>
                <w:b/>
                <w:bCs/>
              </w:rPr>
            </w:pPr>
            <w:r w:rsidRPr="00AA0986">
              <w:rPr>
                <w:rFonts w:ascii="Times New Roman" w:hAnsi="Times New Roman"/>
                <w:b/>
                <w:bCs/>
              </w:rPr>
              <w:t>Nitrogen Fixation</w:t>
            </w:r>
            <w:r w:rsidR="00C502BC">
              <w:rPr>
                <w:rFonts w:ascii="Times New Roman" w:hAnsi="Times New Roman"/>
                <w:b/>
                <w:bCs/>
              </w:rPr>
              <w:t xml:space="preserve"> </w:t>
            </w:r>
            <w:r w:rsidR="00C502BC" w:rsidRPr="00C502BC">
              <w:rPr>
                <w:rFonts w:asciiTheme="minorHAnsi" w:eastAsiaTheme="minorHAnsi" w:hAnsiTheme="minorHAnsi" w:cstheme="minorBidi"/>
                <w:sz w:val="24"/>
                <w:szCs w:val="24"/>
                <w:lang w:val="en-US"/>
              </w:rPr>
              <w:t xml:space="preserve"> </w:t>
            </w:r>
            <w:r w:rsidR="00C502BC" w:rsidRPr="00C502BC">
              <w:rPr>
                <w:rFonts w:ascii="Times New Roman" w:hAnsi="Times New Roman"/>
                <w:b/>
                <w:bCs/>
                <w:lang w:val="en-US"/>
              </w:rPr>
              <w:t>(growth score)</w:t>
            </w:r>
          </w:p>
        </w:tc>
      </w:tr>
      <w:tr w:rsidR="00593BE3" w14:paraId="3C799CF2" w14:textId="77777777" w:rsidTr="00B536AD">
        <w:trPr>
          <w:trHeight w:val="443"/>
        </w:trPr>
        <w:tc>
          <w:tcPr>
            <w:tcW w:w="1800" w:type="dxa"/>
            <w:vAlign w:val="center"/>
          </w:tcPr>
          <w:p w14:paraId="5218418E" w14:textId="77777777" w:rsidR="00593BE3" w:rsidRDefault="00593BE3" w:rsidP="00B536AD">
            <w:pPr>
              <w:jc w:val="center"/>
              <w:rPr>
                <w:rFonts w:ascii="Times New Roman" w:hAnsi="Times New Roman"/>
              </w:rPr>
            </w:pPr>
            <w:r w:rsidRPr="00031E83">
              <w:rPr>
                <w:rFonts w:ascii="Times New Roman" w:hAnsi="Times New Roman"/>
                <w:i/>
                <w:iCs/>
              </w:rPr>
              <w:t>M</w:t>
            </w:r>
            <w:r>
              <w:rPr>
                <w:rFonts w:ascii="Times New Roman" w:hAnsi="Times New Roman"/>
              </w:rPr>
              <w:t>.</w:t>
            </w:r>
            <w:r w:rsidRPr="00031E83">
              <w:rPr>
                <w:rFonts w:ascii="Times New Roman" w:hAnsi="Times New Roman"/>
                <w:i/>
                <w:iCs/>
              </w:rPr>
              <w:t xml:space="preserve"> mucilaginosa</w:t>
            </w:r>
          </w:p>
        </w:tc>
        <w:tc>
          <w:tcPr>
            <w:tcW w:w="1625" w:type="dxa"/>
            <w:vAlign w:val="center"/>
          </w:tcPr>
          <w:p w14:paraId="0797C493" w14:textId="3401BC3C" w:rsidR="00593BE3" w:rsidRDefault="00131307" w:rsidP="00B536AD">
            <w:pPr>
              <w:jc w:val="center"/>
              <w:rPr>
                <w:rFonts w:ascii="Times New Roman" w:hAnsi="Times New Roman"/>
              </w:rPr>
            </w:pPr>
            <w:r w:rsidRPr="00131307">
              <w:rPr>
                <w:rFonts w:ascii="Times New Roman" w:hAnsi="Times New Roman"/>
              </w:rPr>
              <w:t>18.6 ± 1.2</w:t>
            </w:r>
          </w:p>
        </w:tc>
        <w:tc>
          <w:tcPr>
            <w:tcW w:w="2712" w:type="dxa"/>
            <w:vAlign w:val="center"/>
          </w:tcPr>
          <w:p w14:paraId="645CE2AA" w14:textId="1B11F999" w:rsidR="00593BE3" w:rsidRDefault="00131307" w:rsidP="00B536AD">
            <w:pPr>
              <w:jc w:val="center"/>
              <w:rPr>
                <w:rFonts w:ascii="Times New Roman" w:hAnsi="Times New Roman"/>
              </w:rPr>
            </w:pPr>
            <w:r w:rsidRPr="00131307">
              <w:rPr>
                <w:rFonts w:ascii="Times New Roman" w:hAnsi="Times New Roman"/>
              </w:rPr>
              <w:t>9.4 ± 0.6</w:t>
            </w:r>
          </w:p>
        </w:tc>
        <w:tc>
          <w:tcPr>
            <w:tcW w:w="2513" w:type="dxa"/>
            <w:vAlign w:val="center"/>
          </w:tcPr>
          <w:p w14:paraId="5A70747D" w14:textId="5866B514" w:rsidR="00593BE3" w:rsidRDefault="00131307" w:rsidP="00B536AD">
            <w:pPr>
              <w:jc w:val="center"/>
              <w:rPr>
                <w:rFonts w:ascii="Times New Roman" w:hAnsi="Times New Roman"/>
              </w:rPr>
            </w:pPr>
            <w:r w:rsidRPr="00131307">
              <w:rPr>
                <w:rFonts w:ascii="Times New Roman" w:hAnsi="Times New Roman"/>
              </w:rPr>
              <w:t>7.8 ± 0.5</w:t>
            </w:r>
          </w:p>
        </w:tc>
        <w:tc>
          <w:tcPr>
            <w:tcW w:w="1800" w:type="dxa"/>
            <w:vAlign w:val="center"/>
          </w:tcPr>
          <w:p w14:paraId="2731CC5C" w14:textId="765324D6" w:rsidR="00593BE3" w:rsidRDefault="0089151E" w:rsidP="00B536AD">
            <w:pPr>
              <w:jc w:val="center"/>
              <w:rPr>
                <w:rFonts w:ascii="Times New Roman" w:hAnsi="Times New Roman"/>
              </w:rPr>
            </w:pPr>
            <w:r w:rsidRPr="0089151E">
              <w:rPr>
                <w:rFonts w:ascii="Times New Roman" w:hAnsi="Times New Roman"/>
                <w:lang w:val="en-US"/>
              </w:rPr>
              <w:t>Positive growth</w:t>
            </w:r>
          </w:p>
        </w:tc>
      </w:tr>
      <w:tr w:rsidR="00593BE3" w14:paraId="6A5932FA" w14:textId="77777777" w:rsidTr="00B536AD">
        <w:trPr>
          <w:trHeight w:val="443"/>
        </w:trPr>
        <w:tc>
          <w:tcPr>
            <w:tcW w:w="1800" w:type="dxa"/>
            <w:vAlign w:val="center"/>
          </w:tcPr>
          <w:p w14:paraId="2086BA3F" w14:textId="77777777" w:rsidR="00593BE3" w:rsidRPr="00031E83" w:rsidRDefault="00593BE3" w:rsidP="00B536AD">
            <w:pPr>
              <w:jc w:val="center"/>
              <w:rPr>
                <w:rFonts w:ascii="Times New Roman" w:hAnsi="Times New Roman"/>
                <w:i/>
                <w:iCs/>
              </w:rPr>
            </w:pPr>
            <w:r w:rsidRPr="00031E83">
              <w:rPr>
                <w:rFonts w:ascii="Times New Roman" w:hAnsi="Times New Roman"/>
                <w:i/>
                <w:iCs/>
              </w:rPr>
              <w:t>M</w:t>
            </w:r>
            <w:r>
              <w:rPr>
                <w:rFonts w:ascii="Times New Roman" w:hAnsi="Times New Roman"/>
              </w:rPr>
              <w:t>.</w:t>
            </w:r>
            <w:r w:rsidRPr="00031E83">
              <w:rPr>
                <w:rFonts w:ascii="Times New Roman" w:hAnsi="Times New Roman"/>
                <w:i/>
                <w:iCs/>
              </w:rPr>
              <w:t xml:space="preserve"> rubra</w:t>
            </w:r>
          </w:p>
        </w:tc>
        <w:tc>
          <w:tcPr>
            <w:tcW w:w="1625" w:type="dxa"/>
            <w:vAlign w:val="center"/>
          </w:tcPr>
          <w:p w14:paraId="6BA3BD8E" w14:textId="47EC92E7" w:rsidR="00593BE3" w:rsidRDefault="00131307" w:rsidP="00B536AD">
            <w:pPr>
              <w:jc w:val="center"/>
              <w:rPr>
                <w:rFonts w:ascii="Times New Roman" w:hAnsi="Times New Roman"/>
              </w:rPr>
            </w:pPr>
            <w:r w:rsidRPr="00131307">
              <w:rPr>
                <w:rFonts w:ascii="Times New Roman" w:hAnsi="Times New Roman"/>
              </w:rPr>
              <w:t>22.1 ± 1.5</w:t>
            </w:r>
          </w:p>
        </w:tc>
        <w:tc>
          <w:tcPr>
            <w:tcW w:w="2712" w:type="dxa"/>
            <w:vAlign w:val="center"/>
          </w:tcPr>
          <w:p w14:paraId="03ABD30C" w14:textId="5867FD6F" w:rsidR="00593BE3" w:rsidRDefault="00131307" w:rsidP="00B536AD">
            <w:pPr>
              <w:jc w:val="center"/>
              <w:rPr>
                <w:rFonts w:ascii="Times New Roman" w:hAnsi="Times New Roman"/>
              </w:rPr>
            </w:pPr>
            <w:r w:rsidRPr="00131307">
              <w:rPr>
                <w:rFonts w:ascii="Times New Roman" w:hAnsi="Times New Roman"/>
              </w:rPr>
              <w:t>11.2 ± 0.8</w:t>
            </w:r>
          </w:p>
        </w:tc>
        <w:tc>
          <w:tcPr>
            <w:tcW w:w="2513" w:type="dxa"/>
            <w:vAlign w:val="center"/>
          </w:tcPr>
          <w:p w14:paraId="71CC1A8B" w14:textId="0CD64F62" w:rsidR="00593BE3" w:rsidRDefault="00131307" w:rsidP="00B536AD">
            <w:pPr>
              <w:jc w:val="center"/>
              <w:rPr>
                <w:rFonts w:ascii="Times New Roman" w:hAnsi="Times New Roman"/>
              </w:rPr>
            </w:pPr>
            <w:r w:rsidRPr="00131307">
              <w:rPr>
                <w:rFonts w:ascii="Times New Roman" w:hAnsi="Times New Roman"/>
              </w:rPr>
              <w:t>9.6 ± 0.7</w:t>
            </w:r>
          </w:p>
        </w:tc>
        <w:tc>
          <w:tcPr>
            <w:tcW w:w="1800" w:type="dxa"/>
            <w:vAlign w:val="center"/>
          </w:tcPr>
          <w:p w14:paraId="3E2346A0" w14:textId="30544B93" w:rsidR="00593BE3" w:rsidRDefault="0089151E" w:rsidP="00B536AD">
            <w:pPr>
              <w:jc w:val="center"/>
              <w:rPr>
                <w:rFonts w:ascii="Times New Roman" w:hAnsi="Times New Roman"/>
              </w:rPr>
            </w:pPr>
            <w:r w:rsidRPr="0089151E">
              <w:rPr>
                <w:rFonts w:ascii="Times New Roman" w:hAnsi="Times New Roman"/>
                <w:lang w:val="en-US"/>
              </w:rPr>
              <w:t>Positive growth</w:t>
            </w:r>
          </w:p>
        </w:tc>
      </w:tr>
    </w:tbl>
    <w:p w14:paraId="69AD61BD" w14:textId="59B5D30B" w:rsidR="009434AF" w:rsidRPr="00E67138" w:rsidRDefault="00207D58" w:rsidP="005819DC">
      <w:pPr>
        <w:spacing w:before="240"/>
        <w:jc w:val="both"/>
        <w:rPr>
          <w:rFonts w:ascii="Times New Roman" w:hAnsi="Times New Roman" w:cs="Times New Roman"/>
          <w:sz w:val="22"/>
          <w:szCs w:val="22"/>
        </w:rPr>
      </w:pPr>
      <w:r w:rsidRPr="00E67138">
        <w:rPr>
          <w:rFonts w:ascii="Times New Roman" w:hAnsi="Times New Roman" w:cs="Times New Roman"/>
          <w:b/>
          <w:bCs/>
          <w:sz w:val="22"/>
          <w:szCs w:val="22"/>
        </w:rPr>
        <w:t xml:space="preserve">Supplementary </w:t>
      </w:r>
      <w:r w:rsidR="009434AF" w:rsidRPr="00E67138">
        <w:rPr>
          <w:rFonts w:ascii="Times New Roman" w:hAnsi="Times New Roman" w:cs="Times New Roman"/>
          <w:b/>
          <w:bCs/>
          <w:sz w:val="22"/>
          <w:szCs w:val="22"/>
        </w:rPr>
        <w:t>Table 1:</w:t>
      </w:r>
      <w:r w:rsidR="009434AF" w:rsidRPr="00E67138">
        <w:rPr>
          <w:rFonts w:ascii="Times New Roman" w:hAnsi="Times New Roman" w:cs="Times New Roman"/>
          <w:sz w:val="22"/>
          <w:szCs w:val="22"/>
        </w:rPr>
        <w:t xml:space="preserve"> </w:t>
      </w:r>
      <w:r w:rsidR="001028A5" w:rsidRPr="00E67138">
        <w:rPr>
          <w:rFonts w:ascii="Times New Roman" w:hAnsi="Times New Roman" w:cs="Times New Roman"/>
          <w:sz w:val="22"/>
          <w:szCs w:val="22"/>
        </w:rPr>
        <w:t xml:space="preserve">Evaluation of plant growth-promoting traits in </w:t>
      </w:r>
      <w:r w:rsidR="001028A5" w:rsidRPr="00E67138">
        <w:rPr>
          <w:rFonts w:ascii="Times New Roman" w:hAnsi="Times New Roman" w:cs="Times New Roman"/>
          <w:i/>
          <w:iCs/>
          <w:sz w:val="22"/>
          <w:szCs w:val="22"/>
        </w:rPr>
        <w:t>M</w:t>
      </w:r>
      <w:r w:rsidR="001028A5" w:rsidRPr="00E67138">
        <w:rPr>
          <w:rFonts w:ascii="Times New Roman" w:hAnsi="Times New Roman" w:cs="Times New Roman"/>
          <w:sz w:val="22"/>
          <w:szCs w:val="22"/>
        </w:rPr>
        <w:t xml:space="preserve">. </w:t>
      </w:r>
      <w:r w:rsidR="001028A5" w:rsidRPr="00E67138">
        <w:rPr>
          <w:rFonts w:ascii="Times New Roman" w:hAnsi="Times New Roman" w:cs="Times New Roman"/>
          <w:i/>
          <w:iCs/>
          <w:sz w:val="22"/>
          <w:szCs w:val="22"/>
        </w:rPr>
        <w:t>mucilaginosa</w:t>
      </w:r>
      <w:r w:rsidR="001028A5" w:rsidRPr="00E67138">
        <w:rPr>
          <w:rFonts w:ascii="Times New Roman" w:hAnsi="Times New Roman" w:cs="Times New Roman"/>
          <w:sz w:val="22"/>
          <w:szCs w:val="22"/>
        </w:rPr>
        <w:t xml:space="preserve"> and </w:t>
      </w:r>
      <w:r w:rsidR="001028A5" w:rsidRPr="00E67138">
        <w:rPr>
          <w:rFonts w:ascii="Times New Roman" w:hAnsi="Times New Roman" w:cs="Times New Roman"/>
          <w:i/>
          <w:iCs/>
          <w:sz w:val="22"/>
          <w:szCs w:val="22"/>
        </w:rPr>
        <w:t>M</w:t>
      </w:r>
      <w:r w:rsidR="001028A5" w:rsidRPr="00E67138">
        <w:rPr>
          <w:rFonts w:ascii="Times New Roman" w:hAnsi="Times New Roman" w:cs="Times New Roman"/>
          <w:sz w:val="22"/>
          <w:szCs w:val="22"/>
        </w:rPr>
        <w:t xml:space="preserve">. </w:t>
      </w:r>
      <w:r w:rsidR="001028A5" w:rsidRPr="00E67138">
        <w:rPr>
          <w:rFonts w:ascii="Times New Roman" w:hAnsi="Times New Roman" w:cs="Times New Roman"/>
          <w:i/>
          <w:iCs/>
          <w:sz w:val="22"/>
          <w:szCs w:val="22"/>
        </w:rPr>
        <w:t>rubra</w:t>
      </w:r>
      <w:r w:rsidR="009434AF" w:rsidRPr="00E67138">
        <w:rPr>
          <w:rFonts w:ascii="Times New Roman" w:hAnsi="Times New Roman" w:cs="Times New Roman"/>
          <w:sz w:val="22"/>
          <w:szCs w:val="22"/>
        </w:rPr>
        <w:t>.</w:t>
      </w:r>
      <w:r w:rsidR="00131307" w:rsidRPr="00131307">
        <w:t xml:space="preserve"> </w:t>
      </w:r>
      <w:r w:rsidR="005716DB" w:rsidRPr="005716DB">
        <w:rPr>
          <w:rFonts w:ascii="Times New Roman" w:hAnsi="Times New Roman" w:cs="Times New Roman"/>
          <w:sz w:val="22"/>
          <w:szCs w:val="22"/>
        </w:rPr>
        <w:t xml:space="preserve">Values are means ± SD (n = </w:t>
      </w:r>
      <w:r w:rsidR="00EB5344">
        <w:rPr>
          <w:rFonts w:ascii="Times New Roman" w:hAnsi="Times New Roman" w:cs="Times New Roman"/>
          <w:sz w:val="22"/>
          <w:szCs w:val="22"/>
        </w:rPr>
        <w:t>5</w:t>
      </w:r>
      <w:r w:rsidR="005716DB" w:rsidRPr="005716DB">
        <w:rPr>
          <w:rFonts w:ascii="Times New Roman" w:hAnsi="Times New Roman" w:cs="Times New Roman"/>
          <w:sz w:val="22"/>
          <w:szCs w:val="22"/>
        </w:rPr>
        <w:t>)</w:t>
      </w:r>
      <w:r w:rsidR="00131307" w:rsidRPr="00131307">
        <w:rPr>
          <w:rFonts w:ascii="Times New Roman" w:hAnsi="Times New Roman" w:cs="Times New Roman"/>
          <w:sz w:val="22"/>
          <w:szCs w:val="22"/>
        </w:rPr>
        <w:t>. Nitrogen fixation potential was assessed qualitatively based on growth on nitrogen-free semi-solid medium.</w:t>
      </w:r>
    </w:p>
    <w:p w14:paraId="469E4B09" w14:textId="7DDE4EC5" w:rsidR="00E57175" w:rsidRPr="005819DC" w:rsidRDefault="00E57175" w:rsidP="005819DC">
      <w:pPr>
        <w:spacing w:line="360" w:lineRule="auto"/>
        <w:jc w:val="both"/>
        <w:rPr>
          <w:rFonts w:ascii="Times New Roman" w:hAnsi="Times New Roman" w:cs="Times New Roman"/>
          <w:b/>
          <w:bCs/>
        </w:rPr>
      </w:pPr>
      <w:r w:rsidRPr="005819DC">
        <w:rPr>
          <w:rFonts w:ascii="Times New Roman" w:hAnsi="Times New Roman" w:cs="Times New Roman"/>
          <w:b/>
          <w:bCs/>
        </w:rPr>
        <w:t xml:space="preserve">Chlorophyll fluorescence imaging </w:t>
      </w:r>
      <w:r w:rsidRPr="0075797B">
        <w:rPr>
          <w:rFonts w:ascii="Times New Roman" w:hAnsi="Times New Roman" w:cs="Times New Roman"/>
          <w:b/>
          <w:bCs/>
        </w:rPr>
        <w:t xml:space="preserve">of </w:t>
      </w:r>
      <w:r w:rsidR="0075797B" w:rsidRPr="0075797B">
        <w:rPr>
          <w:rFonts w:ascii="Times New Roman" w:hAnsi="Times New Roman" w:cs="Times New Roman"/>
          <w:b/>
          <w:bCs/>
          <w:i/>
          <w:iCs/>
        </w:rPr>
        <w:t>N</w:t>
      </w:r>
      <w:r w:rsidR="0075797B" w:rsidRPr="0075797B">
        <w:rPr>
          <w:rFonts w:ascii="Times New Roman" w:hAnsi="Times New Roman" w:cs="Times New Roman"/>
          <w:b/>
          <w:bCs/>
        </w:rPr>
        <w:t xml:space="preserve">. </w:t>
      </w:r>
      <w:r w:rsidR="0075797B" w:rsidRPr="0075797B">
        <w:rPr>
          <w:rFonts w:ascii="Times New Roman" w:hAnsi="Times New Roman" w:cs="Times New Roman"/>
          <w:b/>
          <w:bCs/>
          <w:i/>
          <w:iCs/>
        </w:rPr>
        <w:t>tabacum</w:t>
      </w:r>
      <w:r w:rsidR="0075797B">
        <w:rPr>
          <w:rFonts w:ascii="Times New Roman" w:hAnsi="Times New Roman" w:cs="Times New Roman"/>
          <w:i/>
          <w:iCs/>
        </w:rPr>
        <w:t xml:space="preserve"> </w:t>
      </w:r>
      <w:r w:rsidRPr="005819DC">
        <w:rPr>
          <w:rFonts w:ascii="Times New Roman" w:hAnsi="Times New Roman" w:cs="Times New Roman"/>
          <w:b/>
          <w:bCs/>
        </w:rPr>
        <w:t>leaves under NaCl stress and bacterial inoculation treatments.</w:t>
      </w:r>
    </w:p>
    <w:p w14:paraId="2A79DA3A" w14:textId="2FBBC030" w:rsidR="00E57175" w:rsidRDefault="009F6DB0" w:rsidP="005819DC">
      <w:pPr>
        <w:spacing w:line="360" w:lineRule="auto"/>
        <w:jc w:val="both"/>
        <w:rPr>
          <w:rFonts w:ascii="Times New Roman" w:hAnsi="Times New Roman" w:cs="Times New Roman"/>
        </w:rPr>
      </w:pPr>
      <w:r w:rsidRPr="009F6DB0">
        <w:rPr>
          <w:rFonts w:ascii="Times New Roman" w:hAnsi="Times New Roman" w:cs="Times New Roman"/>
        </w:rPr>
        <w:t xml:space="preserve">Chlorophyll fluorescence imaging of </w:t>
      </w:r>
      <w:r w:rsidRPr="00A05E70">
        <w:rPr>
          <w:rFonts w:ascii="Times New Roman" w:hAnsi="Times New Roman" w:cs="Times New Roman"/>
          <w:i/>
          <w:iCs/>
        </w:rPr>
        <w:t>Nicotiana tabacum</w:t>
      </w:r>
      <w:r w:rsidRPr="009F6DB0">
        <w:rPr>
          <w:rFonts w:ascii="Times New Roman" w:hAnsi="Times New Roman" w:cs="Times New Roman"/>
        </w:rPr>
        <w:t xml:space="preserve"> leaves was used to provide a qualitative visualization of spatial variation in photosynthetic parameters under NaCl stress and bacterial inoculation (Figs. S1–S5). Across all parameters, salinity stress was associated with visible changes in color distribution relative to non-stressed controls, whereas inoculated plants generally exhibited intermediate or distinct color patterns compared with uninoculated stressed plants. As leaf size varied due to salinity-induced growth effects, fluorescence imaging was employed solely as a supportive, qualitative tool rather than for quantitative comparison. Accordingly, these images illustrate general trends in PSII-related fluorescence parameters and should be interpreted in conjunction with the quantitative chlorophyll fluorescence data presented in the main manuscript</w:t>
      </w:r>
      <w:r w:rsidR="00DE77DA" w:rsidRPr="00DE77DA">
        <w:rPr>
          <w:rFonts w:ascii="Times New Roman" w:hAnsi="Times New Roman" w:cs="Times New Roman"/>
        </w:rPr>
        <w:t>.</w:t>
      </w:r>
      <w:r w:rsidR="00A05E70" w:rsidRPr="00A05E70">
        <w:t xml:space="preserve"> </w:t>
      </w:r>
      <w:r w:rsidR="00A05E70" w:rsidRPr="00A05E70">
        <w:rPr>
          <w:rFonts w:ascii="Times New Roman" w:hAnsi="Times New Roman" w:cs="Times New Roman"/>
        </w:rPr>
        <w:t>Fluorescence images are presented for qualitative visualization only and were not subjected to statistical analysis.</w:t>
      </w:r>
    </w:p>
    <w:p w14:paraId="07AA944D" w14:textId="063E027A" w:rsidR="005819DC" w:rsidRDefault="00CF5233" w:rsidP="00CF5233">
      <w:pPr>
        <w:spacing w:line="360" w:lineRule="auto"/>
        <w:jc w:val="center"/>
        <w:rPr>
          <w:rFonts w:ascii="Times New Roman" w:hAnsi="Times New Roman" w:cs="Times New Roman"/>
        </w:rPr>
      </w:pPr>
      <w:r>
        <w:rPr>
          <w:noProof/>
        </w:rPr>
        <w:lastRenderedPageBreak/>
        <w:drawing>
          <wp:inline distT="0" distB="0" distL="0" distR="0" wp14:anchorId="0E129E4B" wp14:editId="69052F7F">
            <wp:extent cx="5458968" cy="6931152"/>
            <wp:effectExtent l="0" t="0" r="8890" b="3175"/>
            <wp:docPr id="95357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58968" cy="6931152"/>
                    </a:xfrm>
                    <a:prstGeom prst="rect">
                      <a:avLst/>
                    </a:prstGeom>
                    <a:noFill/>
                    <a:ln>
                      <a:noFill/>
                    </a:ln>
                  </pic:spPr>
                </pic:pic>
              </a:graphicData>
            </a:graphic>
          </wp:inline>
        </w:drawing>
      </w:r>
    </w:p>
    <w:p w14:paraId="6B0177E6" w14:textId="77777777" w:rsidR="005819DC" w:rsidRDefault="005819DC" w:rsidP="005819DC">
      <w:pPr>
        <w:spacing w:line="360" w:lineRule="auto"/>
        <w:jc w:val="both"/>
        <w:rPr>
          <w:rFonts w:ascii="Times New Roman" w:hAnsi="Times New Roman" w:cs="Times New Roman"/>
        </w:rPr>
      </w:pPr>
    </w:p>
    <w:p w14:paraId="2F2FA207" w14:textId="1F2E5A9B" w:rsidR="007D7A63" w:rsidRDefault="0093152A" w:rsidP="005819DC">
      <w:pPr>
        <w:rPr>
          <w:rFonts w:ascii="Times New Roman" w:hAnsi="Times New Roman" w:cs="Times New Roman"/>
        </w:rPr>
      </w:pPr>
      <w:r>
        <w:rPr>
          <w:noProof/>
        </w:rPr>
        <w:lastRenderedPageBreak/>
        <w:drawing>
          <wp:inline distT="0" distB="0" distL="0" distR="0" wp14:anchorId="5F00C84E" wp14:editId="73EEC8D6">
            <wp:extent cx="5458968" cy="7278624"/>
            <wp:effectExtent l="0" t="0" r="8890" b="0"/>
            <wp:docPr id="18037759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58968" cy="7278624"/>
                    </a:xfrm>
                    <a:prstGeom prst="rect">
                      <a:avLst/>
                    </a:prstGeom>
                    <a:noFill/>
                    <a:ln>
                      <a:noFill/>
                    </a:ln>
                  </pic:spPr>
                </pic:pic>
              </a:graphicData>
            </a:graphic>
          </wp:inline>
        </w:drawing>
      </w:r>
    </w:p>
    <w:p w14:paraId="307924EF" w14:textId="77777777" w:rsidR="00AB653B" w:rsidRDefault="00AB653B" w:rsidP="005819DC">
      <w:pPr>
        <w:rPr>
          <w:rFonts w:ascii="Times New Roman" w:hAnsi="Times New Roman" w:cs="Times New Roman"/>
        </w:rPr>
      </w:pPr>
    </w:p>
    <w:p w14:paraId="10AFE6B3" w14:textId="77777777" w:rsidR="00AB653B" w:rsidRDefault="00AB653B" w:rsidP="005819DC">
      <w:pPr>
        <w:rPr>
          <w:rFonts w:ascii="Times New Roman" w:hAnsi="Times New Roman" w:cs="Times New Roman"/>
        </w:rPr>
      </w:pPr>
    </w:p>
    <w:p w14:paraId="67B3C5BF" w14:textId="77777777" w:rsidR="00AB653B" w:rsidRDefault="00AB653B" w:rsidP="005819DC">
      <w:pPr>
        <w:rPr>
          <w:rFonts w:ascii="Times New Roman" w:hAnsi="Times New Roman" w:cs="Times New Roman"/>
        </w:rPr>
      </w:pPr>
    </w:p>
    <w:p w14:paraId="6B6FF958" w14:textId="05ADDB77" w:rsidR="00AB653B" w:rsidRDefault="00AB653B" w:rsidP="005819DC">
      <w:pPr>
        <w:rPr>
          <w:rFonts w:ascii="Times New Roman" w:hAnsi="Times New Roman" w:cs="Times New Roman"/>
        </w:rPr>
      </w:pPr>
      <w:r>
        <w:rPr>
          <w:noProof/>
        </w:rPr>
        <w:lastRenderedPageBreak/>
        <w:drawing>
          <wp:inline distT="0" distB="0" distL="0" distR="0" wp14:anchorId="339C04F4" wp14:editId="2E0F29B4">
            <wp:extent cx="5458968" cy="7278624"/>
            <wp:effectExtent l="0" t="0" r="8890" b="0"/>
            <wp:docPr id="175540850" name="Picture 3" descr="A collage of images of different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0850" name="Picture 3" descr="A collage of images of different shape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58968" cy="7278624"/>
                    </a:xfrm>
                    <a:prstGeom prst="rect">
                      <a:avLst/>
                    </a:prstGeom>
                    <a:noFill/>
                    <a:ln>
                      <a:noFill/>
                    </a:ln>
                  </pic:spPr>
                </pic:pic>
              </a:graphicData>
            </a:graphic>
          </wp:inline>
        </w:drawing>
      </w:r>
      <w:r>
        <w:rPr>
          <w:rFonts w:ascii="Times New Roman" w:hAnsi="Times New Roman" w:cs="Times New Roman"/>
        </w:rPr>
        <w:t>c</w:t>
      </w:r>
    </w:p>
    <w:p w14:paraId="4F10654A" w14:textId="77777777" w:rsidR="001079C4" w:rsidRDefault="001079C4" w:rsidP="005819DC">
      <w:pPr>
        <w:rPr>
          <w:rFonts w:ascii="Times New Roman" w:hAnsi="Times New Roman" w:cs="Times New Roman"/>
        </w:rPr>
      </w:pPr>
    </w:p>
    <w:p w14:paraId="0D5D802E" w14:textId="77777777" w:rsidR="001079C4" w:rsidRDefault="001079C4" w:rsidP="005819DC">
      <w:pPr>
        <w:rPr>
          <w:rFonts w:ascii="Times New Roman" w:hAnsi="Times New Roman" w:cs="Times New Roman"/>
        </w:rPr>
      </w:pPr>
    </w:p>
    <w:p w14:paraId="5FBA1A76" w14:textId="77777777" w:rsidR="001079C4" w:rsidRDefault="001079C4" w:rsidP="005819DC">
      <w:pPr>
        <w:rPr>
          <w:rFonts w:ascii="Times New Roman" w:hAnsi="Times New Roman" w:cs="Times New Roman"/>
        </w:rPr>
      </w:pPr>
    </w:p>
    <w:p w14:paraId="7FFA0D1E" w14:textId="7E1EF776" w:rsidR="001079C4" w:rsidRDefault="001079C4" w:rsidP="005819DC">
      <w:pPr>
        <w:rPr>
          <w:rFonts w:ascii="Times New Roman" w:hAnsi="Times New Roman" w:cs="Times New Roman"/>
        </w:rPr>
      </w:pPr>
      <w:r>
        <w:rPr>
          <w:noProof/>
        </w:rPr>
        <w:lastRenderedPageBreak/>
        <w:drawing>
          <wp:inline distT="0" distB="0" distL="0" distR="0" wp14:anchorId="5E1A2471" wp14:editId="5C2D6030">
            <wp:extent cx="5458968" cy="7278624"/>
            <wp:effectExtent l="0" t="0" r="8890" b="0"/>
            <wp:docPr id="998927879" name="Picture 4" descr="A collage of different colore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27879" name="Picture 4" descr="A collage of different colored shape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58968" cy="7278624"/>
                    </a:xfrm>
                    <a:prstGeom prst="rect">
                      <a:avLst/>
                    </a:prstGeom>
                    <a:noFill/>
                    <a:ln>
                      <a:noFill/>
                    </a:ln>
                  </pic:spPr>
                </pic:pic>
              </a:graphicData>
            </a:graphic>
          </wp:inline>
        </w:drawing>
      </w:r>
    </w:p>
    <w:p w14:paraId="4D4546E3" w14:textId="77777777" w:rsidR="001079C4" w:rsidRDefault="001079C4" w:rsidP="005819DC">
      <w:pPr>
        <w:rPr>
          <w:rFonts w:ascii="Times New Roman" w:hAnsi="Times New Roman" w:cs="Times New Roman"/>
        </w:rPr>
      </w:pPr>
    </w:p>
    <w:p w14:paraId="79E300FB" w14:textId="77777777" w:rsidR="001079C4" w:rsidRDefault="001079C4" w:rsidP="005819DC">
      <w:pPr>
        <w:rPr>
          <w:rFonts w:ascii="Times New Roman" w:hAnsi="Times New Roman" w:cs="Times New Roman"/>
        </w:rPr>
      </w:pPr>
    </w:p>
    <w:p w14:paraId="46EE5468" w14:textId="77777777" w:rsidR="001079C4" w:rsidRDefault="001079C4" w:rsidP="005819DC">
      <w:pPr>
        <w:rPr>
          <w:rFonts w:ascii="Times New Roman" w:hAnsi="Times New Roman" w:cs="Times New Roman"/>
        </w:rPr>
      </w:pPr>
    </w:p>
    <w:p w14:paraId="7E19F4E7" w14:textId="2E4EA1B3" w:rsidR="001079C4" w:rsidRDefault="001079C4" w:rsidP="005819DC">
      <w:pPr>
        <w:rPr>
          <w:rFonts w:ascii="Times New Roman" w:hAnsi="Times New Roman" w:cs="Times New Roman"/>
        </w:rPr>
      </w:pPr>
      <w:r>
        <w:rPr>
          <w:noProof/>
        </w:rPr>
        <w:lastRenderedPageBreak/>
        <w:drawing>
          <wp:inline distT="0" distB="0" distL="0" distR="0" wp14:anchorId="61FF6919" wp14:editId="71E79433">
            <wp:extent cx="5458968" cy="7278624"/>
            <wp:effectExtent l="0" t="0" r="8890" b="0"/>
            <wp:docPr id="1685057250" name="Picture 5"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57250" name="Picture 5" descr="A collage of images of different color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8968" cy="7278624"/>
                    </a:xfrm>
                    <a:prstGeom prst="rect">
                      <a:avLst/>
                    </a:prstGeom>
                    <a:noFill/>
                    <a:ln>
                      <a:noFill/>
                    </a:ln>
                  </pic:spPr>
                </pic:pic>
              </a:graphicData>
            </a:graphic>
          </wp:inline>
        </w:drawing>
      </w:r>
    </w:p>
    <w:p w14:paraId="54BE8AA0" w14:textId="0BCE6CBC" w:rsidR="00E57175" w:rsidRPr="001B558D" w:rsidRDefault="00564715" w:rsidP="001B558D">
      <w:pPr>
        <w:spacing w:line="360" w:lineRule="auto"/>
        <w:jc w:val="both"/>
        <w:rPr>
          <w:rFonts w:ascii="Times New Roman" w:hAnsi="Times New Roman" w:cs="Times New Roman"/>
          <w:sz w:val="22"/>
          <w:szCs w:val="22"/>
        </w:rPr>
      </w:pPr>
      <w:bookmarkStart w:id="0" w:name="_Hlk217447697"/>
      <w:r w:rsidRPr="001B558D">
        <w:rPr>
          <w:rFonts w:ascii="Times New Roman" w:hAnsi="Times New Roman" w:cs="Times New Roman"/>
          <w:b/>
          <w:bCs/>
          <w:sz w:val="22"/>
          <w:szCs w:val="22"/>
        </w:rPr>
        <w:t>Supplementary Figure S1–S5</w:t>
      </w:r>
      <w:bookmarkEnd w:id="0"/>
      <w:r w:rsidRPr="001B558D">
        <w:rPr>
          <w:rFonts w:ascii="Times New Roman" w:hAnsi="Times New Roman" w:cs="Times New Roman"/>
          <w:b/>
          <w:bCs/>
          <w:sz w:val="22"/>
          <w:szCs w:val="22"/>
        </w:rPr>
        <w:t xml:space="preserve">: </w:t>
      </w:r>
      <w:r w:rsidR="005819DC" w:rsidRPr="001B558D">
        <w:rPr>
          <w:rFonts w:ascii="Times New Roman" w:hAnsi="Times New Roman" w:cs="Times New Roman"/>
          <w:sz w:val="22"/>
          <w:szCs w:val="22"/>
        </w:rPr>
        <w:t>False-color FluorCam images visualize the spatial distribution of five chlorophyll fluorescence parameters—(a) Fv/Fm, (b) Φ</w:t>
      </w:r>
      <w:r w:rsidR="005819DC" w:rsidRPr="00554D48">
        <w:rPr>
          <w:rFonts w:ascii="Times New Roman" w:hAnsi="Times New Roman" w:cs="Times New Roman"/>
          <w:sz w:val="22"/>
          <w:szCs w:val="22"/>
          <w:vertAlign w:val="subscript"/>
        </w:rPr>
        <w:t>PSII</w:t>
      </w:r>
      <w:r w:rsidR="005819DC" w:rsidRPr="001B558D">
        <w:rPr>
          <w:rFonts w:ascii="Times New Roman" w:hAnsi="Times New Roman" w:cs="Times New Roman"/>
          <w:sz w:val="22"/>
          <w:szCs w:val="22"/>
        </w:rPr>
        <w:t xml:space="preserve">, (c) NPQ, (d) qP, and (e) RFD—in </w:t>
      </w:r>
      <w:r w:rsidR="005819DC" w:rsidRPr="001B558D">
        <w:rPr>
          <w:rFonts w:ascii="Times New Roman" w:hAnsi="Times New Roman" w:cs="Times New Roman"/>
          <w:i/>
          <w:iCs/>
          <w:sz w:val="22"/>
          <w:szCs w:val="22"/>
        </w:rPr>
        <w:t>N</w:t>
      </w:r>
      <w:r w:rsidR="008F3C8A" w:rsidRPr="001B558D">
        <w:rPr>
          <w:rFonts w:ascii="Times New Roman" w:hAnsi="Times New Roman" w:cs="Times New Roman"/>
          <w:sz w:val="22"/>
          <w:szCs w:val="22"/>
        </w:rPr>
        <w:t>.</w:t>
      </w:r>
      <w:r w:rsidR="005819DC" w:rsidRPr="001B558D">
        <w:rPr>
          <w:rFonts w:ascii="Times New Roman" w:hAnsi="Times New Roman" w:cs="Times New Roman"/>
          <w:sz w:val="22"/>
          <w:szCs w:val="22"/>
        </w:rPr>
        <w:t xml:space="preserve"> </w:t>
      </w:r>
      <w:r w:rsidR="005819DC" w:rsidRPr="001B558D">
        <w:rPr>
          <w:rFonts w:ascii="Times New Roman" w:hAnsi="Times New Roman" w:cs="Times New Roman"/>
          <w:i/>
          <w:iCs/>
          <w:sz w:val="22"/>
          <w:szCs w:val="22"/>
        </w:rPr>
        <w:t>tabacum</w:t>
      </w:r>
      <w:r w:rsidR="005819DC" w:rsidRPr="001B558D">
        <w:rPr>
          <w:rFonts w:ascii="Times New Roman" w:hAnsi="Times New Roman" w:cs="Times New Roman"/>
          <w:sz w:val="22"/>
          <w:szCs w:val="22"/>
        </w:rPr>
        <w:t xml:space="preserve"> leaves exposed to NaCl concentrations of 0, 50, 100, and 150 mM. Each treatment was assessed in </w:t>
      </w:r>
      <w:r w:rsidR="005819DC" w:rsidRPr="001B558D">
        <w:rPr>
          <w:rFonts w:ascii="Times New Roman" w:hAnsi="Times New Roman" w:cs="Times New Roman"/>
          <w:sz w:val="22"/>
          <w:szCs w:val="22"/>
        </w:rPr>
        <w:lastRenderedPageBreak/>
        <w:t xml:space="preserve">uninoculated plants and those inoculated with </w:t>
      </w:r>
      <w:r w:rsidR="005819DC" w:rsidRPr="001B558D">
        <w:rPr>
          <w:rFonts w:ascii="Times New Roman" w:hAnsi="Times New Roman" w:cs="Times New Roman"/>
          <w:i/>
          <w:iCs/>
          <w:sz w:val="22"/>
          <w:szCs w:val="22"/>
        </w:rPr>
        <w:t>M</w:t>
      </w:r>
      <w:r w:rsidR="00F1319F" w:rsidRPr="001B558D">
        <w:rPr>
          <w:rFonts w:ascii="Times New Roman" w:hAnsi="Times New Roman" w:cs="Times New Roman"/>
          <w:sz w:val="22"/>
          <w:szCs w:val="22"/>
        </w:rPr>
        <w:t>.</w:t>
      </w:r>
      <w:r w:rsidR="005819DC" w:rsidRPr="001B558D">
        <w:rPr>
          <w:rFonts w:ascii="Times New Roman" w:hAnsi="Times New Roman" w:cs="Times New Roman"/>
          <w:sz w:val="22"/>
          <w:szCs w:val="22"/>
        </w:rPr>
        <w:t xml:space="preserve"> </w:t>
      </w:r>
      <w:r w:rsidR="005819DC" w:rsidRPr="001B558D">
        <w:rPr>
          <w:rFonts w:ascii="Times New Roman" w:hAnsi="Times New Roman" w:cs="Times New Roman"/>
          <w:i/>
          <w:iCs/>
          <w:sz w:val="22"/>
          <w:szCs w:val="22"/>
        </w:rPr>
        <w:t>mucilaginosa</w:t>
      </w:r>
      <w:r w:rsidR="005819DC" w:rsidRPr="001B558D">
        <w:rPr>
          <w:rFonts w:ascii="Times New Roman" w:hAnsi="Times New Roman" w:cs="Times New Roman"/>
          <w:sz w:val="22"/>
          <w:szCs w:val="22"/>
        </w:rPr>
        <w:t xml:space="preserve"> </w:t>
      </w:r>
      <w:r w:rsidR="00F1319F" w:rsidRPr="001B558D">
        <w:rPr>
          <w:rFonts w:ascii="Times New Roman" w:hAnsi="Times New Roman" w:cs="Times New Roman"/>
          <w:sz w:val="22"/>
          <w:szCs w:val="22"/>
        </w:rPr>
        <w:t>and</w:t>
      </w:r>
      <w:r w:rsidR="005819DC" w:rsidRPr="001B558D">
        <w:rPr>
          <w:rFonts w:ascii="Times New Roman" w:hAnsi="Times New Roman" w:cs="Times New Roman"/>
          <w:sz w:val="22"/>
          <w:szCs w:val="22"/>
        </w:rPr>
        <w:t xml:space="preserve"> </w:t>
      </w:r>
      <w:r w:rsidR="005819DC" w:rsidRPr="001B558D">
        <w:rPr>
          <w:rFonts w:ascii="Times New Roman" w:hAnsi="Times New Roman" w:cs="Times New Roman"/>
          <w:i/>
          <w:iCs/>
          <w:sz w:val="22"/>
          <w:szCs w:val="22"/>
        </w:rPr>
        <w:t>M</w:t>
      </w:r>
      <w:r w:rsidR="00F1319F" w:rsidRPr="001B558D">
        <w:rPr>
          <w:rFonts w:ascii="Times New Roman" w:hAnsi="Times New Roman" w:cs="Times New Roman"/>
          <w:sz w:val="22"/>
          <w:szCs w:val="22"/>
        </w:rPr>
        <w:t>.</w:t>
      </w:r>
      <w:r w:rsidR="005819DC" w:rsidRPr="001B558D">
        <w:rPr>
          <w:rFonts w:ascii="Times New Roman" w:hAnsi="Times New Roman" w:cs="Times New Roman"/>
          <w:sz w:val="22"/>
          <w:szCs w:val="22"/>
        </w:rPr>
        <w:t xml:space="preserve"> </w:t>
      </w:r>
      <w:r w:rsidR="005819DC" w:rsidRPr="001B558D">
        <w:rPr>
          <w:rFonts w:ascii="Times New Roman" w:hAnsi="Times New Roman" w:cs="Times New Roman"/>
          <w:i/>
          <w:iCs/>
          <w:sz w:val="22"/>
          <w:szCs w:val="22"/>
        </w:rPr>
        <w:t>rubra</w:t>
      </w:r>
      <w:r w:rsidR="005819DC" w:rsidRPr="001B558D">
        <w:rPr>
          <w:rFonts w:ascii="Times New Roman" w:hAnsi="Times New Roman" w:cs="Times New Roman"/>
          <w:sz w:val="22"/>
          <w:szCs w:val="22"/>
        </w:rPr>
        <w:t>. Color scales represent pixel-level fluorescence values from low (blue) to high (red/yellow), specific to each parameter. Green-to-yellow tones indicate healthy photochemical performance, whereas shifts to red, blue, or black reflect stress-induced photoinhibition or inefficiencies. Each image is representative of the mean spatial signal across biological replicates per treatment.</w:t>
      </w:r>
    </w:p>
    <w:p w14:paraId="082BB9E8" w14:textId="45ECBD3C" w:rsidR="002F7FAF" w:rsidRPr="002F7FAF" w:rsidRDefault="002F7FAF" w:rsidP="002F7FAF">
      <w:pPr>
        <w:spacing w:line="360" w:lineRule="auto"/>
        <w:jc w:val="both"/>
        <w:rPr>
          <w:rFonts w:ascii="Times New Roman" w:hAnsi="Times New Roman" w:cs="Times New Roman"/>
          <w:b/>
          <w:bCs/>
        </w:rPr>
      </w:pPr>
      <w:r w:rsidRPr="00436B1A">
        <w:rPr>
          <w:rFonts w:ascii="Times New Roman" w:hAnsi="Times New Roman" w:cs="Times New Roman"/>
          <w:b/>
          <w:bCs/>
        </w:rPr>
        <w:t>Normalized OJIP Transients</w:t>
      </w:r>
    </w:p>
    <w:p w14:paraId="320A333F" w14:textId="5985DCD9" w:rsidR="00314475" w:rsidRDefault="00BF545A" w:rsidP="001B512A">
      <w:pPr>
        <w:spacing w:line="360" w:lineRule="auto"/>
        <w:jc w:val="both"/>
        <w:rPr>
          <w:rFonts w:ascii="Times New Roman" w:hAnsi="Times New Roman" w:cs="Times New Roman"/>
        </w:rPr>
      </w:pPr>
      <w:r w:rsidRPr="00BF545A">
        <w:rPr>
          <w:rFonts w:ascii="Times New Roman" w:hAnsi="Times New Roman" w:cs="Times New Roman"/>
        </w:rPr>
        <w:t xml:space="preserve">Normalized chlorophyll a fluorescence transients (OJIP curves) illustrate the effects of NaCl stress and bacterial inoculation on PSII behavior in </w:t>
      </w:r>
      <w:r w:rsidRPr="003751FA">
        <w:rPr>
          <w:rFonts w:ascii="Times New Roman" w:hAnsi="Times New Roman" w:cs="Times New Roman"/>
          <w:i/>
          <w:iCs/>
        </w:rPr>
        <w:t>N</w:t>
      </w:r>
      <w:r w:rsidRPr="00BF545A">
        <w:rPr>
          <w:rFonts w:ascii="Times New Roman" w:hAnsi="Times New Roman" w:cs="Times New Roman"/>
        </w:rPr>
        <w:t xml:space="preserve">. </w:t>
      </w:r>
      <w:r w:rsidRPr="003751FA">
        <w:rPr>
          <w:rFonts w:ascii="Times New Roman" w:hAnsi="Times New Roman" w:cs="Times New Roman"/>
          <w:i/>
          <w:iCs/>
        </w:rPr>
        <w:t>tabacum</w:t>
      </w:r>
      <w:r w:rsidRPr="00BF545A">
        <w:rPr>
          <w:rFonts w:ascii="Times New Roman" w:hAnsi="Times New Roman" w:cs="Times New Roman"/>
        </w:rPr>
        <w:t xml:space="preserve"> (Fig. S6). In uninoculated plants, increasing NaCl concentrations were associated with progressive suppression of the O–P rise. Inoculated plants exhibited altered OJIP profiles relative to uninoculated controls under salinity stress, with both </w:t>
      </w:r>
      <w:r w:rsidRPr="00BF545A">
        <w:rPr>
          <w:rFonts w:ascii="Times New Roman" w:hAnsi="Times New Roman" w:cs="Times New Roman"/>
          <w:i/>
          <w:iCs/>
        </w:rPr>
        <w:t>M</w:t>
      </w:r>
      <w:r w:rsidRPr="00BF545A">
        <w:rPr>
          <w:rFonts w:ascii="Times New Roman" w:hAnsi="Times New Roman" w:cs="Times New Roman"/>
        </w:rPr>
        <w:t xml:space="preserve">. </w:t>
      </w:r>
      <w:r w:rsidRPr="00BF545A">
        <w:rPr>
          <w:rFonts w:ascii="Times New Roman" w:hAnsi="Times New Roman" w:cs="Times New Roman"/>
          <w:i/>
          <w:iCs/>
        </w:rPr>
        <w:t>mucilaginosa</w:t>
      </w:r>
      <w:r w:rsidRPr="00BF545A">
        <w:rPr>
          <w:rFonts w:ascii="Times New Roman" w:hAnsi="Times New Roman" w:cs="Times New Roman"/>
        </w:rPr>
        <w:t xml:space="preserve"> and </w:t>
      </w:r>
      <w:r w:rsidRPr="00BF545A">
        <w:rPr>
          <w:rFonts w:ascii="Times New Roman" w:hAnsi="Times New Roman" w:cs="Times New Roman"/>
          <w:i/>
          <w:iCs/>
        </w:rPr>
        <w:t>M</w:t>
      </w:r>
      <w:r w:rsidRPr="00BF545A">
        <w:rPr>
          <w:rFonts w:ascii="Times New Roman" w:hAnsi="Times New Roman" w:cs="Times New Roman"/>
        </w:rPr>
        <w:t xml:space="preserve">. </w:t>
      </w:r>
      <w:r w:rsidRPr="00BF545A">
        <w:rPr>
          <w:rFonts w:ascii="Times New Roman" w:hAnsi="Times New Roman" w:cs="Times New Roman"/>
          <w:i/>
          <w:iCs/>
        </w:rPr>
        <w:t xml:space="preserve">rubra </w:t>
      </w:r>
      <w:r w:rsidRPr="00BF545A">
        <w:rPr>
          <w:rFonts w:ascii="Times New Roman" w:hAnsi="Times New Roman" w:cs="Times New Roman"/>
        </w:rPr>
        <w:t>treatments showing deviations from stress-induced patterns. These data are provided as supplementary visualization of PSII response patterns and should be interpreted alongside the quantitative OJIP parameters reported in the main text</w:t>
      </w:r>
      <w:r w:rsidR="002F7FAF" w:rsidRPr="002F7FAF">
        <w:rPr>
          <w:rFonts w:ascii="Times New Roman" w:hAnsi="Times New Roman" w:cs="Times New Roman"/>
        </w:rPr>
        <w:t>.</w:t>
      </w:r>
    </w:p>
    <w:p w14:paraId="0BBA29B9" w14:textId="4E1D7635" w:rsidR="00B85962" w:rsidRDefault="00B85962" w:rsidP="00B85962">
      <w:pPr>
        <w:spacing w:line="360" w:lineRule="auto"/>
        <w:jc w:val="center"/>
        <w:rPr>
          <w:rFonts w:ascii="Times New Roman" w:hAnsi="Times New Roman" w:cs="Times New Roman"/>
        </w:rPr>
      </w:pPr>
      <w:r>
        <w:rPr>
          <w:noProof/>
        </w:rPr>
        <w:drawing>
          <wp:inline distT="0" distB="0" distL="0" distR="0" wp14:anchorId="156C0B0F" wp14:editId="72F1F6FD">
            <wp:extent cx="5943600" cy="4457700"/>
            <wp:effectExtent l="0" t="0" r="0" b="0"/>
            <wp:docPr id="331452140" name="Picture 1" descr="A graph showing the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52140" name="Picture 1" descr="A graph showing the number of object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E1190EF" w14:textId="4327DC92" w:rsidR="00B85962" w:rsidRDefault="000833FF" w:rsidP="0084708F">
      <w:pPr>
        <w:pStyle w:val="NormalWeb"/>
        <w:spacing w:line="360" w:lineRule="auto"/>
        <w:jc w:val="both"/>
        <w:rPr>
          <w:sz w:val="22"/>
          <w:szCs w:val="22"/>
        </w:rPr>
      </w:pPr>
      <w:r w:rsidRPr="0071493A">
        <w:rPr>
          <w:b/>
          <w:bCs/>
          <w:sz w:val="22"/>
          <w:szCs w:val="22"/>
        </w:rPr>
        <w:lastRenderedPageBreak/>
        <w:t>Supplementary Figure S6</w:t>
      </w:r>
      <w:r w:rsidR="0084708F" w:rsidRPr="0071493A">
        <w:rPr>
          <w:rStyle w:val="Strong"/>
          <w:rFonts w:eastAsiaTheme="majorEastAsia"/>
          <w:sz w:val="22"/>
          <w:szCs w:val="22"/>
        </w:rPr>
        <w:t>.</w:t>
      </w:r>
      <w:r w:rsidR="0084708F" w:rsidRPr="0071493A">
        <w:rPr>
          <w:sz w:val="22"/>
          <w:szCs w:val="22"/>
        </w:rPr>
        <w:t xml:space="preserve"> Normalized chlorophyll </w:t>
      </w:r>
      <w:r w:rsidR="0084708F" w:rsidRPr="0071493A">
        <w:rPr>
          <w:rStyle w:val="Emphasis"/>
          <w:rFonts w:eastAsiaTheme="majorEastAsia"/>
          <w:sz w:val="22"/>
          <w:szCs w:val="22"/>
        </w:rPr>
        <w:t>a</w:t>
      </w:r>
      <w:r w:rsidR="0084708F" w:rsidRPr="0071493A">
        <w:rPr>
          <w:sz w:val="22"/>
          <w:szCs w:val="22"/>
        </w:rPr>
        <w:t xml:space="preserve"> fluorescence transient (OJIP curves) of </w:t>
      </w:r>
      <w:r w:rsidR="0084708F" w:rsidRPr="0071493A">
        <w:rPr>
          <w:rStyle w:val="Emphasis"/>
          <w:rFonts w:eastAsiaTheme="majorEastAsia"/>
          <w:sz w:val="22"/>
          <w:szCs w:val="22"/>
        </w:rPr>
        <w:t>Nicotiana tabacum</w:t>
      </w:r>
      <w:r w:rsidR="0084708F" w:rsidRPr="0071493A">
        <w:rPr>
          <w:sz w:val="22"/>
          <w:szCs w:val="22"/>
        </w:rPr>
        <w:t xml:space="preserve"> under salt stress and bacterial inoculation. Curves represent mean ± SD of normalized fluorescence </w:t>
      </w:r>
      <w:r w:rsidR="0084708F" w:rsidRPr="0071493A">
        <w:rPr>
          <w:rStyle w:val="katex-mathml"/>
          <w:rFonts w:eastAsiaTheme="majorEastAsia"/>
          <w:sz w:val="22"/>
          <w:szCs w:val="22"/>
        </w:rPr>
        <w:t>(Ft − Fo) / (Fm−Fo)</w:t>
      </w:r>
      <w:r w:rsidR="0084708F" w:rsidRPr="0071493A">
        <w:rPr>
          <w:sz w:val="22"/>
          <w:szCs w:val="22"/>
        </w:rPr>
        <w:t xml:space="preserve"> on a logarithmic time scale (µs). Treatments include control, bacterial inoculation (</w:t>
      </w:r>
      <w:r w:rsidR="00C23674" w:rsidRPr="0071493A">
        <w:rPr>
          <w:rStyle w:val="Emphasis"/>
          <w:rFonts w:eastAsiaTheme="majorEastAsia"/>
          <w:sz w:val="22"/>
          <w:szCs w:val="22"/>
        </w:rPr>
        <w:t>M. mucilaginosa</w:t>
      </w:r>
      <w:r w:rsidR="00C23674" w:rsidRPr="0071493A">
        <w:rPr>
          <w:rStyle w:val="Emphasis"/>
          <w:rFonts w:eastAsiaTheme="majorEastAsia"/>
          <w:i w:val="0"/>
          <w:iCs w:val="0"/>
          <w:sz w:val="22"/>
          <w:szCs w:val="22"/>
        </w:rPr>
        <w:t>,</w:t>
      </w:r>
      <w:r w:rsidR="00C23674" w:rsidRPr="0071493A">
        <w:rPr>
          <w:rStyle w:val="Emphasis"/>
          <w:rFonts w:eastAsiaTheme="majorEastAsia"/>
          <w:sz w:val="22"/>
          <w:szCs w:val="22"/>
        </w:rPr>
        <w:t xml:space="preserve"> </w:t>
      </w:r>
      <w:r w:rsidR="0084708F" w:rsidRPr="0071493A">
        <w:rPr>
          <w:rStyle w:val="Emphasis"/>
          <w:rFonts w:eastAsiaTheme="majorEastAsia"/>
          <w:sz w:val="22"/>
          <w:szCs w:val="22"/>
        </w:rPr>
        <w:t>M. rubra</w:t>
      </w:r>
      <w:r w:rsidR="0084708F" w:rsidRPr="0071493A">
        <w:rPr>
          <w:sz w:val="22"/>
          <w:szCs w:val="22"/>
        </w:rPr>
        <w:t>), NaCl stress (50, 100, 150 mM), and combined stress with inoculation (n = 5).</w:t>
      </w:r>
    </w:p>
    <w:p w14:paraId="4BAEEE6C" w14:textId="5D847711" w:rsidR="00AF26D8" w:rsidRPr="00AF26D8" w:rsidRDefault="00AF26D8" w:rsidP="00AF26D8">
      <w:pPr>
        <w:spacing w:line="360" w:lineRule="auto"/>
        <w:jc w:val="both"/>
        <w:rPr>
          <w:rFonts w:ascii="Times New Roman" w:hAnsi="Times New Roman" w:cs="Times New Roman"/>
          <w:b/>
          <w:bCs/>
        </w:rPr>
      </w:pPr>
      <w:r w:rsidRPr="001F4935">
        <w:rPr>
          <w:rFonts w:ascii="Times New Roman" w:hAnsi="Times New Roman" w:cs="Times New Roman"/>
          <w:b/>
          <w:bCs/>
        </w:rPr>
        <w:t xml:space="preserve">L- and K-band Analyses </w:t>
      </w:r>
    </w:p>
    <w:p w14:paraId="20D683BE" w14:textId="1A3271B3" w:rsidR="00AF26D8" w:rsidRDefault="00A550FB" w:rsidP="00AF26D8">
      <w:pPr>
        <w:spacing w:line="360" w:lineRule="auto"/>
        <w:jc w:val="both"/>
        <w:rPr>
          <w:rFonts w:ascii="Times New Roman" w:hAnsi="Times New Roman" w:cs="Times New Roman"/>
        </w:rPr>
      </w:pPr>
      <w:r w:rsidRPr="00A550FB">
        <w:rPr>
          <w:rFonts w:ascii="Times New Roman" w:hAnsi="Times New Roman" w:cs="Times New Roman"/>
        </w:rPr>
        <w:t>Differential L- and K-band analyses illustrate changes in PSII-related fluorescence features under salinity stress and bacterial inoculation (Fig. S7). In uninoculated plants, increased band amplitudes were observed with rising NaCl concentrations, whereas inoculated treatments showed altered band patterns relative to uninoculated controls. These analyses provide supplementary visualization of PSII donor- and acceptor-side responses and support the quantitative fluorescence parameters presented in the main manuscript</w:t>
      </w:r>
      <w:r w:rsidR="00AF26D8" w:rsidRPr="00361492">
        <w:rPr>
          <w:rFonts w:ascii="Times New Roman" w:hAnsi="Times New Roman" w:cs="Times New Roman"/>
        </w:rPr>
        <w:t>.</w:t>
      </w:r>
    </w:p>
    <w:p w14:paraId="5E054877" w14:textId="519A46F2" w:rsidR="008F310C" w:rsidRDefault="002E7B60" w:rsidP="00565677">
      <w:pPr>
        <w:spacing w:line="360" w:lineRule="auto"/>
        <w:rPr>
          <w:rFonts w:ascii="Times New Roman" w:hAnsi="Times New Roman" w:cs="Times New Roman"/>
        </w:rPr>
      </w:pPr>
      <w:r>
        <w:rPr>
          <w:noProof/>
        </w:rPr>
        <w:drawing>
          <wp:inline distT="0" distB="0" distL="0" distR="0" wp14:anchorId="34A44B34" wp14:editId="014428E9">
            <wp:extent cx="6103620" cy="2636520"/>
            <wp:effectExtent l="0" t="0" r="0" b="0"/>
            <wp:docPr id="1061006046" name="Picture 4"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06046" name="Picture 4" descr="A diagram of a graph&#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3620" cy="2636520"/>
                    </a:xfrm>
                    <a:prstGeom prst="rect">
                      <a:avLst/>
                    </a:prstGeom>
                    <a:noFill/>
                    <a:ln>
                      <a:noFill/>
                    </a:ln>
                  </pic:spPr>
                </pic:pic>
              </a:graphicData>
            </a:graphic>
          </wp:inline>
        </w:drawing>
      </w:r>
    </w:p>
    <w:p w14:paraId="4FC3AD27" w14:textId="1576C985" w:rsidR="00AF26D8" w:rsidRPr="008F310C" w:rsidRDefault="00CA15BF" w:rsidP="008F310C">
      <w:pPr>
        <w:spacing w:line="360" w:lineRule="auto"/>
        <w:jc w:val="both"/>
        <w:rPr>
          <w:rFonts w:ascii="Times New Roman" w:hAnsi="Times New Roman" w:cs="Times New Roman"/>
          <w:sz w:val="22"/>
          <w:szCs w:val="22"/>
        </w:rPr>
      </w:pPr>
      <w:r w:rsidRPr="00CA15BF">
        <w:rPr>
          <w:rFonts w:ascii="Times New Roman" w:hAnsi="Times New Roman" w:cs="Times New Roman"/>
          <w:b/>
          <w:bCs/>
          <w:sz w:val="22"/>
          <w:szCs w:val="22"/>
        </w:rPr>
        <w:t>Supplementary Figure S7.</w:t>
      </w:r>
      <w:r w:rsidRPr="00CA15BF">
        <w:rPr>
          <w:rFonts w:ascii="Times New Roman" w:hAnsi="Times New Roman" w:cs="Times New Roman"/>
          <w:sz w:val="22"/>
          <w:szCs w:val="22"/>
        </w:rPr>
        <w:t xml:space="preserve"> Differential L- and K-band analyses of chlorophyll a fluorescence in Nicotiana tabacum under salt stress and bacterial inoculation. Left panel: ΔW</w:t>
      </w:r>
      <w:r w:rsidRPr="00CA15BF">
        <w:rPr>
          <w:rFonts w:ascii="Times New Roman" w:hAnsi="Times New Roman" w:cs="Times New Roman"/>
          <w:sz w:val="22"/>
          <w:szCs w:val="22"/>
          <w:vertAlign w:val="subscript"/>
        </w:rPr>
        <w:t>OK</w:t>
      </w:r>
      <w:r w:rsidRPr="00CA15BF">
        <w:rPr>
          <w:rFonts w:ascii="Times New Roman" w:hAnsi="Times New Roman" w:cs="Times New Roman"/>
          <w:sz w:val="22"/>
          <w:szCs w:val="22"/>
        </w:rPr>
        <w:t xml:space="preserve"> (L-band) calculated as the difference from control at ~150 µs. Right panel: ΔW</w:t>
      </w:r>
      <w:r w:rsidRPr="00CA15BF">
        <w:rPr>
          <w:rFonts w:ascii="Times New Roman" w:hAnsi="Times New Roman" w:cs="Times New Roman"/>
          <w:sz w:val="22"/>
          <w:szCs w:val="22"/>
          <w:vertAlign w:val="subscript"/>
        </w:rPr>
        <w:t>OJ</w:t>
      </w:r>
      <w:r w:rsidRPr="00CA15BF">
        <w:rPr>
          <w:rFonts w:ascii="Times New Roman" w:hAnsi="Times New Roman" w:cs="Times New Roman"/>
          <w:sz w:val="22"/>
          <w:szCs w:val="22"/>
        </w:rPr>
        <w:t xml:space="preserve"> (K-band) calculated as the difference from control at ~300–2000 µs. Curves represent mean ± SD (n = 5) differences relative to control (black baseline at zero) on a logarithmic time scale (µs). Vertical dashed lines indicate characteristic L- and K-band timepoints. Treatments include control, bacterial inoculation (</w:t>
      </w:r>
      <w:r w:rsidR="002825AA" w:rsidRPr="00CA15BF">
        <w:rPr>
          <w:rFonts w:ascii="Times New Roman" w:hAnsi="Times New Roman" w:cs="Times New Roman"/>
          <w:i/>
          <w:iCs/>
          <w:sz w:val="22"/>
          <w:szCs w:val="22"/>
        </w:rPr>
        <w:t>M</w:t>
      </w:r>
      <w:r w:rsidR="002825AA" w:rsidRPr="00CA15BF">
        <w:rPr>
          <w:rFonts w:ascii="Times New Roman" w:hAnsi="Times New Roman" w:cs="Times New Roman"/>
          <w:sz w:val="22"/>
          <w:szCs w:val="22"/>
        </w:rPr>
        <w:t xml:space="preserve">. </w:t>
      </w:r>
      <w:r w:rsidR="002825AA" w:rsidRPr="000B3166">
        <w:rPr>
          <w:rFonts w:ascii="Times New Roman" w:hAnsi="Times New Roman" w:cs="Times New Roman"/>
          <w:i/>
          <w:iCs/>
          <w:sz w:val="22"/>
          <w:szCs w:val="22"/>
        </w:rPr>
        <w:t>mucilaginosa</w:t>
      </w:r>
      <w:r w:rsidR="002825AA">
        <w:rPr>
          <w:rFonts w:ascii="Times New Roman" w:hAnsi="Times New Roman" w:cs="Times New Roman"/>
          <w:sz w:val="22"/>
          <w:szCs w:val="22"/>
        </w:rPr>
        <w:t xml:space="preserve">, </w:t>
      </w:r>
      <w:r w:rsidRPr="002825AA">
        <w:rPr>
          <w:rFonts w:ascii="Times New Roman" w:hAnsi="Times New Roman" w:cs="Times New Roman"/>
          <w:sz w:val="22"/>
          <w:szCs w:val="22"/>
        </w:rPr>
        <w:t>M</w:t>
      </w:r>
      <w:r w:rsidRPr="00CA15BF">
        <w:rPr>
          <w:rFonts w:ascii="Times New Roman" w:hAnsi="Times New Roman" w:cs="Times New Roman"/>
          <w:sz w:val="22"/>
          <w:szCs w:val="22"/>
        </w:rPr>
        <w:t xml:space="preserve">. </w:t>
      </w:r>
      <w:r w:rsidRPr="00CA15BF">
        <w:rPr>
          <w:rFonts w:ascii="Times New Roman" w:hAnsi="Times New Roman" w:cs="Times New Roman"/>
          <w:i/>
          <w:iCs/>
          <w:sz w:val="22"/>
          <w:szCs w:val="22"/>
        </w:rPr>
        <w:t>rubra</w:t>
      </w:r>
      <w:r w:rsidRPr="00CA15BF">
        <w:rPr>
          <w:rFonts w:ascii="Times New Roman" w:hAnsi="Times New Roman" w:cs="Times New Roman"/>
          <w:sz w:val="22"/>
          <w:szCs w:val="22"/>
        </w:rPr>
        <w:t>), NaCl stress (50, 100, 150 mM), and inoculation with</w:t>
      </w:r>
      <w:r w:rsidR="000B3166" w:rsidRPr="000B3166">
        <w:rPr>
          <w:rFonts w:ascii="Times New Roman" w:hAnsi="Times New Roman" w:cs="Times New Roman"/>
          <w:i/>
          <w:iCs/>
          <w:sz w:val="22"/>
          <w:szCs w:val="22"/>
        </w:rPr>
        <w:t xml:space="preserve"> </w:t>
      </w:r>
      <w:r w:rsidR="000B3166" w:rsidRPr="00CA15BF">
        <w:rPr>
          <w:rFonts w:ascii="Times New Roman" w:hAnsi="Times New Roman" w:cs="Times New Roman"/>
          <w:i/>
          <w:iCs/>
          <w:sz w:val="22"/>
          <w:szCs w:val="22"/>
        </w:rPr>
        <w:t>M</w:t>
      </w:r>
      <w:r w:rsidR="000B3166" w:rsidRPr="00CA15BF">
        <w:rPr>
          <w:rFonts w:ascii="Times New Roman" w:hAnsi="Times New Roman" w:cs="Times New Roman"/>
          <w:sz w:val="22"/>
          <w:szCs w:val="22"/>
        </w:rPr>
        <w:t xml:space="preserve">. </w:t>
      </w:r>
      <w:r w:rsidR="000B3166" w:rsidRPr="00CA15BF">
        <w:rPr>
          <w:rFonts w:ascii="Times New Roman" w:hAnsi="Times New Roman" w:cs="Times New Roman"/>
          <w:i/>
          <w:iCs/>
          <w:sz w:val="22"/>
          <w:szCs w:val="22"/>
        </w:rPr>
        <w:t>mucilaginosa</w:t>
      </w:r>
      <w:r w:rsidR="000B3166">
        <w:rPr>
          <w:rFonts w:ascii="Times New Roman" w:hAnsi="Times New Roman" w:cs="Times New Roman"/>
          <w:i/>
          <w:iCs/>
          <w:sz w:val="22"/>
          <w:szCs w:val="22"/>
        </w:rPr>
        <w:t xml:space="preserve"> </w:t>
      </w:r>
      <w:r w:rsidR="000B3166">
        <w:rPr>
          <w:rFonts w:ascii="Times New Roman" w:hAnsi="Times New Roman" w:cs="Times New Roman"/>
          <w:sz w:val="22"/>
          <w:szCs w:val="22"/>
        </w:rPr>
        <w:t>or</w:t>
      </w:r>
      <w:r w:rsidRPr="00CA15BF">
        <w:rPr>
          <w:rFonts w:ascii="Times New Roman" w:hAnsi="Times New Roman" w:cs="Times New Roman"/>
          <w:sz w:val="22"/>
          <w:szCs w:val="22"/>
        </w:rPr>
        <w:t xml:space="preserve"> </w:t>
      </w:r>
      <w:r w:rsidRPr="00CA15BF">
        <w:rPr>
          <w:rFonts w:ascii="Times New Roman" w:hAnsi="Times New Roman" w:cs="Times New Roman"/>
          <w:i/>
          <w:iCs/>
          <w:sz w:val="22"/>
          <w:szCs w:val="22"/>
        </w:rPr>
        <w:t>M</w:t>
      </w:r>
      <w:r w:rsidRPr="00CA15BF">
        <w:rPr>
          <w:rFonts w:ascii="Times New Roman" w:hAnsi="Times New Roman" w:cs="Times New Roman"/>
          <w:sz w:val="22"/>
          <w:szCs w:val="22"/>
        </w:rPr>
        <w:t xml:space="preserve">. </w:t>
      </w:r>
      <w:r w:rsidRPr="00CA15BF">
        <w:rPr>
          <w:rFonts w:ascii="Times New Roman" w:hAnsi="Times New Roman" w:cs="Times New Roman"/>
          <w:i/>
          <w:iCs/>
          <w:sz w:val="22"/>
          <w:szCs w:val="22"/>
        </w:rPr>
        <w:t>rubra</w:t>
      </w:r>
      <w:r w:rsidRPr="00CA15BF">
        <w:rPr>
          <w:rFonts w:ascii="Times New Roman" w:hAnsi="Times New Roman" w:cs="Times New Roman"/>
          <w:sz w:val="22"/>
          <w:szCs w:val="22"/>
        </w:rPr>
        <w:t xml:space="preserve"> in combination with NaCl. </w:t>
      </w:r>
    </w:p>
    <w:p w14:paraId="7C9AA261" w14:textId="77777777" w:rsidR="009D5DBB" w:rsidRDefault="009D5DBB" w:rsidP="009D5DBB">
      <w:pPr>
        <w:spacing w:line="360" w:lineRule="auto"/>
        <w:jc w:val="both"/>
        <w:rPr>
          <w:rFonts w:ascii="Times New Roman" w:hAnsi="Times New Roman" w:cs="Times New Roman"/>
          <w:b/>
          <w:bCs/>
        </w:rPr>
      </w:pPr>
      <w:r w:rsidRPr="00B64070">
        <w:rPr>
          <w:rFonts w:ascii="Times New Roman" w:hAnsi="Times New Roman" w:cs="Times New Roman"/>
          <w:b/>
          <w:bCs/>
        </w:rPr>
        <w:t xml:space="preserve">Pearson correlation heatmaps </w:t>
      </w:r>
    </w:p>
    <w:p w14:paraId="535466F6" w14:textId="2E86DEAC" w:rsidR="009D5DBB" w:rsidRDefault="0094097E" w:rsidP="009D5DBB">
      <w:pPr>
        <w:spacing w:line="360" w:lineRule="auto"/>
        <w:jc w:val="both"/>
        <w:rPr>
          <w:rFonts w:ascii="Times New Roman" w:hAnsi="Times New Roman" w:cs="Times New Roman"/>
        </w:rPr>
      </w:pPr>
      <w:r w:rsidRPr="0094097E">
        <w:rPr>
          <w:rFonts w:ascii="Times New Roman" w:hAnsi="Times New Roman" w:cs="Times New Roman"/>
        </w:rPr>
        <w:lastRenderedPageBreak/>
        <w:t xml:space="preserve">The Pearson correlation heatmaps (Fig. S8a–b) summarize pairwise relationships among growth traits, chlorophyll fluorescence parameters, energy flux variables, vegetation and spectral indices, pigment contents, and antioxidant enzyme activities under inoculation with </w:t>
      </w:r>
      <w:r w:rsidRPr="00A3600F">
        <w:rPr>
          <w:rFonts w:ascii="Times New Roman" w:hAnsi="Times New Roman" w:cs="Times New Roman"/>
          <w:i/>
          <w:iCs/>
        </w:rPr>
        <w:t>M</w:t>
      </w:r>
      <w:r w:rsidRPr="0094097E">
        <w:rPr>
          <w:rFonts w:ascii="Times New Roman" w:hAnsi="Times New Roman" w:cs="Times New Roman"/>
        </w:rPr>
        <w:t xml:space="preserve">. </w:t>
      </w:r>
      <w:r w:rsidRPr="00A3600F">
        <w:rPr>
          <w:rFonts w:ascii="Times New Roman" w:hAnsi="Times New Roman" w:cs="Times New Roman"/>
          <w:i/>
          <w:iCs/>
        </w:rPr>
        <w:t>mucilaginosa</w:t>
      </w:r>
      <w:r w:rsidRPr="0094097E">
        <w:rPr>
          <w:rFonts w:ascii="Times New Roman" w:hAnsi="Times New Roman" w:cs="Times New Roman"/>
        </w:rPr>
        <w:t xml:space="preserve"> (a) and </w:t>
      </w:r>
      <w:r w:rsidRPr="00A3600F">
        <w:rPr>
          <w:rFonts w:ascii="Times New Roman" w:hAnsi="Times New Roman" w:cs="Times New Roman"/>
          <w:i/>
          <w:iCs/>
        </w:rPr>
        <w:t>M</w:t>
      </w:r>
      <w:r w:rsidRPr="0094097E">
        <w:rPr>
          <w:rFonts w:ascii="Times New Roman" w:hAnsi="Times New Roman" w:cs="Times New Roman"/>
        </w:rPr>
        <w:t xml:space="preserve">. </w:t>
      </w:r>
      <w:r w:rsidRPr="00A3600F">
        <w:rPr>
          <w:rFonts w:ascii="Times New Roman" w:hAnsi="Times New Roman" w:cs="Times New Roman"/>
          <w:i/>
          <w:iCs/>
        </w:rPr>
        <w:t>rubra</w:t>
      </w:r>
      <w:r w:rsidRPr="0094097E">
        <w:rPr>
          <w:rFonts w:ascii="Times New Roman" w:hAnsi="Times New Roman" w:cs="Times New Roman"/>
        </w:rPr>
        <w:t xml:space="preserve"> (b). The heatmaps illustrate patterns of positive and negative correlations among measured variables, providing an overview of trait interrelationships within each inoculation treatment. These correlations are descriptive and exploratory in nature and are intended to complement the univariate analyses and multivariate ordination (PCA) presented in the main manuscript, without implying causal relationships</w:t>
      </w:r>
      <w:r w:rsidR="009D5DBB" w:rsidRPr="00B64070">
        <w:rPr>
          <w:rFonts w:ascii="Times New Roman" w:hAnsi="Times New Roman" w:cs="Times New Roman"/>
        </w:rPr>
        <w:t>.</w:t>
      </w:r>
    </w:p>
    <w:p w14:paraId="119944FB" w14:textId="1950E145" w:rsidR="006F430D" w:rsidRDefault="006F430D" w:rsidP="008D661A">
      <w:pPr>
        <w:spacing w:line="360" w:lineRule="auto"/>
        <w:jc w:val="center"/>
        <w:rPr>
          <w:rFonts w:ascii="Times New Roman" w:hAnsi="Times New Roman" w:cs="Times New Roman"/>
        </w:rPr>
      </w:pPr>
      <w:r>
        <w:rPr>
          <w:noProof/>
        </w:rPr>
        <w:drawing>
          <wp:inline distT="0" distB="0" distL="0" distR="0" wp14:anchorId="4A1C5794" wp14:editId="595AD452">
            <wp:extent cx="5943600" cy="4754880"/>
            <wp:effectExtent l="0" t="0" r="0" b="7620"/>
            <wp:docPr id="487253666" name="Picture 2" descr="A red and blue plaid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53666" name="Picture 2" descr="A red and blue plaid patter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39715421" w14:textId="3176AAB0" w:rsidR="006F430D" w:rsidRPr="000F295B" w:rsidRDefault="006F430D" w:rsidP="008D661A">
      <w:pPr>
        <w:spacing w:line="360" w:lineRule="auto"/>
        <w:jc w:val="center"/>
        <w:rPr>
          <w:rFonts w:ascii="Times New Roman" w:hAnsi="Times New Roman" w:cs="Times New Roman"/>
        </w:rPr>
      </w:pPr>
      <w:r>
        <w:rPr>
          <w:noProof/>
        </w:rPr>
        <w:lastRenderedPageBreak/>
        <w:drawing>
          <wp:inline distT="0" distB="0" distL="0" distR="0" wp14:anchorId="735B7B27" wp14:editId="5176E5CD">
            <wp:extent cx="5943600" cy="4754880"/>
            <wp:effectExtent l="0" t="0" r="0" b="7620"/>
            <wp:docPr id="68756327" name="Picture 3" descr="A red and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6327" name="Picture 3" descr="A red and blue squar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60C71B80" w14:textId="0180FF91" w:rsidR="006F430D" w:rsidRDefault="006F430D" w:rsidP="006F430D">
      <w:pPr>
        <w:spacing w:line="360" w:lineRule="auto"/>
        <w:jc w:val="both"/>
        <w:rPr>
          <w:rFonts w:ascii="Times New Roman" w:hAnsi="Times New Roman" w:cs="Times New Roman"/>
        </w:rPr>
      </w:pPr>
      <w:r w:rsidRPr="001B558D">
        <w:rPr>
          <w:rFonts w:ascii="Times New Roman" w:hAnsi="Times New Roman" w:cs="Times New Roman"/>
          <w:b/>
          <w:bCs/>
          <w:sz w:val="22"/>
          <w:szCs w:val="22"/>
        </w:rPr>
        <w:t>Supplementary Figure S</w:t>
      </w:r>
      <w:r w:rsidR="000A2F15">
        <w:rPr>
          <w:rFonts w:ascii="Times New Roman" w:hAnsi="Times New Roman" w:cs="Times New Roman"/>
          <w:b/>
          <w:bCs/>
          <w:sz w:val="22"/>
          <w:szCs w:val="22"/>
        </w:rPr>
        <w:t>8</w:t>
      </w:r>
      <w:r>
        <w:rPr>
          <w:rFonts w:ascii="Times New Roman" w:hAnsi="Times New Roman" w:cs="Times New Roman"/>
          <w:b/>
          <w:bCs/>
          <w:sz w:val="22"/>
          <w:szCs w:val="22"/>
        </w:rPr>
        <w:t>a</w:t>
      </w:r>
      <w:r w:rsidRPr="001B558D">
        <w:rPr>
          <w:rFonts w:ascii="Times New Roman" w:hAnsi="Times New Roman" w:cs="Times New Roman"/>
          <w:b/>
          <w:bCs/>
          <w:sz w:val="22"/>
          <w:szCs w:val="22"/>
        </w:rPr>
        <w:t>–</w:t>
      </w:r>
      <w:r w:rsidR="000A2F15">
        <w:rPr>
          <w:rFonts w:ascii="Times New Roman" w:hAnsi="Times New Roman" w:cs="Times New Roman"/>
          <w:b/>
          <w:bCs/>
          <w:sz w:val="22"/>
          <w:szCs w:val="22"/>
        </w:rPr>
        <w:t>8</w:t>
      </w:r>
      <w:r w:rsidRPr="000F295B">
        <w:rPr>
          <w:rFonts w:ascii="Times New Roman" w:hAnsi="Times New Roman" w:cs="Times New Roman"/>
          <w:b/>
          <w:bCs/>
        </w:rPr>
        <w:t>b.</w:t>
      </w:r>
      <w:r w:rsidRPr="000F295B">
        <w:rPr>
          <w:rFonts w:ascii="Times New Roman" w:hAnsi="Times New Roman" w:cs="Times New Roman"/>
        </w:rPr>
        <w:t xml:space="preserve"> Pearson correlation heatmaps showing pairwise relationships among growth traits, chlorophyll fluorescence, energy flux parameters, vegetation and spectral indices, pigments, and antioxidant enzymes in </w:t>
      </w:r>
      <w:r w:rsidRPr="000F295B">
        <w:rPr>
          <w:rFonts w:ascii="Times New Roman" w:hAnsi="Times New Roman" w:cs="Times New Roman"/>
          <w:i/>
          <w:iCs/>
        </w:rPr>
        <w:t>N</w:t>
      </w:r>
      <w:r w:rsidRPr="000F295B">
        <w:rPr>
          <w:rFonts w:ascii="Times New Roman" w:hAnsi="Times New Roman" w:cs="Times New Roman"/>
        </w:rPr>
        <w:t xml:space="preserve">. </w:t>
      </w:r>
      <w:r w:rsidRPr="000F295B">
        <w:rPr>
          <w:rFonts w:ascii="Times New Roman" w:hAnsi="Times New Roman" w:cs="Times New Roman"/>
          <w:i/>
          <w:iCs/>
        </w:rPr>
        <w:t>tabacum</w:t>
      </w:r>
      <w:r w:rsidRPr="000F295B">
        <w:rPr>
          <w:rFonts w:ascii="Times New Roman" w:hAnsi="Times New Roman" w:cs="Times New Roman"/>
        </w:rPr>
        <w:t xml:space="preserve"> inoculated with (a) </w:t>
      </w:r>
      <w:r w:rsidRPr="000F295B">
        <w:rPr>
          <w:rFonts w:ascii="Times New Roman" w:hAnsi="Times New Roman" w:cs="Times New Roman"/>
          <w:i/>
          <w:iCs/>
        </w:rPr>
        <w:t>M</w:t>
      </w:r>
      <w:r w:rsidRPr="000F295B">
        <w:rPr>
          <w:rFonts w:ascii="Times New Roman" w:hAnsi="Times New Roman" w:cs="Times New Roman"/>
        </w:rPr>
        <w:t xml:space="preserve">. </w:t>
      </w:r>
      <w:r w:rsidRPr="000F295B">
        <w:rPr>
          <w:rFonts w:ascii="Times New Roman" w:hAnsi="Times New Roman" w:cs="Times New Roman"/>
          <w:i/>
          <w:iCs/>
        </w:rPr>
        <w:t>mucilaginosa</w:t>
      </w:r>
      <w:r w:rsidRPr="000F295B">
        <w:rPr>
          <w:rFonts w:ascii="Times New Roman" w:hAnsi="Times New Roman" w:cs="Times New Roman"/>
        </w:rPr>
        <w:t xml:space="preserve"> and (b) </w:t>
      </w:r>
      <w:r w:rsidRPr="000F295B">
        <w:rPr>
          <w:rFonts w:ascii="Times New Roman" w:hAnsi="Times New Roman" w:cs="Times New Roman"/>
          <w:i/>
          <w:iCs/>
        </w:rPr>
        <w:t>M</w:t>
      </w:r>
      <w:r w:rsidRPr="000F295B">
        <w:rPr>
          <w:rFonts w:ascii="Times New Roman" w:hAnsi="Times New Roman" w:cs="Times New Roman"/>
        </w:rPr>
        <w:t xml:space="preserve">. </w:t>
      </w:r>
      <w:r w:rsidRPr="000F295B">
        <w:rPr>
          <w:rFonts w:ascii="Times New Roman" w:hAnsi="Times New Roman" w:cs="Times New Roman"/>
          <w:i/>
          <w:iCs/>
        </w:rPr>
        <w:t>rubra</w:t>
      </w:r>
      <w:r w:rsidRPr="000F295B">
        <w:rPr>
          <w:rFonts w:ascii="Times New Roman" w:hAnsi="Times New Roman" w:cs="Times New Roman"/>
        </w:rPr>
        <w:t>. The color scale represents correlation coefficients (r), with red indicating strong positive and blue indicating strong negative correlations.</w:t>
      </w:r>
    </w:p>
    <w:p w14:paraId="038ABDA9" w14:textId="77777777" w:rsidR="009D5DBB" w:rsidRPr="00E57175" w:rsidRDefault="009D5DBB" w:rsidP="001B512A">
      <w:pPr>
        <w:spacing w:line="360" w:lineRule="auto"/>
        <w:jc w:val="both"/>
        <w:rPr>
          <w:rFonts w:ascii="Times New Roman" w:hAnsi="Times New Roman" w:cs="Times New Roman"/>
        </w:rPr>
      </w:pPr>
    </w:p>
    <w:sectPr w:rsidR="009D5DBB" w:rsidRPr="00E571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75"/>
    <w:rsid w:val="000833FF"/>
    <w:rsid w:val="000A2F15"/>
    <w:rsid w:val="000B3166"/>
    <w:rsid w:val="000C70E0"/>
    <w:rsid w:val="001028A5"/>
    <w:rsid w:val="001079C4"/>
    <w:rsid w:val="0011115E"/>
    <w:rsid w:val="00131307"/>
    <w:rsid w:val="00155E66"/>
    <w:rsid w:val="00157C8B"/>
    <w:rsid w:val="00166AB8"/>
    <w:rsid w:val="001B512A"/>
    <w:rsid w:val="001B558D"/>
    <w:rsid w:val="002010D0"/>
    <w:rsid w:val="00207D58"/>
    <w:rsid w:val="00227265"/>
    <w:rsid w:val="0024334B"/>
    <w:rsid w:val="002825AA"/>
    <w:rsid w:val="002C755F"/>
    <w:rsid w:val="002E7B60"/>
    <w:rsid w:val="002F75CC"/>
    <w:rsid w:val="002F7FAF"/>
    <w:rsid w:val="0031079E"/>
    <w:rsid w:val="00314475"/>
    <w:rsid w:val="00346BDC"/>
    <w:rsid w:val="003751FA"/>
    <w:rsid w:val="0038656A"/>
    <w:rsid w:val="003B1FBF"/>
    <w:rsid w:val="003B3721"/>
    <w:rsid w:val="004D5F51"/>
    <w:rsid w:val="0055357D"/>
    <w:rsid w:val="00554D48"/>
    <w:rsid w:val="00564715"/>
    <w:rsid w:val="00565677"/>
    <w:rsid w:val="005716DB"/>
    <w:rsid w:val="005819DC"/>
    <w:rsid w:val="00593BE3"/>
    <w:rsid w:val="005C2F36"/>
    <w:rsid w:val="006411A2"/>
    <w:rsid w:val="00665EBF"/>
    <w:rsid w:val="006E28DE"/>
    <w:rsid w:val="006E4814"/>
    <w:rsid w:val="006F430D"/>
    <w:rsid w:val="0071493A"/>
    <w:rsid w:val="00721ADF"/>
    <w:rsid w:val="0075797B"/>
    <w:rsid w:val="007D7A63"/>
    <w:rsid w:val="008118F0"/>
    <w:rsid w:val="008206BB"/>
    <w:rsid w:val="0084708F"/>
    <w:rsid w:val="00847C25"/>
    <w:rsid w:val="00880B32"/>
    <w:rsid w:val="0089151E"/>
    <w:rsid w:val="00892B18"/>
    <w:rsid w:val="00896899"/>
    <w:rsid w:val="008D661A"/>
    <w:rsid w:val="008F310C"/>
    <w:rsid w:val="008F3C8A"/>
    <w:rsid w:val="0093152A"/>
    <w:rsid w:val="0094097E"/>
    <w:rsid w:val="009434AF"/>
    <w:rsid w:val="009B0ED2"/>
    <w:rsid w:val="009B7094"/>
    <w:rsid w:val="009D5C4A"/>
    <w:rsid w:val="009D5CAE"/>
    <w:rsid w:val="009D5DBB"/>
    <w:rsid w:val="009F6DB0"/>
    <w:rsid w:val="00A0570B"/>
    <w:rsid w:val="00A05E70"/>
    <w:rsid w:val="00A3600F"/>
    <w:rsid w:val="00A550FB"/>
    <w:rsid w:val="00AB653B"/>
    <w:rsid w:val="00AE65BE"/>
    <w:rsid w:val="00AF26D8"/>
    <w:rsid w:val="00B2273E"/>
    <w:rsid w:val="00B536AD"/>
    <w:rsid w:val="00B65FCB"/>
    <w:rsid w:val="00B85962"/>
    <w:rsid w:val="00BC7677"/>
    <w:rsid w:val="00BF545A"/>
    <w:rsid w:val="00C23674"/>
    <w:rsid w:val="00C27DC5"/>
    <w:rsid w:val="00C502BC"/>
    <w:rsid w:val="00C62584"/>
    <w:rsid w:val="00C87D48"/>
    <w:rsid w:val="00CA15BF"/>
    <w:rsid w:val="00CF5233"/>
    <w:rsid w:val="00D24031"/>
    <w:rsid w:val="00D879A9"/>
    <w:rsid w:val="00DC6F68"/>
    <w:rsid w:val="00DE77DA"/>
    <w:rsid w:val="00E03D4E"/>
    <w:rsid w:val="00E57175"/>
    <w:rsid w:val="00E60C23"/>
    <w:rsid w:val="00E67138"/>
    <w:rsid w:val="00E90C6F"/>
    <w:rsid w:val="00EB5344"/>
    <w:rsid w:val="00F1319F"/>
    <w:rsid w:val="00F13AB8"/>
    <w:rsid w:val="00FE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EDF5"/>
  <w15:chartTrackingRefBased/>
  <w15:docId w15:val="{D1980D27-70A8-40B8-B4DE-3A2FFA4C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1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1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1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1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1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1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1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1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175"/>
    <w:rPr>
      <w:rFonts w:eastAsiaTheme="majorEastAsia" w:cstheme="majorBidi"/>
      <w:color w:val="272727" w:themeColor="text1" w:themeTint="D8"/>
    </w:rPr>
  </w:style>
  <w:style w:type="paragraph" w:styleId="Title">
    <w:name w:val="Title"/>
    <w:basedOn w:val="Normal"/>
    <w:next w:val="Normal"/>
    <w:link w:val="TitleChar"/>
    <w:uiPriority w:val="10"/>
    <w:qFormat/>
    <w:rsid w:val="00E57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1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1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175"/>
    <w:pPr>
      <w:spacing w:before="160"/>
      <w:jc w:val="center"/>
    </w:pPr>
    <w:rPr>
      <w:i/>
      <w:iCs/>
      <w:color w:val="404040" w:themeColor="text1" w:themeTint="BF"/>
    </w:rPr>
  </w:style>
  <w:style w:type="character" w:customStyle="1" w:styleId="QuoteChar">
    <w:name w:val="Quote Char"/>
    <w:basedOn w:val="DefaultParagraphFont"/>
    <w:link w:val="Quote"/>
    <w:uiPriority w:val="29"/>
    <w:rsid w:val="00E57175"/>
    <w:rPr>
      <w:i/>
      <w:iCs/>
      <w:color w:val="404040" w:themeColor="text1" w:themeTint="BF"/>
    </w:rPr>
  </w:style>
  <w:style w:type="paragraph" w:styleId="ListParagraph">
    <w:name w:val="List Paragraph"/>
    <w:basedOn w:val="Normal"/>
    <w:uiPriority w:val="34"/>
    <w:qFormat/>
    <w:rsid w:val="00E57175"/>
    <w:pPr>
      <w:ind w:left="720"/>
      <w:contextualSpacing/>
    </w:pPr>
  </w:style>
  <w:style w:type="character" w:styleId="IntenseEmphasis">
    <w:name w:val="Intense Emphasis"/>
    <w:basedOn w:val="DefaultParagraphFont"/>
    <w:uiPriority w:val="21"/>
    <w:qFormat/>
    <w:rsid w:val="00E57175"/>
    <w:rPr>
      <w:i/>
      <w:iCs/>
      <w:color w:val="0F4761" w:themeColor="accent1" w:themeShade="BF"/>
    </w:rPr>
  </w:style>
  <w:style w:type="paragraph" w:styleId="IntenseQuote">
    <w:name w:val="Intense Quote"/>
    <w:basedOn w:val="Normal"/>
    <w:next w:val="Normal"/>
    <w:link w:val="IntenseQuoteChar"/>
    <w:uiPriority w:val="30"/>
    <w:qFormat/>
    <w:rsid w:val="00E57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175"/>
    <w:rPr>
      <w:i/>
      <w:iCs/>
      <w:color w:val="0F4761" w:themeColor="accent1" w:themeShade="BF"/>
    </w:rPr>
  </w:style>
  <w:style w:type="character" w:styleId="IntenseReference">
    <w:name w:val="Intense Reference"/>
    <w:basedOn w:val="DefaultParagraphFont"/>
    <w:uiPriority w:val="32"/>
    <w:qFormat/>
    <w:rsid w:val="00E57175"/>
    <w:rPr>
      <w:b/>
      <w:bCs/>
      <w:smallCaps/>
      <w:color w:val="0F4761" w:themeColor="accent1" w:themeShade="BF"/>
      <w:spacing w:val="5"/>
    </w:rPr>
  </w:style>
  <w:style w:type="table" w:styleId="TableGrid">
    <w:name w:val="Table Grid"/>
    <w:basedOn w:val="TableNormal"/>
    <w:uiPriority w:val="39"/>
    <w:rsid w:val="00314475"/>
    <w:pPr>
      <w:spacing w:after="0" w:line="240" w:lineRule="auto"/>
    </w:pPr>
    <w:rPr>
      <w:rFonts w:ascii="Calibri" w:eastAsia="Calibri" w:hAnsi="Calibri" w:cs="Times New Roman"/>
      <w:sz w:val="22"/>
      <w:szCs w:val="22"/>
      <w:lang w:val="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4708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4708F"/>
    <w:rPr>
      <w:b/>
      <w:bCs/>
    </w:rPr>
  </w:style>
  <w:style w:type="character" w:styleId="Emphasis">
    <w:name w:val="Emphasis"/>
    <w:basedOn w:val="DefaultParagraphFont"/>
    <w:uiPriority w:val="20"/>
    <w:qFormat/>
    <w:rsid w:val="0084708F"/>
    <w:rPr>
      <w:i/>
      <w:iCs/>
    </w:rPr>
  </w:style>
  <w:style w:type="character" w:customStyle="1" w:styleId="katex-mathml">
    <w:name w:val="katex-mathml"/>
    <w:basedOn w:val="DefaultParagraphFont"/>
    <w:rsid w:val="00847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745528">
      <w:bodyDiv w:val="1"/>
      <w:marLeft w:val="0"/>
      <w:marRight w:val="0"/>
      <w:marTop w:val="0"/>
      <w:marBottom w:val="0"/>
      <w:divBdr>
        <w:top w:val="none" w:sz="0" w:space="0" w:color="auto"/>
        <w:left w:val="none" w:sz="0" w:space="0" w:color="auto"/>
        <w:bottom w:val="none" w:sz="0" w:space="0" w:color="auto"/>
        <w:right w:val="none" w:sz="0" w:space="0" w:color="auto"/>
      </w:divBdr>
    </w:div>
    <w:div w:id="185056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938</Words>
  <Characters>5349</Characters>
  <Application>Microsoft Office Word</Application>
  <DocSecurity>0</DocSecurity>
  <Lines>44</Lines>
  <Paragraphs>12</Paragraphs>
  <ScaleCrop>false</ScaleCrop>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Inzimam Ul Haq</dc:creator>
  <cp:keywords/>
  <dc:description/>
  <cp:lastModifiedBy>Syed Inzimam Ul Haq</cp:lastModifiedBy>
  <cp:revision>57</cp:revision>
  <dcterms:created xsi:type="dcterms:W3CDTF">2025-12-22T06:12:00Z</dcterms:created>
  <dcterms:modified xsi:type="dcterms:W3CDTF">2025-12-25T12:46:00Z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5da32dda-4d8a-45f4-8b55-05fcb2d9d985</vt:lpwstr>
  </property>
</Properties>
</file>