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8BC3E" w14:textId="77777777" w:rsidR="00FB6BB6" w:rsidRDefault="00FB6BB6" w:rsidP="00FB6BB6">
      <w:pPr>
        <w:pStyle w:val="NoSpacing"/>
        <w:spacing w:line="480" w:lineRule="auto"/>
        <w:jc w:val="both"/>
        <w:rPr>
          <w:rFonts w:ascii="Arial" w:hAnsi="Arial" w:cs="Arial"/>
          <w:b/>
          <w:sz w:val="24"/>
          <w:lang w:val="en-GB"/>
        </w:rPr>
      </w:pPr>
      <w:r>
        <w:rPr>
          <w:rFonts w:ascii="Arial" w:hAnsi="Arial" w:cs="Arial"/>
          <w:b/>
          <w:sz w:val="24"/>
          <w:lang w:val="en-GB"/>
        </w:rPr>
        <w:t>SUPPLEMENTARY MATERIAL</w:t>
      </w:r>
    </w:p>
    <w:p w14:paraId="5B7A572F" w14:textId="77777777" w:rsidR="00FB6BB6" w:rsidRDefault="00FB6BB6" w:rsidP="00FB6BB6">
      <w:pPr>
        <w:pStyle w:val="NoSpacing"/>
        <w:spacing w:line="480" w:lineRule="auto"/>
        <w:jc w:val="both"/>
        <w:rPr>
          <w:rFonts w:ascii="Arial" w:hAnsi="Arial" w:cs="Arial"/>
          <w:b/>
          <w:sz w:val="24"/>
          <w:lang w:val="en-GB"/>
        </w:rPr>
      </w:pPr>
    </w:p>
    <w:p w14:paraId="7F6F9CE8" w14:textId="77777777" w:rsidR="00FB6BB6" w:rsidRPr="00E16FB9" w:rsidRDefault="00FB6BB6" w:rsidP="00FB6BB6">
      <w:pPr>
        <w:pStyle w:val="NoSpacing"/>
        <w:spacing w:line="480" w:lineRule="auto"/>
        <w:jc w:val="both"/>
        <w:rPr>
          <w:rFonts w:ascii="Arial" w:hAnsi="Arial" w:cs="Arial"/>
          <w:b/>
          <w:sz w:val="24"/>
          <w:lang w:val="en-GB"/>
        </w:rPr>
      </w:pPr>
      <w:r w:rsidRPr="00E16FB9">
        <w:rPr>
          <w:rFonts w:ascii="Arial" w:hAnsi="Arial" w:cs="Arial"/>
          <w:b/>
          <w:sz w:val="24"/>
          <w:lang w:val="en-GB"/>
        </w:rPr>
        <w:t>Methodological quality of included studies</w:t>
      </w:r>
    </w:p>
    <w:p w14:paraId="77E37F17" w14:textId="6E31BEB1" w:rsidR="00FB6BB6" w:rsidRPr="00E16FB9" w:rsidRDefault="00FB6BB6" w:rsidP="00FB6BB6">
      <w:pPr>
        <w:pStyle w:val="NoSpacing"/>
        <w:spacing w:line="480" w:lineRule="auto"/>
        <w:jc w:val="both"/>
        <w:rPr>
          <w:rFonts w:ascii="Arial" w:hAnsi="Arial" w:cs="Arial"/>
          <w:sz w:val="24"/>
          <w:lang w:val="en-GB"/>
        </w:rPr>
      </w:pPr>
      <w:r w:rsidRPr="00E16FB9">
        <w:rPr>
          <w:rFonts w:ascii="Arial" w:hAnsi="Arial" w:cs="Arial"/>
          <w:sz w:val="24"/>
          <w:lang w:val="en-GB"/>
        </w:rPr>
        <w:t>In the first domain regarding patient selection, three out of 35 studies (9%) were considered to be of high risk of bias</w:t>
      </w:r>
      <w:r>
        <w:rPr>
          <w:rFonts w:ascii="Arial" w:hAnsi="Arial" w:cs="Arial"/>
          <w:sz w:val="24"/>
          <w:lang w:val="en-GB"/>
        </w:rPr>
        <w:t xml:space="preserve"> [25,43,38]</w:t>
      </w:r>
      <w:r w:rsidRPr="00E16FB9">
        <w:rPr>
          <w:rFonts w:ascii="Arial" w:hAnsi="Arial" w:cs="Arial"/>
          <w:sz w:val="24"/>
          <w:lang w:val="en-GB"/>
        </w:rPr>
        <w:t>. Two of these studies showed inappropriate exclusion criteria as patients with definite disease progression according to RANO or histological confirmation were not taken into account</w:t>
      </w:r>
      <w:r>
        <w:rPr>
          <w:rFonts w:ascii="Arial" w:hAnsi="Arial" w:cs="Arial"/>
          <w:sz w:val="24"/>
          <w:lang w:val="en-GB"/>
        </w:rPr>
        <w:t xml:space="preserve"> [25]</w:t>
      </w:r>
      <w:r w:rsidRPr="00E16FB9">
        <w:rPr>
          <w:rFonts w:ascii="Arial" w:hAnsi="Arial" w:cs="Arial"/>
          <w:sz w:val="24"/>
          <w:lang w:val="en-GB"/>
        </w:rPr>
        <w:t>, or patients who underwent gross-total resection were excluded</w:t>
      </w:r>
      <w:r>
        <w:rPr>
          <w:rFonts w:ascii="Arial" w:hAnsi="Arial" w:cs="Arial"/>
          <w:sz w:val="24"/>
          <w:lang w:val="en-GB"/>
        </w:rPr>
        <w:t xml:space="preserve"> [38]</w:t>
      </w:r>
      <w:r w:rsidRPr="00E16FB9">
        <w:rPr>
          <w:rFonts w:ascii="Arial" w:hAnsi="Arial" w:cs="Arial"/>
          <w:sz w:val="24"/>
          <w:lang w:val="en-GB"/>
        </w:rPr>
        <w:t>.</w:t>
      </w:r>
      <w:r>
        <w:rPr>
          <w:rFonts w:ascii="Arial" w:hAnsi="Arial" w:cs="Arial"/>
          <w:sz w:val="24"/>
          <w:lang w:val="en-GB"/>
        </w:rPr>
        <w:t xml:space="preserve"> Both might induce a selection bias.</w:t>
      </w:r>
      <w:r w:rsidRPr="00E16FB9">
        <w:rPr>
          <w:rFonts w:ascii="Arial" w:hAnsi="Arial" w:cs="Arial"/>
          <w:sz w:val="24"/>
          <w:lang w:val="en-GB"/>
        </w:rPr>
        <w:t xml:space="preserve"> One study did not avoid a case-control design and was</w:t>
      </w:r>
      <w:r w:rsidR="00B439EF">
        <w:rPr>
          <w:rFonts w:ascii="Arial" w:hAnsi="Arial" w:cs="Arial"/>
          <w:sz w:val="24"/>
          <w:lang w:val="en-GB"/>
        </w:rPr>
        <w:t>,</w:t>
      </w:r>
      <w:r w:rsidRPr="00E16FB9">
        <w:rPr>
          <w:rFonts w:ascii="Arial" w:hAnsi="Arial" w:cs="Arial"/>
          <w:sz w:val="24"/>
          <w:lang w:val="en-GB"/>
        </w:rPr>
        <w:t xml:space="preserve"> therefore</w:t>
      </w:r>
      <w:r w:rsidR="00B439EF">
        <w:rPr>
          <w:rFonts w:ascii="Arial" w:hAnsi="Arial" w:cs="Arial"/>
          <w:sz w:val="24"/>
          <w:lang w:val="en-GB"/>
        </w:rPr>
        <w:t>,</w:t>
      </w:r>
      <w:r w:rsidRPr="00E16FB9">
        <w:rPr>
          <w:rFonts w:ascii="Arial" w:hAnsi="Arial" w:cs="Arial"/>
          <w:sz w:val="24"/>
          <w:lang w:val="en-GB"/>
        </w:rPr>
        <w:t xml:space="preserve"> also considered to be of high risk of bias</w:t>
      </w:r>
      <w:r>
        <w:rPr>
          <w:rFonts w:ascii="Arial" w:hAnsi="Arial" w:cs="Arial"/>
          <w:sz w:val="24"/>
          <w:lang w:val="en-GB"/>
        </w:rPr>
        <w:t xml:space="preserve"> [43]</w:t>
      </w:r>
      <w:r w:rsidRPr="00E16FB9">
        <w:rPr>
          <w:rFonts w:ascii="Arial" w:hAnsi="Arial" w:cs="Arial"/>
          <w:sz w:val="24"/>
          <w:lang w:val="en-GB"/>
        </w:rPr>
        <w:t>. Another five studies (14%) were considered to be of unclear risk of bias due to concerns about whether the patient enrolment was random or consecutive, because in these studies patients with residual tumour or patients with clinical deterioration were included</w:t>
      </w:r>
      <w:r>
        <w:rPr>
          <w:rFonts w:ascii="Arial" w:hAnsi="Arial" w:cs="Arial"/>
          <w:sz w:val="24"/>
          <w:lang w:val="en-GB"/>
        </w:rPr>
        <w:t xml:space="preserve"> [15,16,20,32,42]</w:t>
      </w:r>
      <w:r w:rsidRPr="00E16FB9">
        <w:rPr>
          <w:rFonts w:ascii="Arial" w:hAnsi="Arial" w:cs="Arial"/>
          <w:sz w:val="24"/>
          <w:lang w:val="en-GB"/>
        </w:rPr>
        <w:t>. The remaining (77%) were considered to be of low risk of bias</w:t>
      </w:r>
      <w:r>
        <w:rPr>
          <w:rFonts w:ascii="Arial" w:hAnsi="Arial" w:cs="Arial"/>
          <w:sz w:val="24"/>
          <w:lang w:val="en-GB"/>
        </w:rPr>
        <w:t xml:space="preserve"> [17–19,21</w:t>
      </w:r>
      <w:r w:rsidRPr="00865706">
        <w:rPr>
          <w:rFonts w:ascii="Arial" w:hAnsi="Arial" w:cs="Arial"/>
          <w:sz w:val="24"/>
          <w:lang w:val="en-GB"/>
        </w:rPr>
        <w:t>–2</w:t>
      </w:r>
      <w:r>
        <w:rPr>
          <w:rFonts w:ascii="Arial" w:hAnsi="Arial" w:cs="Arial"/>
          <w:sz w:val="24"/>
          <w:lang w:val="en-GB"/>
        </w:rPr>
        <w:t>4</w:t>
      </w:r>
      <w:r w:rsidRPr="00865706">
        <w:rPr>
          <w:rFonts w:ascii="Arial" w:hAnsi="Arial" w:cs="Arial"/>
          <w:sz w:val="24"/>
          <w:lang w:val="en-GB"/>
        </w:rPr>
        <w:t>,2</w:t>
      </w:r>
      <w:r>
        <w:rPr>
          <w:rFonts w:ascii="Arial" w:hAnsi="Arial" w:cs="Arial"/>
          <w:sz w:val="24"/>
          <w:lang w:val="en-GB"/>
        </w:rPr>
        <w:t>6–31</w:t>
      </w:r>
      <w:r w:rsidRPr="00865706">
        <w:rPr>
          <w:rFonts w:ascii="Arial" w:hAnsi="Arial" w:cs="Arial"/>
          <w:sz w:val="24"/>
          <w:lang w:val="en-GB"/>
        </w:rPr>
        <w:t>,3</w:t>
      </w:r>
      <w:r>
        <w:rPr>
          <w:rFonts w:ascii="Arial" w:hAnsi="Arial" w:cs="Arial"/>
          <w:sz w:val="24"/>
          <w:lang w:val="en-GB"/>
        </w:rPr>
        <w:t>3</w:t>
      </w:r>
      <w:r w:rsidRPr="00865706">
        <w:rPr>
          <w:rFonts w:ascii="Arial" w:hAnsi="Arial" w:cs="Arial"/>
          <w:sz w:val="24"/>
          <w:lang w:val="en-GB"/>
        </w:rPr>
        <w:t>–3</w:t>
      </w:r>
      <w:r>
        <w:rPr>
          <w:rFonts w:ascii="Arial" w:hAnsi="Arial" w:cs="Arial"/>
          <w:sz w:val="24"/>
          <w:lang w:val="en-GB"/>
        </w:rPr>
        <w:t>7</w:t>
      </w:r>
      <w:r w:rsidRPr="00865706">
        <w:rPr>
          <w:rFonts w:ascii="Arial" w:hAnsi="Arial" w:cs="Arial"/>
          <w:sz w:val="24"/>
          <w:lang w:val="en-GB"/>
        </w:rPr>
        <w:t>,3</w:t>
      </w:r>
      <w:r>
        <w:rPr>
          <w:rFonts w:ascii="Arial" w:hAnsi="Arial" w:cs="Arial"/>
          <w:sz w:val="24"/>
          <w:lang w:val="en-GB"/>
        </w:rPr>
        <w:t>9–41</w:t>
      </w:r>
      <w:r w:rsidRPr="00865706">
        <w:rPr>
          <w:rFonts w:ascii="Arial" w:hAnsi="Arial" w:cs="Arial"/>
          <w:sz w:val="24"/>
          <w:lang w:val="en-GB"/>
        </w:rPr>
        <w:t>,4</w:t>
      </w:r>
      <w:r>
        <w:rPr>
          <w:rFonts w:ascii="Arial" w:hAnsi="Arial" w:cs="Arial"/>
          <w:sz w:val="24"/>
          <w:lang w:val="en-GB"/>
        </w:rPr>
        <w:t>4</w:t>
      </w:r>
      <w:r w:rsidRPr="00865706">
        <w:rPr>
          <w:rFonts w:ascii="Arial" w:hAnsi="Arial" w:cs="Arial"/>
          <w:sz w:val="24"/>
          <w:lang w:val="en-GB"/>
        </w:rPr>
        <w:t>–4</w:t>
      </w:r>
      <w:r>
        <w:rPr>
          <w:rFonts w:ascii="Arial" w:hAnsi="Arial" w:cs="Arial"/>
          <w:sz w:val="24"/>
          <w:lang w:val="en-GB"/>
        </w:rPr>
        <w:t>9]</w:t>
      </w:r>
      <w:r w:rsidRPr="00E16FB9">
        <w:rPr>
          <w:rFonts w:ascii="Arial" w:hAnsi="Arial" w:cs="Arial"/>
          <w:sz w:val="24"/>
          <w:lang w:val="en-GB"/>
        </w:rPr>
        <w:t>.</w:t>
      </w:r>
    </w:p>
    <w:p w14:paraId="6D8F9DA6" w14:textId="77777777" w:rsidR="00FB6BB6" w:rsidRPr="00E16FB9" w:rsidRDefault="00FB6BB6" w:rsidP="00FB6BB6">
      <w:pPr>
        <w:pStyle w:val="NoSpacing"/>
        <w:spacing w:line="480" w:lineRule="auto"/>
        <w:jc w:val="right"/>
        <w:rPr>
          <w:rFonts w:ascii="Arial" w:hAnsi="Arial" w:cs="Arial"/>
          <w:sz w:val="24"/>
          <w:lang w:val="en-GB"/>
        </w:rPr>
      </w:pPr>
    </w:p>
    <w:p w14:paraId="399FD2BB" w14:textId="569D03A5" w:rsidR="00FB6BB6" w:rsidRPr="00E16FB9" w:rsidRDefault="00FB6BB6" w:rsidP="00FB6BB6">
      <w:pPr>
        <w:pStyle w:val="NoSpacing"/>
        <w:spacing w:line="480" w:lineRule="auto"/>
        <w:jc w:val="both"/>
        <w:rPr>
          <w:rFonts w:ascii="Arial" w:hAnsi="Arial" w:cs="Arial"/>
          <w:sz w:val="24"/>
          <w:lang w:val="en-GB"/>
        </w:rPr>
      </w:pPr>
      <w:r w:rsidRPr="00E16FB9">
        <w:rPr>
          <w:rFonts w:ascii="Arial" w:hAnsi="Arial" w:cs="Arial"/>
          <w:sz w:val="24"/>
          <w:lang w:val="en-GB"/>
        </w:rPr>
        <w:t>In the index test domain 24 studies (69%) did not specify the used MRI threshold or cut-off value and were</w:t>
      </w:r>
      <w:r w:rsidR="00B439EF">
        <w:rPr>
          <w:rFonts w:ascii="Arial" w:hAnsi="Arial" w:cs="Arial"/>
          <w:sz w:val="24"/>
          <w:lang w:val="en-GB"/>
        </w:rPr>
        <w:t>,</w:t>
      </w:r>
      <w:r w:rsidRPr="00E16FB9">
        <w:rPr>
          <w:rFonts w:ascii="Arial" w:hAnsi="Arial" w:cs="Arial"/>
          <w:sz w:val="24"/>
          <w:lang w:val="en-GB"/>
        </w:rPr>
        <w:t xml:space="preserve"> therefore</w:t>
      </w:r>
      <w:r w:rsidR="00B439EF">
        <w:rPr>
          <w:rFonts w:ascii="Arial" w:hAnsi="Arial" w:cs="Arial"/>
          <w:sz w:val="24"/>
          <w:lang w:val="en-GB"/>
        </w:rPr>
        <w:t>,</w:t>
      </w:r>
      <w:r w:rsidRPr="00E16FB9">
        <w:rPr>
          <w:rFonts w:ascii="Arial" w:hAnsi="Arial" w:cs="Arial"/>
          <w:sz w:val="24"/>
          <w:lang w:val="en-GB"/>
        </w:rPr>
        <w:t xml:space="preserve"> considered to be of high risk of bias</w:t>
      </w:r>
      <w:r>
        <w:rPr>
          <w:rFonts w:ascii="Arial" w:hAnsi="Arial" w:cs="Arial"/>
          <w:sz w:val="24"/>
          <w:lang w:val="en-GB"/>
        </w:rPr>
        <w:t xml:space="preserve"> [</w:t>
      </w:r>
      <w:r w:rsidRPr="001949FD">
        <w:rPr>
          <w:rFonts w:ascii="Arial" w:hAnsi="Arial" w:cs="Arial"/>
          <w:sz w:val="24"/>
          <w:lang w:val="en-GB"/>
        </w:rPr>
        <w:t>1</w:t>
      </w:r>
      <w:r>
        <w:rPr>
          <w:rFonts w:ascii="Arial" w:hAnsi="Arial" w:cs="Arial"/>
          <w:sz w:val="24"/>
          <w:lang w:val="en-GB"/>
        </w:rPr>
        <w:t>5</w:t>
      </w:r>
      <w:r w:rsidRPr="001949FD">
        <w:rPr>
          <w:rFonts w:ascii="Arial" w:hAnsi="Arial" w:cs="Arial"/>
          <w:sz w:val="24"/>
          <w:lang w:val="en-GB"/>
        </w:rPr>
        <w:t>,</w:t>
      </w:r>
      <w:r>
        <w:rPr>
          <w:rFonts w:ascii="Arial" w:hAnsi="Arial" w:cs="Arial"/>
          <w:sz w:val="24"/>
          <w:lang w:val="en-GB"/>
        </w:rPr>
        <w:t>20–30</w:t>
      </w:r>
      <w:r w:rsidRPr="001949FD">
        <w:rPr>
          <w:rFonts w:ascii="Arial" w:hAnsi="Arial" w:cs="Arial"/>
          <w:sz w:val="24"/>
          <w:lang w:val="en-GB"/>
        </w:rPr>
        <w:t>,3</w:t>
      </w:r>
      <w:r>
        <w:rPr>
          <w:rFonts w:ascii="Arial" w:hAnsi="Arial" w:cs="Arial"/>
          <w:sz w:val="24"/>
          <w:lang w:val="en-GB"/>
        </w:rPr>
        <w:t>3</w:t>
      </w:r>
      <w:r w:rsidRPr="001949FD">
        <w:rPr>
          <w:rFonts w:ascii="Arial" w:hAnsi="Arial" w:cs="Arial"/>
          <w:sz w:val="24"/>
          <w:lang w:val="en-GB"/>
        </w:rPr>
        <w:t>–</w:t>
      </w:r>
      <w:r>
        <w:rPr>
          <w:rFonts w:ascii="Arial" w:hAnsi="Arial" w:cs="Arial"/>
          <w:sz w:val="24"/>
          <w:lang w:val="en-GB"/>
        </w:rPr>
        <w:t>37</w:t>
      </w:r>
      <w:r w:rsidRPr="001949FD">
        <w:rPr>
          <w:rFonts w:ascii="Arial" w:hAnsi="Arial" w:cs="Arial"/>
          <w:sz w:val="24"/>
          <w:lang w:val="en-GB"/>
        </w:rPr>
        <w:t>,3</w:t>
      </w:r>
      <w:r>
        <w:rPr>
          <w:rFonts w:ascii="Arial" w:hAnsi="Arial" w:cs="Arial"/>
          <w:sz w:val="24"/>
          <w:lang w:val="en-GB"/>
        </w:rPr>
        <w:t>9</w:t>
      </w:r>
      <w:r w:rsidRPr="001949FD">
        <w:rPr>
          <w:rFonts w:ascii="Arial" w:hAnsi="Arial" w:cs="Arial"/>
          <w:sz w:val="24"/>
          <w:lang w:val="en-GB"/>
        </w:rPr>
        <w:t>–4</w:t>
      </w:r>
      <w:r>
        <w:rPr>
          <w:rFonts w:ascii="Arial" w:hAnsi="Arial" w:cs="Arial"/>
          <w:sz w:val="24"/>
          <w:lang w:val="en-GB"/>
        </w:rPr>
        <w:t>4</w:t>
      </w:r>
      <w:r w:rsidRPr="001949FD">
        <w:rPr>
          <w:rFonts w:ascii="Arial" w:hAnsi="Arial" w:cs="Arial"/>
          <w:sz w:val="24"/>
          <w:lang w:val="en-GB"/>
        </w:rPr>
        <w:t>,4</w:t>
      </w:r>
      <w:r>
        <w:rPr>
          <w:rFonts w:ascii="Arial" w:hAnsi="Arial" w:cs="Arial"/>
          <w:sz w:val="24"/>
          <w:lang w:val="en-GB"/>
        </w:rPr>
        <w:t>7]</w:t>
      </w:r>
      <w:r w:rsidRPr="00E16FB9">
        <w:rPr>
          <w:rFonts w:ascii="Arial" w:hAnsi="Arial" w:cs="Arial"/>
          <w:sz w:val="24"/>
          <w:lang w:val="en-GB"/>
        </w:rPr>
        <w:t xml:space="preserve">. In an additional seven studies (20%) it was not assured that the results of the reviewed MRI </w:t>
      </w:r>
      <w:r>
        <w:rPr>
          <w:rFonts w:ascii="Arial" w:hAnsi="Arial" w:cs="Arial"/>
          <w:sz w:val="24"/>
          <w:lang w:val="en-GB"/>
        </w:rPr>
        <w:t>technique</w:t>
      </w:r>
      <w:r w:rsidRPr="00E16FB9">
        <w:rPr>
          <w:rFonts w:ascii="Arial" w:hAnsi="Arial" w:cs="Arial"/>
          <w:sz w:val="24"/>
          <w:lang w:val="en-GB"/>
        </w:rPr>
        <w:t xml:space="preserve"> were interpreted without knowledge of the results of the reference standard</w:t>
      </w:r>
      <w:r>
        <w:rPr>
          <w:rFonts w:ascii="Arial" w:hAnsi="Arial" w:cs="Arial"/>
          <w:sz w:val="24"/>
          <w:lang w:val="en-GB"/>
        </w:rPr>
        <w:t xml:space="preserve"> [</w:t>
      </w:r>
      <w:r w:rsidRPr="001949FD">
        <w:rPr>
          <w:rFonts w:ascii="Arial" w:hAnsi="Arial" w:cs="Arial"/>
          <w:sz w:val="24"/>
          <w:lang w:val="en-GB"/>
        </w:rPr>
        <w:t>1</w:t>
      </w:r>
      <w:r>
        <w:rPr>
          <w:rFonts w:ascii="Arial" w:hAnsi="Arial" w:cs="Arial"/>
          <w:sz w:val="24"/>
          <w:lang w:val="en-GB"/>
        </w:rPr>
        <w:t>6</w:t>
      </w:r>
      <w:r w:rsidRPr="001949FD">
        <w:rPr>
          <w:rFonts w:ascii="Arial" w:hAnsi="Arial" w:cs="Arial"/>
          <w:sz w:val="24"/>
          <w:lang w:val="en-GB"/>
        </w:rPr>
        <w:t>,1</w:t>
      </w:r>
      <w:r>
        <w:rPr>
          <w:rFonts w:ascii="Arial" w:hAnsi="Arial" w:cs="Arial"/>
          <w:sz w:val="24"/>
          <w:lang w:val="en-GB"/>
        </w:rPr>
        <w:t>8</w:t>
      </w:r>
      <w:r w:rsidRPr="001949FD">
        <w:rPr>
          <w:rFonts w:ascii="Arial" w:hAnsi="Arial" w:cs="Arial"/>
          <w:sz w:val="24"/>
          <w:lang w:val="en-GB"/>
        </w:rPr>
        <w:t>,</w:t>
      </w:r>
      <w:r>
        <w:rPr>
          <w:rFonts w:ascii="Arial" w:hAnsi="Arial" w:cs="Arial"/>
          <w:sz w:val="24"/>
          <w:lang w:val="en-GB"/>
        </w:rPr>
        <w:t>31</w:t>
      </w:r>
      <w:r w:rsidRPr="001949FD">
        <w:rPr>
          <w:rFonts w:ascii="Arial" w:hAnsi="Arial" w:cs="Arial"/>
          <w:sz w:val="24"/>
          <w:lang w:val="en-GB"/>
        </w:rPr>
        <w:t>,3</w:t>
      </w:r>
      <w:r>
        <w:rPr>
          <w:rFonts w:ascii="Arial" w:hAnsi="Arial" w:cs="Arial"/>
          <w:sz w:val="24"/>
          <w:lang w:val="en-GB"/>
        </w:rPr>
        <w:t>2</w:t>
      </w:r>
      <w:r w:rsidRPr="001949FD">
        <w:rPr>
          <w:rFonts w:ascii="Arial" w:hAnsi="Arial" w:cs="Arial"/>
          <w:sz w:val="24"/>
          <w:lang w:val="en-GB"/>
        </w:rPr>
        <w:t>,3</w:t>
      </w:r>
      <w:r>
        <w:rPr>
          <w:rFonts w:ascii="Arial" w:hAnsi="Arial" w:cs="Arial"/>
          <w:sz w:val="24"/>
          <w:lang w:val="en-GB"/>
        </w:rPr>
        <w:t>8</w:t>
      </w:r>
      <w:r w:rsidRPr="001949FD">
        <w:rPr>
          <w:rFonts w:ascii="Arial" w:hAnsi="Arial" w:cs="Arial"/>
          <w:sz w:val="24"/>
          <w:lang w:val="en-GB"/>
        </w:rPr>
        <w:t>,4</w:t>
      </w:r>
      <w:r>
        <w:rPr>
          <w:rFonts w:ascii="Arial" w:hAnsi="Arial" w:cs="Arial"/>
          <w:sz w:val="24"/>
          <w:lang w:val="en-GB"/>
        </w:rPr>
        <w:t>6</w:t>
      </w:r>
      <w:r w:rsidRPr="001949FD">
        <w:rPr>
          <w:rFonts w:ascii="Arial" w:hAnsi="Arial" w:cs="Arial"/>
          <w:sz w:val="24"/>
          <w:lang w:val="en-GB"/>
        </w:rPr>
        <w:t>,4</w:t>
      </w:r>
      <w:r>
        <w:rPr>
          <w:rFonts w:ascii="Arial" w:hAnsi="Arial" w:cs="Arial"/>
          <w:sz w:val="24"/>
          <w:lang w:val="en-GB"/>
        </w:rPr>
        <w:t>9]</w:t>
      </w:r>
      <w:r w:rsidRPr="00E16FB9">
        <w:rPr>
          <w:rFonts w:ascii="Arial" w:hAnsi="Arial" w:cs="Arial"/>
          <w:sz w:val="24"/>
          <w:lang w:val="en-GB"/>
        </w:rPr>
        <w:t>. Hence, we considered them to be of unclear risk of bias. We considered the four remaining studies (11%) to be of low risk</w:t>
      </w:r>
      <w:r>
        <w:rPr>
          <w:rFonts w:ascii="Arial" w:hAnsi="Arial" w:cs="Arial"/>
          <w:sz w:val="24"/>
          <w:lang w:val="en-GB"/>
        </w:rPr>
        <w:t xml:space="preserve"> [</w:t>
      </w:r>
      <w:r w:rsidRPr="001949FD">
        <w:rPr>
          <w:rFonts w:ascii="Arial" w:hAnsi="Arial" w:cs="Arial"/>
          <w:sz w:val="24"/>
          <w:lang w:val="en-GB"/>
        </w:rPr>
        <w:t>1</w:t>
      </w:r>
      <w:r>
        <w:rPr>
          <w:rFonts w:ascii="Arial" w:hAnsi="Arial" w:cs="Arial"/>
          <w:sz w:val="24"/>
          <w:lang w:val="en-GB"/>
        </w:rPr>
        <w:t>7</w:t>
      </w:r>
      <w:r w:rsidRPr="001949FD">
        <w:rPr>
          <w:rFonts w:ascii="Arial" w:hAnsi="Arial" w:cs="Arial"/>
          <w:sz w:val="24"/>
          <w:lang w:val="en-GB"/>
        </w:rPr>
        <w:t>,1</w:t>
      </w:r>
      <w:r>
        <w:rPr>
          <w:rFonts w:ascii="Arial" w:hAnsi="Arial" w:cs="Arial"/>
          <w:sz w:val="24"/>
          <w:lang w:val="en-GB"/>
        </w:rPr>
        <w:t>9</w:t>
      </w:r>
      <w:r w:rsidRPr="001949FD">
        <w:rPr>
          <w:rFonts w:ascii="Arial" w:hAnsi="Arial" w:cs="Arial"/>
          <w:sz w:val="24"/>
          <w:lang w:val="en-GB"/>
        </w:rPr>
        <w:t>,4</w:t>
      </w:r>
      <w:r>
        <w:rPr>
          <w:rFonts w:ascii="Arial" w:hAnsi="Arial" w:cs="Arial"/>
          <w:sz w:val="24"/>
          <w:lang w:val="en-GB"/>
        </w:rPr>
        <w:t>5</w:t>
      </w:r>
      <w:r w:rsidRPr="001949FD">
        <w:rPr>
          <w:rFonts w:ascii="Arial" w:hAnsi="Arial" w:cs="Arial"/>
          <w:sz w:val="24"/>
          <w:lang w:val="en-GB"/>
        </w:rPr>
        <w:t>,4</w:t>
      </w:r>
      <w:r>
        <w:rPr>
          <w:rFonts w:ascii="Arial" w:hAnsi="Arial" w:cs="Arial"/>
          <w:sz w:val="24"/>
          <w:lang w:val="en-GB"/>
        </w:rPr>
        <w:t>8]</w:t>
      </w:r>
      <w:r w:rsidRPr="00E16FB9">
        <w:rPr>
          <w:rFonts w:ascii="Arial" w:hAnsi="Arial" w:cs="Arial"/>
          <w:sz w:val="24"/>
          <w:lang w:val="en-GB"/>
        </w:rPr>
        <w:t xml:space="preserve">. </w:t>
      </w:r>
    </w:p>
    <w:p w14:paraId="4364194A" w14:textId="77777777" w:rsidR="00FB6BB6" w:rsidRPr="00E16FB9" w:rsidRDefault="00FB6BB6" w:rsidP="00FB6BB6">
      <w:pPr>
        <w:pStyle w:val="NoSpacing"/>
        <w:spacing w:line="480" w:lineRule="auto"/>
        <w:rPr>
          <w:rFonts w:ascii="Arial" w:hAnsi="Arial" w:cs="Arial"/>
          <w:sz w:val="24"/>
          <w:lang w:val="en-GB"/>
        </w:rPr>
      </w:pPr>
    </w:p>
    <w:p w14:paraId="722AFF0D" w14:textId="77777777" w:rsidR="00FB6BB6" w:rsidRPr="00E16FB9" w:rsidRDefault="00FB6BB6" w:rsidP="00FB6BB6">
      <w:pPr>
        <w:pStyle w:val="NoSpacing"/>
        <w:spacing w:line="480" w:lineRule="auto"/>
        <w:jc w:val="both"/>
        <w:rPr>
          <w:rFonts w:ascii="Arial" w:hAnsi="Arial" w:cs="Arial"/>
          <w:sz w:val="24"/>
          <w:lang w:val="en-GB"/>
        </w:rPr>
      </w:pPr>
      <w:r w:rsidRPr="00E16FB9">
        <w:rPr>
          <w:rFonts w:ascii="Arial" w:hAnsi="Arial" w:cs="Arial"/>
          <w:sz w:val="24"/>
          <w:lang w:val="en-GB"/>
        </w:rPr>
        <w:lastRenderedPageBreak/>
        <w:t>In the domain of the reference standard, no studies were considered to be of high risk. In 31 studies (89%), it was unclear if the results of the reference test were interpreted without knowledge of the index test</w:t>
      </w:r>
      <w:r>
        <w:rPr>
          <w:rFonts w:ascii="Arial" w:hAnsi="Arial" w:cs="Arial"/>
          <w:sz w:val="24"/>
          <w:lang w:val="en-GB"/>
        </w:rPr>
        <w:t xml:space="preserve"> [</w:t>
      </w:r>
      <w:r w:rsidRPr="001949FD">
        <w:rPr>
          <w:rFonts w:ascii="Arial" w:hAnsi="Arial" w:cs="Arial"/>
          <w:sz w:val="24"/>
          <w:lang w:val="en-GB"/>
        </w:rPr>
        <w:t>1</w:t>
      </w:r>
      <w:r>
        <w:rPr>
          <w:rFonts w:ascii="Arial" w:hAnsi="Arial" w:cs="Arial"/>
          <w:sz w:val="24"/>
          <w:lang w:val="en-GB"/>
        </w:rPr>
        <w:t>5</w:t>
      </w:r>
      <w:r w:rsidRPr="001949FD">
        <w:rPr>
          <w:rFonts w:ascii="Arial" w:hAnsi="Arial" w:cs="Arial"/>
          <w:sz w:val="24"/>
          <w:lang w:val="en-GB"/>
        </w:rPr>
        <w:t>,1</w:t>
      </w:r>
      <w:r>
        <w:rPr>
          <w:rFonts w:ascii="Arial" w:hAnsi="Arial" w:cs="Arial"/>
          <w:sz w:val="24"/>
          <w:lang w:val="en-GB"/>
        </w:rPr>
        <w:t>7</w:t>
      </w:r>
      <w:r w:rsidRPr="001949FD">
        <w:rPr>
          <w:rFonts w:ascii="Arial" w:hAnsi="Arial" w:cs="Arial"/>
          <w:sz w:val="24"/>
          <w:lang w:val="en-GB"/>
        </w:rPr>
        <w:t>–2</w:t>
      </w:r>
      <w:r>
        <w:rPr>
          <w:rFonts w:ascii="Arial" w:hAnsi="Arial" w:cs="Arial"/>
          <w:sz w:val="24"/>
          <w:lang w:val="en-GB"/>
        </w:rPr>
        <w:t>3</w:t>
      </w:r>
      <w:r w:rsidRPr="001949FD">
        <w:rPr>
          <w:rFonts w:ascii="Arial" w:hAnsi="Arial" w:cs="Arial"/>
          <w:sz w:val="24"/>
          <w:lang w:val="en-GB"/>
        </w:rPr>
        <w:t>,2</w:t>
      </w:r>
      <w:r>
        <w:rPr>
          <w:rFonts w:ascii="Arial" w:hAnsi="Arial" w:cs="Arial"/>
          <w:sz w:val="24"/>
          <w:lang w:val="en-GB"/>
        </w:rPr>
        <w:t>5</w:t>
      </w:r>
      <w:r w:rsidRPr="001949FD">
        <w:rPr>
          <w:rFonts w:ascii="Arial" w:hAnsi="Arial" w:cs="Arial"/>
          <w:sz w:val="24"/>
          <w:lang w:val="en-GB"/>
        </w:rPr>
        <w:t>–3</w:t>
      </w:r>
      <w:r>
        <w:rPr>
          <w:rFonts w:ascii="Arial" w:hAnsi="Arial" w:cs="Arial"/>
          <w:sz w:val="24"/>
          <w:lang w:val="en-GB"/>
        </w:rPr>
        <w:t>2</w:t>
      </w:r>
      <w:r w:rsidRPr="001949FD">
        <w:rPr>
          <w:rFonts w:ascii="Arial" w:hAnsi="Arial" w:cs="Arial"/>
          <w:sz w:val="24"/>
          <w:lang w:val="en-GB"/>
        </w:rPr>
        <w:t>,3</w:t>
      </w:r>
      <w:r>
        <w:rPr>
          <w:rFonts w:ascii="Arial" w:hAnsi="Arial" w:cs="Arial"/>
          <w:sz w:val="24"/>
          <w:lang w:val="en-GB"/>
        </w:rPr>
        <w:t>5</w:t>
      </w:r>
      <w:r w:rsidRPr="001949FD">
        <w:rPr>
          <w:rFonts w:ascii="Arial" w:hAnsi="Arial" w:cs="Arial"/>
          <w:sz w:val="24"/>
          <w:lang w:val="en-GB"/>
        </w:rPr>
        <w:t>–4</w:t>
      </w:r>
      <w:r>
        <w:rPr>
          <w:rFonts w:ascii="Arial" w:hAnsi="Arial" w:cs="Arial"/>
          <w:sz w:val="24"/>
          <w:lang w:val="en-GB"/>
        </w:rPr>
        <w:t>9]</w:t>
      </w:r>
      <w:r w:rsidRPr="00E16FB9">
        <w:rPr>
          <w:rFonts w:ascii="Arial" w:hAnsi="Arial" w:cs="Arial"/>
          <w:sz w:val="24"/>
          <w:lang w:val="en-GB"/>
        </w:rPr>
        <w:t>. All four remaining studies (11%) were considered to be of low risk of bias</w:t>
      </w:r>
      <w:r>
        <w:rPr>
          <w:rFonts w:ascii="Arial" w:hAnsi="Arial" w:cs="Arial"/>
          <w:sz w:val="24"/>
          <w:lang w:val="en-GB"/>
        </w:rPr>
        <w:t xml:space="preserve"> [</w:t>
      </w:r>
      <w:r w:rsidRPr="001949FD">
        <w:rPr>
          <w:rFonts w:ascii="Arial" w:hAnsi="Arial" w:cs="Arial"/>
          <w:sz w:val="24"/>
          <w:lang w:val="en-GB"/>
        </w:rPr>
        <w:t>1</w:t>
      </w:r>
      <w:r>
        <w:rPr>
          <w:rFonts w:ascii="Arial" w:hAnsi="Arial" w:cs="Arial"/>
          <w:sz w:val="24"/>
          <w:lang w:val="en-GB"/>
        </w:rPr>
        <w:t>6</w:t>
      </w:r>
      <w:r w:rsidRPr="001949FD">
        <w:rPr>
          <w:rFonts w:ascii="Arial" w:hAnsi="Arial" w:cs="Arial"/>
          <w:sz w:val="24"/>
          <w:lang w:val="en-GB"/>
        </w:rPr>
        <w:t>,2</w:t>
      </w:r>
      <w:r>
        <w:rPr>
          <w:rFonts w:ascii="Arial" w:hAnsi="Arial" w:cs="Arial"/>
          <w:sz w:val="24"/>
          <w:lang w:val="en-GB"/>
        </w:rPr>
        <w:t>4</w:t>
      </w:r>
      <w:r w:rsidRPr="001949FD">
        <w:rPr>
          <w:rFonts w:ascii="Arial" w:hAnsi="Arial" w:cs="Arial"/>
          <w:sz w:val="24"/>
          <w:lang w:val="en-GB"/>
        </w:rPr>
        <w:t>,3</w:t>
      </w:r>
      <w:r>
        <w:rPr>
          <w:rFonts w:ascii="Arial" w:hAnsi="Arial" w:cs="Arial"/>
          <w:sz w:val="24"/>
          <w:lang w:val="en-GB"/>
        </w:rPr>
        <w:t>3</w:t>
      </w:r>
      <w:r w:rsidRPr="001949FD">
        <w:rPr>
          <w:rFonts w:ascii="Arial" w:hAnsi="Arial" w:cs="Arial"/>
          <w:sz w:val="24"/>
          <w:lang w:val="en-GB"/>
        </w:rPr>
        <w:t>,3</w:t>
      </w:r>
      <w:r>
        <w:rPr>
          <w:rFonts w:ascii="Arial" w:hAnsi="Arial" w:cs="Arial"/>
          <w:sz w:val="24"/>
          <w:lang w:val="en-GB"/>
        </w:rPr>
        <w:t>4]</w:t>
      </w:r>
      <w:r w:rsidRPr="00E16FB9">
        <w:rPr>
          <w:rFonts w:ascii="Arial" w:hAnsi="Arial" w:cs="Arial"/>
          <w:sz w:val="24"/>
          <w:lang w:val="en-GB"/>
        </w:rPr>
        <w:t xml:space="preserve">. </w:t>
      </w:r>
    </w:p>
    <w:p w14:paraId="76878763" w14:textId="77777777" w:rsidR="00FB6BB6" w:rsidRPr="00E16FB9" w:rsidRDefault="00FB6BB6" w:rsidP="00FB6BB6">
      <w:pPr>
        <w:pStyle w:val="NoSpacing"/>
        <w:spacing w:line="480" w:lineRule="auto"/>
        <w:rPr>
          <w:rFonts w:ascii="Arial" w:hAnsi="Arial" w:cs="Arial"/>
          <w:sz w:val="24"/>
          <w:lang w:val="en-GB"/>
        </w:rPr>
      </w:pPr>
    </w:p>
    <w:p w14:paraId="4861CFEF" w14:textId="56CF459C" w:rsidR="00FB6BB6" w:rsidRPr="00E16FB9" w:rsidRDefault="00FB6BB6" w:rsidP="00FB6BB6">
      <w:pPr>
        <w:pStyle w:val="NoSpacing"/>
        <w:spacing w:line="480" w:lineRule="auto"/>
        <w:jc w:val="both"/>
        <w:rPr>
          <w:rFonts w:ascii="Arial" w:hAnsi="Arial" w:cs="Arial"/>
          <w:sz w:val="24"/>
          <w:lang w:val="en-GB"/>
        </w:rPr>
      </w:pPr>
      <w:r w:rsidRPr="00E16FB9">
        <w:rPr>
          <w:rFonts w:ascii="Arial" w:hAnsi="Arial" w:cs="Arial"/>
          <w:sz w:val="24"/>
          <w:lang w:val="en-GB"/>
        </w:rPr>
        <w:t>Finally, in the flow and timing domain, 21 studies (60%) were considered to be of high risk of bias, because not all patients received the same reference standard</w:t>
      </w:r>
      <w:r>
        <w:rPr>
          <w:rFonts w:ascii="Arial" w:hAnsi="Arial" w:cs="Arial"/>
          <w:sz w:val="24"/>
          <w:lang w:val="en-GB"/>
        </w:rPr>
        <w:t xml:space="preserve"> [</w:t>
      </w:r>
      <w:r w:rsidRPr="001949FD">
        <w:rPr>
          <w:rFonts w:ascii="Arial" w:hAnsi="Arial" w:cs="Arial"/>
          <w:sz w:val="24"/>
          <w:lang w:val="en-GB"/>
        </w:rPr>
        <w:t>1</w:t>
      </w:r>
      <w:r>
        <w:rPr>
          <w:rFonts w:ascii="Arial" w:hAnsi="Arial" w:cs="Arial"/>
          <w:sz w:val="24"/>
          <w:lang w:val="en-GB"/>
        </w:rPr>
        <w:t>8</w:t>
      </w:r>
      <w:r w:rsidRPr="001949FD">
        <w:rPr>
          <w:rFonts w:ascii="Arial" w:hAnsi="Arial" w:cs="Arial"/>
          <w:sz w:val="24"/>
          <w:lang w:val="en-GB"/>
        </w:rPr>
        <w:t>–</w:t>
      </w:r>
      <w:r>
        <w:rPr>
          <w:rFonts w:ascii="Arial" w:hAnsi="Arial" w:cs="Arial"/>
          <w:sz w:val="24"/>
          <w:lang w:val="en-GB"/>
        </w:rPr>
        <w:t>21</w:t>
      </w:r>
      <w:r w:rsidRPr="001949FD">
        <w:rPr>
          <w:rFonts w:ascii="Arial" w:hAnsi="Arial" w:cs="Arial"/>
          <w:sz w:val="24"/>
          <w:lang w:val="en-GB"/>
        </w:rPr>
        <w:t>,2</w:t>
      </w:r>
      <w:r>
        <w:rPr>
          <w:rFonts w:ascii="Arial" w:hAnsi="Arial" w:cs="Arial"/>
          <w:sz w:val="24"/>
          <w:lang w:val="en-GB"/>
        </w:rPr>
        <w:t>7</w:t>
      </w:r>
      <w:r w:rsidRPr="001949FD">
        <w:rPr>
          <w:rFonts w:ascii="Arial" w:hAnsi="Arial" w:cs="Arial"/>
          <w:sz w:val="24"/>
          <w:lang w:val="en-GB"/>
        </w:rPr>
        <w:t>–3</w:t>
      </w:r>
      <w:r>
        <w:rPr>
          <w:rFonts w:ascii="Arial" w:hAnsi="Arial" w:cs="Arial"/>
          <w:sz w:val="24"/>
          <w:lang w:val="en-GB"/>
        </w:rPr>
        <w:t>2</w:t>
      </w:r>
      <w:r w:rsidRPr="001949FD">
        <w:rPr>
          <w:rFonts w:ascii="Arial" w:hAnsi="Arial" w:cs="Arial"/>
          <w:sz w:val="24"/>
          <w:lang w:val="en-GB"/>
        </w:rPr>
        <w:t>,3</w:t>
      </w:r>
      <w:r>
        <w:rPr>
          <w:rFonts w:ascii="Arial" w:hAnsi="Arial" w:cs="Arial"/>
          <w:sz w:val="24"/>
          <w:lang w:val="en-GB"/>
        </w:rPr>
        <w:t>5</w:t>
      </w:r>
      <w:r w:rsidRPr="001949FD">
        <w:rPr>
          <w:rFonts w:ascii="Arial" w:hAnsi="Arial" w:cs="Arial"/>
          <w:sz w:val="24"/>
          <w:lang w:val="en-GB"/>
        </w:rPr>
        <w:t>,3</w:t>
      </w:r>
      <w:r>
        <w:rPr>
          <w:rFonts w:ascii="Arial" w:hAnsi="Arial" w:cs="Arial"/>
          <w:sz w:val="24"/>
          <w:lang w:val="en-GB"/>
        </w:rPr>
        <w:t>6,40</w:t>
      </w:r>
      <w:r w:rsidRPr="001949FD">
        <w:rPr>
          <w:rFonts w:ascii="Arial" w:hAnsi="Arial" w:cs="Arial"/>
          <w:sz w:val="24"/>
          <w:lang w:val="en-GB"/>
        </w:rPr>
        <w:t>,4</w:t>
      </w:r>
      <w:r>
        <w:rPr>
          <w:rFonts w:ascii="Arial" w:hAnsi="Arial" w:cs="Arial"/>
          <w:sz w:val="24"/>
          <w:lang w:val="en-GB"/>
        </w:rPr>
        <w:t>2</w:t>
      </w:r>
      <w:r w:rsidRPr="001949FD">
        <w:rPr>
          <w:rFonts w:ascii="Arial" w:hAnsi="Arial" w:cs="Arial"/>
          <w:sz w:val="24"/>
          <w:lang w:val="en-GB"/>
        </w:rPr>
        <w:t>–4</w:t>
      </w:r>
      <w:r>
        <w:rPr>
          <w:rFonts w:ascii="Arial" w:hAnsi="Arial" w:cs="Arial"/>
          <w:sz w:val="24"/>
          <w:lang w:val="en-GB"/>
        </w:rPr>
        <w:t>9]</w:t>
      </w:r>
      <w:r w:rsidRPr="00E16FB9">
        <w:rPr>
          <w:rFonts w:ascii="Arial" w:hAnsi="Arial" w:cs="Arial"/>
          <w:sz w:val="24"/>
          <w:lang w:val="en-GB"/>
        </w:rPr>
        <w:t>. Two studies (6%) did not specify the interval between the index test and reference standard and were</w:t>
      </w:r>
      <w:r w:rsidR="00B439EF">
        <w:rPr>
          <w:rFonts w:ascii="Arial" w:hAnsi="Arial" w:cs="Arial"/>
          <w:sz w:val="24"/>
          <w:lang w:val="en-GB"/>
        </w:rPr>
        <w:t>,</w:t>
      </w:r>
      <w:r w:rsidRPr="00E16FB9">
        <w:rPr>
          <w:rFonts w:ascii="Arial" w:hAnsi="Arial" w:cs="Arial"/>
          <w:sz w:val="24"/>
          <w:lang w:val="en-GB"/>
        </w:rPr>
        <w:t xml:space="preserve"> therefore</w:t>
      </w:r>
      <w:r w:rsidR="00B439EF">
        <w:rPr>
          <w:rFonts w:ascii="Arial" w:hAnsi="Arial" w:cs="Arial"/>
          <w:sz w:val="24"/>
          <w:lang w:val="en-GB"/>
        </w:rPr>
        <w:t>,</w:t>
      </w:r>
      <w:r w:rsidRPr="00E16FB9">
        <w:rPr>
          <w:rFonts w:ascii="Arial" w:hAnsi="Arial" w:cs="Arial"/>
          <w:sz w:val="24"/>
          <w:lang w:val="en-GB"/>
        </w:rPr>
        <w:t xml:space="preserve"> regarded to have an unclear risk of bias</w:t>
      </w:r>
      <w:r>
        <w:rPr>
          <w:rFonts w:ascii="Arial" w:hAnsi="Arial" w:cs="Arial"/>
          <w:sz w:val="24"/>
          <w:lang w:val="en-GB"/>
        </w:rPr>
        <w:t xml:space="preserve"> [</w:t>
      </w:r>
      <w:r w:rsidRPr="001949FD">
        <w:rPr>
          <w:rFonts w:ascii="Arial" w:hAnsi="Arial" w:cs="Arial"/>
          <w:sz w:val="24"/>
          <w:lang w:val="en-GB"/>
        </w:rPr>
        <w:t>2</w:t>
      </w:r>
      <w:r>
        <w:rPr>
          <w:rFonts w:ascii="Arial" w:hAnsi="Arial" w:cs="Arial"/>
          <w:sz w:val="24"/>
          <w:lang w:val="en-GB"/>
        </w:rPr>
        <w:t>3</w:t>
      </w:r>
      <w:r w:rsidRPr="001949FD">
        <w:rPr>
          <w:rFonts w:ascii="Arial" w:hAnsi="Arial" w:cs="Arial"/>
          <w:sz w:val="24"/>
          <w:lang w:val="en-GB"/>
        </w:rPr>
        <w:t>,3</w:t>
      </w:r>
      <w:r>
        <w:rPr>
          <w:rFonts w:ascii="Arial" w:hAnsi="Arial" w:cs="Arial"/>
          <w:sz w:val="24"/>
          <w:lang w:val="en-GB"/>
        </w:rPr>
        <w:t>7]</w:t>
      </w:r>
      <w:r w:rsidRPr="00E16FB9">
        <w:rPr>
          <w:rFonts w:ascii="Arial" w:hAnsi="Arial" w:cs="Arial"/>
          <w:sz w:val="24"/>
          <w:lang w:val="en-GB"/>
        </w:rPr>
        <w:t>. The other 12 studies (34%) showed a low risk of bias</w:t>
      </w:r>
      <w:r>
        <w:rPr>
          <w:rFonts w:ascii="Arial" w:hAnsi="Arial" w:cs="Arial"/>
          <w:sz w:val="24"/>
          <w:lang w:val="en-GB"/>
        </w:rPr>
        <w:t xml:space="preserve"> [</w:t>
      </w:r>
      <w:r w:rsidRPr="001949FD">
        <w:rPr>
          <w:rFonts w:ascii="Arial" w:hAnsi="Arial" w:cs="Arial"/>
          <w:sz w:val="24"/>
          <w:lang w:val="en-GB"/>
        </w:rPr>
        <w:t>1</w:t>
      </w:r>
      <w:r>
        <w:rPr>
          <w:rFonts w:ascii="Arial" w:hAnsi="Arial" w:cs="Arial"/>
          <w:sz w:val="24"/>
          <w:lang w:val="en-GB"/>
        </w:rPr>
        <w:t>5</w:t>
      </w:r>
      <w:r w:rsidRPr="001949FD">
        <w:rPr>
          <w:rFonts w:ascii="Arial" w:hAnsi="Arial" w:cs="Arial"/>
          <w:sz w:val="24"/>
          <w:lang w:val="en-GB"/>
        </w:rPr>
        <w:t>–1</w:t>
      </w:r>
      <w:r>
        <w:rPr>
          <w:rFonts w:ascii="Arial" w:hAnsi="Arial" w:cs="Arial"/>
          <w:sz w:val="24"/>
          <w:lang w:val="en-GB"/>
        </w:rPr>
        <w:t>7</w:t>
      </w:r>
      <w:r w:rsidRPr="001949FD">
        <w:rPr>
          <w:rFonts w:ascii="Arial" w:hAnsi="Arial" w:cs="Arial"/>
          <w:sz w:val="24"/>
          <w:lang w:val="en-GB"/>
        </w:rPr>
        <w:t>,2</w:t>
      </w:r>
      <w:r>
        <w:rPr>
          <w:rFonts w:ascii="Arial" w:hAnsi="Arial" w:cs="Arial"/>
          <w:sz w:val="24"/>
          <w:lang w:val="en-GB"/>
        </w:rPr>
        <w:t>2</w:t>
      </w:r>
      <w:r w:rsidRPr="001949FD">
        <w:rPr>
          <w:rFonts w:ascii="Arial" w:hAnsi="Arial" w:cs="Arial"/>
          <w:sz w:val="24"/>
          <w:lang w:val="en-GB"/>
        </w:rPr>
        <w:t>,2</w:t>
      </w:r>
      <w:r>
        <w:rPr>
          <w:rFonts w:ascii="Arial" w:hAnsi="Arial" w:cs="Arial"/>
          <w:sz w:val="24"/>
          <w:lang w:val="en-GB"/>
        </w:rPr>
        <w:t>4</w:t>
      </w:r>
      <w:r w:rsidRPr="001949FD">
        <w:rPr>
          <w:rFonts w:ascii="Arial" w:hAnsi="Arial" w:cs="Arial"/>
          <w:sz w:val="24"/>
          <w:lang w:val="en-GB"/>
        </w:rPr>
        <w:t>–2</w:t>
      </w:r>
      <w:r>
        <w:rPr>
          <w:rFonts w:ascii="Arial" w:hAnsi="Arial" w:cs="Arial"/>
          <w:sz w:val="24"/>
          <w:lang w:val="en-GB"/>
        </w:rPr>
        <w:t>6</w:t>
      </w:r>
      <w:r w:rsidRPr="001949FD">
        <w:rPr>
          <w:rFonts w:ascii="Arial" w:hAnsi="Arial" w:cs="Arial"/>
          <w:sz w:val="24"/>
          <w:lang w:val="en-GB"/>
        </w:rPr>
        <w:t>,3</w:t>
      </w:r>
      <w:r>
        <w:rPr>
          <w:rFonts w:ascii="Arial" w:hAnsi="Arial" w:cs="Arial"/>
          <w:sz w:val="24"/>
          <w:lang w:val="en-GB"/>
        </w:rPr>
        <w:t>3</w:t>
      </w:r>
      <w:r w:rsidRPr="001949FD">
        <w:rPr>
          <w:rFonts w:ascii="Arial" w:hAnsi="Arial" w:cs="Arial"/>
          <w:sz w:val="24"/>
          <w:lang w:val="en-GB"/>
        </w:rPr>
        <w:t>,3</w:t>
      </w:r>
      <w:r>
        <w:rPr>
          <w:rFonts w:ascii="Arial" w:hAnsi="Arial" w:cs="Arial"/>
          <w:sz w:val="24"/>
          <w:lang w:val="en-GB"/>
        </w:rPr>
        <w:t>4</w:t>
      </w:r>
      <w:r w:rsidRPr="001949FD">
        <w:rPr>
          <w:rFonts w:ascii="Arial" w:hAnsi="Arial" w:cs="Arial"/>
          <w:sz w:val="24"/>
          <w:lang w:val="en-GB"/>
        </w:rPr>
        <w:t>,3</w:t>
      </w:r>
      <w:r>
        <w:rPr>
          <w:rFonts w:ascii="Arial" w:hAnsi="Arial" w:cs="Arial"/>
          <w:sz w:val="24"/>
          <w:lang w:val="en-GB"/>
        </w:rPr>
        <w:t>8</w:t>
      </w:r>
      <w:r w:rsidRPr="001949FD">
        <w:rPr>
          <w:rFonts w:ascii="Arial" w:hAnsi="Arial" w:cs="Arial"/>
          <w:sz w:val="24"/>
          <w:lang w:val="en-GB"/>
        </w:rPr>
        <w:t>,3</w:t>
      </w:r>
      <w:r>
        <w:rPr>
          <w:rFonts w:ascii="Arial" w:hAnsi="Arial" w:cs="Arial"/>
          <w:sz w:val="24"/>
          <w:lang w:val="en-GB"/>
        </w:rPr>
        <w:t>9</w:t>
      </w:r>
      <w:r w:rsidRPr="001949FD">
        <w:rPr>
          <w:rFonts w:ascii="Arial" w:hAnsi="Arial" w:cs="Arial"/>
          <w:sz w:val="24"/>
          <w:lang w:val="en-GB"/>
        </w:rPr>
        <w:t>,</w:t>
      </w:r>
      <w:r>
        <w:rPr>
          <w:rFonts w:ascii="Arial" w:hAnsi="Arial" w:cs="Arial"/>
          <w:sz w:val="24"/>
          <w:lang w:val="en-GB"/>
        </w:rPr>
        <w:t>41]</w:t>
      </w:r>
      <w:r w:rsidRPr="00E16FB9">
        <w:rPr>
          <w:rFonts w:ascii="Arial" w:hAnsi="Arial" w:cs="Arial"/>
          <w:sz w:val="24"/>
          <w:lang w:val="en-GB"/>
        </w:rPr>
        <w:t>.</w:t>
      </w:r>
    </w:p>
    <w:p w14:paraId="6B72DE1C" w14:textId="77777777" w:rsidR="00FB6BB6" w:rsidRPr="00E16FB9" w:rsidRDefault="00FB6BB6" w:rsidP="00FB6BB6">
      <w:pPr>
        <w:pStyle w:val="NoSpacing"/>
        <w:tabs>
          <w:tab w:val="left" w:pos="3460"/>
        </w:tabs>
        <w:spacing w:line="480" w:lineRule="auto"/>
        <w:rPr>
          <w:rFonts w:ascii="Arial" w:hAnsi="Arial" w:cs="Arial"/>
          <w:sz w:val="24"/>
          <w:lang w:val="en-GB"/>
        </w:rPr>
      </w:pPr>
      <w:r>
        <w:rPr>
          <w:rFonts w:ascii="Arial" w:hAnsi="Arial" w:cs="Arial"/>
          <w:sz w:val="24"/>
          <w:lang w:val="en-GB"/>
        </w:rPr>
        <w:tab/>
      </w:r>
    </w:p>
    <w:p w14:paraId="30BFD3A8" w14:textId="77777777" w:rsidR="00FB6BB6" w:rsidRPr="00E16FB9" w:rsidRDefault="00FB6BB6" w:rsidP="00FB6BB6">
      <w:pPr>
        <w:pStyle w:val="NoSpacing"/>
        <w:spacing w:line="480" w:lineRule="auto"/>
        <w:jc w:val="both"/>
        <w:rPr>
          <w:rFonts w:ascii="Arial" w:hAnsi="Arial" w:cs="Arial"/>
          <w:sz w:val="24"/>
          <w:lang w:val="en-GB"/>
        </w:rPr>
      </w:pPr>
      <w:r w:rsidRPr="00E16FB9">
        <w:rPr>
          <w:rFonts w:ascii="Arial" w:hAnsi="Arial" w:cs="Arial"/>
          <w:sz w:val="24"/>
          <w:lang w:val="en-GB"/>
        </w:rPr>
        <w:t>All studies showed high risk of bias in at least one of the four domains with the exception of two studies. One study was considered to be of low risk of bias in all domains except the reference standard domain where it showed an unclear risk</w:t>
      </w:r>
      <w:r>
        <w:rPr>
          <w:rFonts w:ascii="Arial" w:hAnsi="Arial" w:cs="Arial"/>
          <w:sz w:val="24"/>
          <w:lang w:val="en-GB"/>
        </w:rPr>
        <w:t xml:space="preserve"> [15]</w:t>
      </w:r>
      <w:r w:rsidRPr="00E16FB9">
        <w:rPr>
          <w:rFonts w:ascii="Arial" w:hAnsi="Arial" w:cs="Arial"/>
          <w:sz w:val="24"/>
          <w:lang w:val="en-GB"/>
        </w:rPr>
        <w:t>. Another study was considered to be of low risk of bias in two out of four domains, but showed an unclear risk in the patient selection domain and the index text domain</w:t>
      </w:r>
      <w:r>
        <w:rPr>
          <w:rFonts w:ascii="Arial" w:hAnsi="Arial" w:cs="Arial"/>
          <w:sz w:val="24"/>
          <w:lang w:val="en-GB"/>
        </w:rPr>
        <w:t xml:space="preserve"> [14]</w:t>
      </w:r>
      <w:r w:rsidRPr="00E16FB9">
        <w:rPr>
          <w:rFonts w:ascii="Arial" w:hAnsi="Arial" w:cs="Arial"/>
          <w:sz w:val="24"/>
          <w:lang w:val="en-GB"/>
        </w:rPr>
        <w:t xml:space="preserve">. Overall, study quality can therefore be regarded as moderate.  </w:t>
      </w:r>
    </w:p>
    <w:p w14:paraId="4A2794B2" w14:textId="77777777" w:rsidR="00FB6BB6" w:rsidRPr="00E16FB9" w:rsidRDefault="00FB6BB6" w:rsidP="00FB6BB6">
      <w:pPr>
        <w:pStyle w:val="NoSpacing"/>
        <w:spacing w:line="480" w:lineRule="auto"/>
        <w:rPr>
          <w:rFonts w:ascii="Arial" w:hAnsi="Arial" w:cs="Arial"/>
          <w:sz w:val="24"/>
          <w:lang w:val="en-GB"/>
        </w:rPr>
      </w:pPr>
    </w:p>
    <w:p w14:paraId="6B804122" w14:textId="467E782B" w:rsidR="00FB6BB6" w:rsidRPr="00E16FB9" w:rsidRDefault="00FB6BB6" w:rsidP="00FB6BB6">
      <w:pPr>
        <w:pStyle w:val="NoSpacing"/>
        <w:spacing w:line="480" w:lineRule="auto"/>
        <w:jc w:val="both"/>
        <w:rPr>
          <w:rFonts w:ascii="Arial" w:hAnsi="Arial" w:cs="Arial"/>
          <w:sz w:val="24"/>
          <w:lang w:val="en-GB"/>
        </w:rPr>
      </w:pPr>
      <w:r w:rsidRPr="00E16FB9">
        <w:rPr>
          <w:rFonts w:ascii="Arial" w:hAnsi="Arial" w:cs="Arial"/>
          <w:sz w:val="24"/>
          <w:lang w:val="en-GB"/>
        </w:rPr>
        <w:t>Regarding the applicability assessment</w:t>
      </w:r>
      <w:r w:rsidR="00B439EF">
        <w:rPr>
          <w:rFonts w:ascii="Arial" w:hAnsi="Arial" w:cs="Arial"/>
          <w:sz w:val="24"/>
          <w:lang w:val="en-GB"/>
        </w:rPr>
        <w:t>,</w:t>
      </w:r>
      <w:r w:rsidRPr="00E16FB9">
        <w:rPr>
          <w:rFonts w:ascii="Arial" w:hAnsi="Arial" w:cs="Arial"/>
          <w:sz w:val="24"/>
          <w:lang w:val="en-GB"/>
        </w:rPr>
        <w:t xml:space="preserve"> we had limited concerns that the included patients and setting matched our review question in six studies</w:t>
      </w:r>
      <w:r>
        <w:rPr>
          <w:rFonts w:ascii="Arial" w:hAnsi="Arial" w:cs="Arial"/>
          <w:sz w:val="24"/>
          <w:lang w:val="en-GB"/>
        </w:rPr>
        <w:t xml:space="preserve"> [</w:t>
      </w:r>
      <w:r w:rsidRPr="001949FD">
        <w:rPr>
          <w:rFonts w:ascii="Arial" w:hAnsi="Arial" w:cs="Arial"/>
          <w:sz w:val="24"/>
          <w:lang w:val="en-GB"/>
        </w:rPr>
        <w:t>1</w:t>
      </w:r>
      <w:r>
        <w:rPr>
          <w:rFonts w:ascii="Arial" w:hAnsi="Arial" w:cs="Arial"/>
          <w:sz w:val="24"/>
          <w:lang w:val="en-GB"/>
        </w:rPr>
        <w:t>7</w:t>
      </w:r>
      <w:r w:rsidRPr="001949FD">
        <w:rPr>
          <w:rFonts w:ascii="Arial" w:hAnsi="Arial" w:cs="Arial"/>
          <w:sz w:val="24"/>
          <w:lang w:val="en-GB"/>
        </w:rPr>
        <w:t>–1</w:t>
      </w:r>
      <w:r>
        <w:rPr>
          <w:rFonts w:ascii="Arial" w:hAnsi="Arial" w:cs="Arial"/>
          <w:sz w:val="24"/>
          <w:lang w:val="en-GB"/>
        </w:rPr>
        <w:t>9</w:t>
      </w:r>
      <w:r w:rsidRPr="001949FD">
        <w:rPr>
          <w:rFonts w:ascii="Arial" w:hAnsi="Arial" w:cs="Arial"/>
          <w:sz w:val="24"/>
          <w:lang w:val="en-GB"/>
        </w:rPr>
        <w:t>,3</w:t>
      </w:r>
      <w:r>
        <w:rPr>
          <w:rFonts w:ascii="Arial" w:hAnsi="Arial" w:cs="Arial"/>
          <w:sz w:val="24"/>
          <w:lang w:val="en-GB"/>
        </w:rPr>
        <w:t>8,40</w:t>
      </w:r>
      <w:r w:rsidRPr="001949FD">
        <w:rPr>
          <w:rFonts w:ascii="Arial" w:hAnsi="Arial" w:cs="Arial"/>
          <w:sz w:val="24"/>
          <w:lang w:val="en-GB"/>
        </w:rPr>
        <w:t>,4</w:t>
      </w:r>
      <w:r>
        <w:rPr>
          <w:rFonts w:ascii="Arial" w:hAnsi="Arial" w:cs="Arial"/>
          <w:sz w:val="24"/>
          <w:lang w:val="en-GB"/>
        </w:rPr>
        <w:t>9]</w:t>
      </w:r>
      <w:r w:rsidRPr="00E16FB9">
        <w:rPr>
          <w:rFonts w:ascii="Arial" w:hAnsi="Arial" w:cs="Arial"/>
          <w:sz w:val="24"/>
          <w:lang w:val="en-GB"/>
        </w:rPr>
        <w:t>.</w:t>
      </w:r>
      <w:r w:rsidRPr="00E16FB9">
        <w:rPr>
          <w:rFonts w:ascii="Arial" w:hAnsi="Arial" w:cs="Arial"/>
          <w:sz w:val="24"/>
          <w:vertAlign w:val="superscript"/>
          <w:lang w:val="en-GB"/>
        </w:rPr>
        <w:t xml:space="preserve"> </w:t>
      </w:r>
      <w:r w:rsidRPr="00E16FB9">
        <w:rPr>
          <w:rFonts w:ascii="Arial" w:hAnsi="Arial" w:cs="Arial"/>
          <w:sz w:val="24"/>
          <w:lang w:val="en-GB"/>
        </w:rPr>
        <w:t>In one study, patients &lt;18 years of age (range 9</w:t>
      </w:r>
      <w:r>
        <w:rPr>
          <w:rFonts w:ascii="Arial" w:hAnsi="Arial" w:cs="Arial"/>
          <w:sz w:val="24"/>
          <w:lang w:val="en-GB"/>
        </w:rPr>
        <w:t>–</w:t>
      </w:r>
      <w:r w:rsidRPr="00E16FB9">
        <w:rPr>
          <w:rFonts w:ascii="Arial" w:hAnsi="Arial" w:cs="Arial"/>
          <w:sz w:val="24"/>
          <w:lang w:val="en-GB"/>
        </w:rPr>
        <w:t>84) were included in the cohort of patients</w:t>
      </w:r>
      <w:r>
        <w:rPr>
          <w:rFonts w:ascii="Arial" w:hAnsi="Arial" w:cs="Arial"/>
          <w:sz w:val="24"/>
          <w:lang w:val="en-GB"/>
        </w:rPr>
        <w:t xml:space="preserve"> [19]</w:t>
      </w:r>
      <w:r w:rsidRPr="00E16FB9">
        <w:rPr>
          <w:rFonts w:ascii="Arial" w:hAnsi="Arial" w:cs="Arial"/>
          <w:sz w:val="24"/>
          <w:lang w:val="en-GB"/>
        </w:rPr>
        <w:t>. For an additional five studies we had concerns regarding the received therapy. In one case the authors did not mention the administration of chemotherapy</w:t>
      </w:r>
      <w:r>
        <w:rPr>
          <w:rFonts w:ascii="Arial" w:hAnsi="Arial" w:cs="Arial"/>
          <w:sz w:val="24"/>
          <w:lang w:val="en-GB"/>
        </w:rPr>
        <w:t xml:space="preserve"> [49]</w:t>
      </w:r>
      <w:r w:rsidRPr="00E16FB9">
        <w:rPr>
          <w:rFonts w:ascii="Arial" w:hAnsi="Arial" w:cs="Arial"/>
          <w:sz w:val="24"/>
          <w:lang w:val="en-GB"/>
        </w:rPr>
        <w:t>. In four studies</w:t>
      </w:r>
      <w:r w:rsidR="00B439EF">
        <w:rPr>
          <w:rFonts w:ascii="Arial" w:hAnsi="Arial" w:cs="Arial"/>
          <w:sz w:val="24"/>
          <w:lang w:val="en-GB"/>
        </w:rPr>
        <w:t>,</w:t>
      </w:r>
      <w:bookmarkStart w:id="0" w:name="_GoBack"/>
      <w:bookmarkEnd w:id="0"/>
      <w:r w:rsidRPr="00E16FB9">
        <w:rPr>
          <w:rFonts w:ascii="Arial" w:hAnsi="Arial" w:cs="Arial"/>
          <w:sz w:val="24"/>
          <w:lang w:val="en-GB"/>
        </w:rPr>
        <w:t xml:space="preserve"> other chemotherapy agents besides TMZ, such as bevacizumab</w:t>
      </w:r>
      <w:r>
        <w:rPr>
          <w:rFonts w:ascii="Arial" w:hAnsi="Arial" w:cs="Arial"/>
          <w:sz w:val="24"/>
          <w:lang w:val="en-GB"/>
        </w:rPr>
        <w:t xml:space="preserve"> </w:t>
      </w:r>
      <w:r>
        <w:rPr>
          <w:rFonts w:ascii="Arial" w:hAnsi="Arial" w:cs="Arial"/>
          <w:sz w:val="24"/>
          <w:lang w:val="en-GB"/>
        </w:rPr>
        <w:lastRenderedPageBreak/>
        <w:t>[40]</w:t>
      </w:r>
      <w:r w:rsidRPr="00E16FB9">
        <w:rPr>
          <w:rFonts w:ascii="Arial" w:hAnsi="Arial" w:cs="Arial"/>
          <w:sz w:val="24"/>
          <w:lang w:val="en-GB"/>
        </w:rPr>
        <w:t>, carmustine</w:t>
      </w:r>
      <w:r>
        <w:rPr>
          <w:rFonts w:ascii="Arial" w:hAnsi="Arial" w:cs="Arial"/>
          <w:sz w:val="24"/>
          <w:lang w:val="en-GB"/>
        </w:rPr>
        <w:t xml:space="preserve"> [17,18]</w:t>
      </w:r>
      <w:r w:rsidR="00B439EF">
        <w:rPr>
          <w:rFonts w:ascii="Arial" w:hAnsi="Arial" w:cs="Arial"/>
          <w:sz w:val="24"/>
          <w:lang w:val="en-GB"/>
        </w:rPr>
        <w:t>,</w:t>
      </w:r>
      <w:r w:rsidRPr="00E16FB9">
        <w:rPr>
          <w:rFonts w:ascii="Arial" w:hAnsi="Arial" w:cs="Arial"/>
          <w:sz w:val="24"/>
          <w:lang w:val="en-GB"/>
        </w:rPr>
        <w:t xml:space="preserve"> and gemticitabine</w:t>
      </w:r>
      <w:r>
        <w:rPr>
          <w:rFonts w:ascii="Arial" w:hAnsi="Arial" w:cs="Arial"/>
          <w:sz w:val="24"/>
          <w:lang w:val="en-GB"/>
        </w:rPr>
        <w:t xml:space="preserve"> [38]</w:t>
      </w:r>
      <w:r w:rsidR="00B439EF">
        <w:rPr>
          <w:rFonts w:ascii="Arial" w:hAnsi="Arial" w:cs="Arial"/>
          <w:sz w:val="24"/>
          <w:lang w:val="en-GB"/>
        </w:rPr>
        <w:t>,</w:t>
      </w:r>
      <w:r w:rsidRPr="00E16FB9">
        <w:rPr>
          <w:rFonts w:ascii="Arial" w:hAnsi="Arial" w:cs="Arial"/>
          <w:sz w:val="24"/>
          <w:lang w:val="en-GB"/>
        </w:rPr>
        <w:t xml:space="preserve"> were also administered in a minority of patients (5</w:t>
      </w:r>
      <w:r>
        <w:rPr>
          <w:rFonts w:ascii="Arial" w:hAnsi="Arial" w:cs="Arial"/>
          <w:sz w:val="24"/>
          <w:lang w:val="en-GB"/>
        </w:rPr>
        <w:t>–</w:t>
      </w:r>
      <w:r w:rsidRPr="00E16FB9">
        <w:rPr>
          <w:rFonts w:ascii="Arial" w:hAnsi="Arial" w:cs="Arial"/>
          <w:sz w:val="24"/>
          <w:lang w:val="en-GB"/>
        </w:rPr>
        <w:t>15%). We had no concerns that the conduct and interpretation of the index test, and the reference standard did not match our review question in any of the studies. In conclusion, we had no applicability concern for 29 out of the 35 included studies</w:t>
      </w:r>
      <w:r>
        <w:rPr>
          <w:rFonts w:ascii="Arial" w:hAnsi="Arial" w:cs="Arial"/>
          <w:sz w:val="24"/>
          <w:lang w:val="en-GB"/>
        </w:rPr>
        <w:t xml:space="preserve"> [</w:t>
      </w:r>
      <w:r w:rsidRPr="001949FD">
        <w:rPr>
          <w:rFonts w:ascii="Arial" w:hAnsi="Arial" w:cs="Arial"/>
          <w:sz w:val="24"/>
          <w:lang w:val="en-GB"/>
        </w:rPr>
        <w:t>1</w:t>
      </w:r>
      <w:r>
        <w:rPr>
          <w:rFonts w:ascii="Arial" w:hAnsi="Arial" w:cs="Arial"/>
          <w:sz w:val="24"/>
          <w:lang w:val="en-GB"/>
        </w:rPr>
        <w:t>5</w:t>
      </w:r>
      <w:r w:rsidRPr="001949FD">
        <w:rPr>
          <w:rFonts w:ascii="Arial" w:hAnsi="Arial" w:cs="Arial"/>
          <w:sz w:val="24"/>
          <w:lang w:val="en-GB"/>
        </w:rPr>
        <w:t>,1</w:t>
      </w:r>
      <w:r>
        <w:rPr>
          <w:rFonts w:ascii="Arial" w:hAnsi="Arial" w:cs="Arial"/>
          <w:sz w:val="24"/>
          <w:lang w:val="en-GB"/>
        </w:rPr>
        <w:t>6</w:t>
      </w:r>
      <w:r w:rsidRPr="001949FD">
        <w:rPr>
          <w:rFonts w:ascii="Arial" w:hAnsi="Arial" w:cs="Arial"/>
          <w:sz w:val="24"/>
          <w:lang w:val="en-GB"/>
        </w:rPr>
        <w:t>,</w:t>
      </w:r>
      <w:r>
        <w:rPr>
          <w:rFonts w:ascii="Arial" w:hAnsi="Arial" w:cs="Arial"/>
          <w:sz w:val="24"/>
          <w:lang w:val="en-GB"/>
        </w:rPr>
        <w:t>20</w:t>
      </w:r>
      <w:r w:rsidRPr="001949FD">
        <w:rPr>
          <w:rFonts w:ascii="Arial" w:hAnsi="Arial" w:cs="Arial"/>
          <w:sz w:val="24"/>
          <w:lang w:val="en-GB"/>
        </w:rPr>
        <w:t>–3</w:t>
      </w:r>
      <w:r>
        <w:rPr>
          <w:rFonts w:ascii="Arial" w:hAnsi="Arial" w:cs="Arial"/>
          <w:sz w:val="24"/>
          <w:lang w:val="en-GB"/>
        </w:rPr>
        <w:t>7</w:t>
      </w:r>
      <w:r w:rsidRPr="001949FD">
        <w:rPr>
          <w:rFonts w:ascii="Arial" w:hAnsi="Arial" w:cs="Arial"/>
          <w:sz w:val="24"/>
          <w:lang w:val="en-GB"/>
        </w:rPr>
        <w:t>,3</w:t>
      </w:r>
      <w:r>
        <w:rPr>
          <w:rFonts w:ascii="Arial" w:hAnsi="Arial" w:cs="Arial"/>
          <w:sz w:val="24"/>
          <w:lang w:val="en-GB"/>
        </w:rPr>
        <w:t>9</w:t>
      </w:r>
      <w:r w:rsidRPr="001949FD">
        <w:rPr>
          <w:rFonts w:ascii="Arial" w:hAnsi="Arial" w:cs="Arial"/>
          <w:sz w:val="24"/>
          <w:lang w:val="en-GB"/>
        </w:rPr>
        <w:t>,</w:t>
      </w:r>
      <w:r>
        <w:rPr>
          <w:rFonts w:ascii="Arial" w:hAnsi="Arial" w:cs="Arial"/>
          <w:sz w:val="24"/>
          <w:lang w:val="en-GB"/>
        </w:rPr>
        <w:t>41</w:t>
      </w:r>
      <w:r w:rsidRPr="001949FD">
        <w:rPr>
          <w:rFonts w:ascii="Arial" w:hAnsi="Arial" w:cs="Arial"/>
          <w:sz w:val="24"/>
          <w:lang w:val="en-GB"/>
        </w:rPr>
        <w:t>,4</w:t>
      </w:r>
      <w:r>
        <w:rPr>
          <w:rFonts w:ascii="Arial" w:hAnsi="Arial" w:cs="Arial"/>
          <w:sz w:val="24"/>
          <w:lang w:val="en-GB"/>
        </w:rPr>
        <w:t>2</w:t>
      </w:r>
      <w:r w:rsidRPr="001949FD">
        <w:rPr>
          <w:rFonts w:ascii="Arial" w:hAnsi="Arial" w:cs="Arial"/>
          <w:sz w:val="24"/>
          <w:lang w:val="en-GB"/>
        </w:rPr>
        <w:t>,4</w:t>
      </w:r>
      <w:r>
        <w:rPr>
          <w:rFonts w:ascii="Arial" w:hAnsi="Arial" w:cs="Arial"/>
          <w:sz w:val="24"/>
          <w:lang w:val="en-GB"/>
        </w:rPr>
        <w:t>3</w:t>
      </w:r>
      <w:r w:rsidRPr="001949FD">
        <w:rPr>
          <w:rFonts w:ascii="Arial" w:hAnsi="Arial" w:cs="Arial"/>
          <w:sz w:val="24"/>
          <w:lang w:val="en-GB"/>
        </w:rPr>
        <w:t>–4</w:t>
      </w:r>
      <w:r>
        <w:rPr>
          <w:rFonts w:ascii="Arial" w:hAnsi="Arial" w:cs="Arial"/>
          <w:sz w:val="24"/>
          <w:lang w:val="en-GB"/>
        </w:rPr>
        <w:t>8]</w:t>
      </w:r>
      <w:r w:rsidRPr="00E16FB9">
        <w:rPr>
          <w:rFonts w:ascii="Arial" w:hAnsi="Arial" w:cs="Arial"/>
          <w:sz w:val="24"/>
          <w:lang w:val="en-GB"/>
        </w:rPr>
        <w:t xml:space="preserve">. </w:t>
      </w:r>
    </w:p>
    <w:p w14:paraId="324FB8B4" w14:textId="77777777" w:rsidR="002C4182" w:rsidRPr="00FB6BB6" w:rsidRDefault="002C4182">
      <w:pPr>
        <w:rPr>
          <w:lang w:val="en-GB"/>
        </w:rPr>
      </w:pPr>
    </w:p>
    <w:sectPr w:rsidR="002C4182" w:rsidRPr="00FB6BB6" w:rsidSect="002C418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34311" w14:textId="77777777" w:rsidR="00D357BF" w:rsidRDefault="00D357BF" w:rsidP="00402703">
      <w:pPr>
        <w:spacing w:after="0" w:line="240" w:lineRule="auto"/>
      </w:pPr>
      <w:r>
        <w:separator/>
      </w:r>
    </w:p>
  </w:endnote>
  <w:endnote w:type="continuationSeparator" w:id="0">
    <w:p w14:paraId="5C942490" w14:textId="77777777" w:rsidR="00D357BF" w:rsidRDefault="00D357BF" w:rsidP="00402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ngs">
    <w:altName w:val="Arial Unicode MS"/>
    <w:panose1 w:val="00000000000000000000"/>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2255F" w14:textId="77777777" w:rsidR="00402703" w:rsidRPr="00103869" w:rsidRDefault="00402703" w:rsidP="00402703">
    <w:pPr>
      <w:pStyle w:val="Footer"/>
    </w:pPr>
    <w:r w:rsidRPr="00103869">
      <w:t xml:space="preserve">Eur Radiol (2017) </w:t>
    </w:r>
    <w:r w:rsidRPr="00103869">
      <w:rPr>
        <w:rFonts w:cs="Arial"/>
      </w:rPr>
      <w:t>van Dijken BRJ, van Laar PJ, Holtman GA, van der Hoorn A</w:t>
    </w:r>
  </w:p>
  <w:p w14:paraId="30256DA2" w14:textId="77777777" w:rsidR="00402703" w:rsidRDefault="00402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AAD88" w14:textId="77777777" w:rsidR="00D357BF" w:rsidRDefault="00D357BF" w:rsidP="00402703">
      <w:pPr>
        <w:spacing w:after="0" w:line="240" w:lineRule="auto"/>
      </w:pPr>
      <w:r>
        <w:separator/>
      </w:r>
    </w:p>
  </w:footnote>
  <w:footnote w:type="continuationSeparator" w:id="0">
    <w:p w14:paraId="08C4AD03" w14:textId="77777777" w:rsidR="00D357BF" w:rsidRDefault="00D357BF" w:rsidP="004027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BB6"/>
    <w:rsid w:val="002C4182"/>
    <w:rsid w:val="00384BA0"/>
    <w:rsid w:val="00402703"/>
    <w:rsid w:val="006542DE"/>
    <w:rsid w:val="008D19A8"/>
    <w:rsid w:val="00AC127A"/>
    <w:rsid w:val="00AD013A"/>
    <w:rsid w:val="00B439EF"/>
    <w:rsid w:val="00D357BF"/>
    <w:rsid w:val="00FB6BB6"/>
    <w:rsid w:val="00FF0F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62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C41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6BB6"/>
    <w:pPr>
      <w:spacing w:after="0" w:line="240" w:lineRule="auto"/>
    </w:pPr>
    <w:rPr>
      <w:rFonts w:ascii="Calibri" w:eastAsia="MS Minngs" w:hAnsi="Calibri" w:cs="Times New Roman"/>
      <w:lang w:eastAsia="nl-NL"/>
    </w:rPr>
  </w:style>
  <w:style w:type="paragraph" w:styleId="Header">
    <w:name w:val="header"/>
    <w:basedOn w:val="Normal"/>
    <w:link w:val="HeaderChar"/>
    <w:uiPriority w:val="99"/>
    <w:unhideWhenUsed/>
    <w:rsid w:val="004027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02703"/>
  </w:style>
  <w:style w:type="paragraph" w:styleId="Footer">
    <w:name w:val="footer"/>
    <w:basedOn w:val="Normal"/>
    <w:link w:val="FooterChar"/>
    <w:uiPriority w:val="99"/>
    <w:unhideWhenUsed/>
    <w:rsid w:val="004027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02703"/>
  </w:style>
  <w:style w:type="paragraph" w:styleId="BalloonText">
    <w:name w:val="Balloon Text"/>
    <w:basedOn w:val="Normal"/>
    <w:link w:val="BalloonTextChar"/>
    <w:uiPriority w:val="99"/>
    <w:semiHidden/>
    <w:unhideWhenUsed/>
    <w:rsid w:val="00B439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9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3113</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2017-02-24T23:35:00Z</dcterms:created>
  <dcterms:modified xsi:type="dcterms:W3CDTF">2017-02-24T23:35:00Z</dcterms:modified>
</cp:coreProperties>
</file>