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993" w:rsidRPr="00472E60" w:rsidRDefault="00A42993" w:rsidP="00A42993">
      <w:pPr>
        <w:spacing w:line="480" w:lineRule="auto"/>
        <w:rPr>
          <w:rFonts w:ascii="Times New Roman" w:hAnsi="Times New Roman" w:cs="Times New Roman"/>
          <w:lang w:val="en-GB"/>
        </w:rPr>
      </w:pPr>
      <w:r>
        <w:rPr>
          <w:rFonts w:ascii="Times New Roman" w:hAnsi="Times New Roman" w:cs="Times New Roman"/>
          <w:lang w:val="en-GB"/>
        </w:rPr>
        <w:object w:dxaOrig="15945" w:dyaOrig="5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180pt" o:ole="">
            <v:imagedata r:id="rId5" o:title=""/>
          </v:shape>
          <o:OLEObject Type="Embed" ProgID="AcroExch.Document.11" ShapeID="_x0000_i1025" DrawAspect="Content" ObjectID="_1600041018" r:id="rId6"/>
        </w:object>
      </w:r>
    </w:p>
    <w:p w:rsidR="00A42993" w:rsidRPr="00A42993" w:rsidRDefault="00A42993" w:rsidP="00A42993">
      <w:pPr>
        <w:spacing w:line="480" w:lineRule="auto"/>
        <w:rPr>
          <w:rFonts w:ascii="Times New Roman" w:hAnsi="Times New Roman" w:cs="Times New Roman"/>
          <w:i/>
          <w:lang w:val="en-US"/>
        </w:rPr>
      </w:pPr>
      <w:r w:rsidRPr="0097536B">
        <w:rPr>
          <w:rFonts w:ascii="Times New Roman" w:hAnsi="Times New Roman" w:cs="Times New Roman"/>
          <w:b/>
          <w:lang w:val="en-US"/>
        </w:rPr>
        <w:t xml:space="preserve">Supplement Figure 2. Receiver operating characteristic curves of DL applied to all patients (A, n=126) and patients with intermediate stenosis only (B, n=101). </w:t>
      </w:r>
      <w:r w:rsidRPr="0097536B">
        <w:rPr>
          <w:rFonts w:ascii="Times New Roman" w:hAnsi="Times New Roman" w:cs="Times New Roman"/>
          <w:lang w:val="en-US"/>
        </w:rPr>
        <w:t xml:space="preserve">To evaluate robustness of </w:t>
      </w:r>
      <w:r>
        <w:rPr>
          <w:rFonts w:ascii="Times New Roman" w:hAnsi="Times New Roman" w:cs="Times New Roman"/>
          <w:lang w:val="en-US"/>
        </w:rPr>
        <w:t xml:space="preserve">the </w:t>
      </w:r>
      <w:r w:rsidRPr="0097536B">
        <w:rPr>
          <w:rFonts w:ascii="Times New Roman" w:hAnsi="Times New Roman" w:cs="Times New Roman"/>
          <w:lang w:val="en-US"/>
        </w:rPr>
        <w:t>DL analysis on low- or high-grade stenosis, we</w:t>
      </w:r>
      <w:r>
        <w:rPr>
          <w:rFonts w:ascii="Times New Roman" w:hAnsi="Times New Roman" w:cs="Times New Roman"/>
          <w:lang w:val="en-US"/>
        </w:rPr>
        <w:t xml:space="preserve"> also</w:t>
      </w:r>
      <w:r w:rsidRPr="0097536B">
        <w:rPr>
          <w:rFonts w:ascii="Times New Roman" w:hAnsi="Times New Roman" w:cs="Times New Roman"/>
          <w:lang w:val="en-US"/>
        </w:rPr>
        <w:t xml:space="preserve"> evaluated the performance of our DL algorithm on the complete cohort (n=126). We retrained and evaluated the DL method on all 126 cases using the same scheme of 10-fold cross-validation with 50 repetitions. The resulting ROC curve and AUC are shown in A. These results are comparable with the performance of DL on the intermediate stenosis only (n=101), used in the current study and shown in B. This indicates that comparable discriminative power (but also comparable misclassification) are achieved by the DL algorithm, regardless of the population. However, it should be noted that the entire dataset is obtained from a heavily diseased patient cohort, and thus none of these patients are considered as an “easy case” for classification. </w:t>
      </w:r>
      <w:r w:rsidRPr="0097536B">
        <w:rPr>
          <w:rFonts w:ascii="Times New Roman" w:hAnsi="Times New Roman" w:cs="Times New Roman"/>
          <w:i/>
          <w:lang w:val="en-US"/>
        </w:rPr>
        <w:t>AUC = area under the receiver operating characteristic curve; DL = deep learning; LVM = left ventricular myocardium; ROC = receiver operating characteristic</w:t>
      </w:r>
      <w:bookmarkStart w:id="0" w:name="_GoBack"/>
      <w:bookmarkEnd w:id="0"/>
    </w:p>
    <w:sectPr w:rsidR="00A42993" w:rsidRPr="00A42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93"/>
    <w:rsid w:val="00A42993"/>
    <w:rsid w:val="00F502F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995</Characters>
  <Application>Microsoft Office Word</Application>
  <DocSecurity>0</DocSecurity>
  <Lines>31</Lines>
  <Paragraphs>11</Paragraphs>
  <ScaleCrop>false</ScaleCrop>
  <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ACARAMIHAN</dc:creator>
  <cp:lastModifiedBy>ACARAMIHAN</cp:lastModifiedBy>
  <cp:revision>1</cp:revision>
  <dcterms:created xsi:type="dcterms:W3CDTF">2018-10-02T19:03:00Z</dcterms:created>
  <dcterms:modified xsi:type="dcterms:W3CDTF">2018-10-02T19:04:00Z</dcterms:modified>
</cp:coreProperties>
</file>