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53" w:rsidRDefault="00CC4353" w:rsidP="00CC4353">
      <w:pPr>
        <w:spacing w:line="48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object w:dxaOrig="12255" w:dyaOrig="5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226.3pt" o:ole="">
            <v:imagedata r:id="rId5" o:title=""/>
          </v:shape>
          <o:OLEObject Type="Embed" ProgID="AcroExch.Document.11" ShapeID="_x0000_i1025" DrawAspect="Content" ObjectID="_1600041075" r:id="rId6"/>
        </w:object>
      </w:r>
    </w:p>
    <w:p w:rsidR="00CC4353" w:rsidRPr="00E56F46" w:rsidRDefault="00CC4353" w:rsidP="00CC4353">
      <w:pPr>
        <w:spacing w:line="480" w:lineRule="auto"/>
        <w:rPr>
          <w:rFonts w:ascii="Times New Roman" w:hAnsi="Times New Roman" w:cs="Times New Roman"/>
          <w:i/>
          <w:lang w:val="en-US"/>
        </w:rPr>
      </w:pPr>
      <w:r w:rsidRPr="00472E60">
        <w:rPr>
          <w:rFonts w:ascii="Times New Roman" w:hAnsi="Times New Roman" w:cs="Times New Roman"/>
          <w:b/>
          <w:lang w:val="en-US"/>
        </w:rPr>
        <w:t xml:space="preserve"> </w:t>
      </w:r>
      <w:r w:rsidRPr="00E56F46">
        <w:rPr>
          <w:rFonts w:ascii="Times New Roman" w:hAnsi="Times New Roman" w:cs="Times New Roman"/>
          <w:b/>
          <w:lang w:val="en-US"/>
        </w:rPr>
        <w:t xml:space="preserve">Supplement </w:t>
      </w:r>
      <w:r>
        <w:rPr>
          <w:rFonts w:ascii="Times New Roman" w:hAnsi="Times New Roman" w:cs="Times New Roman"/>
          <w:b/>
          <w:lang w:val="en-US"/>
        </w:rPr>
        <w:t>Figure 3</w:t>
      </w:r>
      <w:r w:rsidRPr="00E56F46">
        <w:rPr>
          <w:rFonts w:ascii="Times New Roman" w:hAnsi="Times New Roman" w:cs="Times New Roman"/>
          <w:b/>
          <w:lang w:val="en-US"/>
        </w:rPr>
        <w:t>. Receiver operating characteristic curves for patients without prior MI, CABG and/or PCI (n=103).</w:t>
      </w:r>
      <w:r w:rsidRPr="00E56F46">
        <w:rPr>
          <w:rFonts w:ascii="Times New Roman" w:hAnsi="Times New Roman" w:cs="Times New Roman"/>
          <w:lang w:val="en-US"/>
        </w:rPr>
        <w:t xml:space="preserve"> Diagnostic performance of DS and a combination of DL added to DS from CCTA for predicting functionally significant stenosis on a patient basis.</w:t>
      </w:r>
      <w:r>
        <w:rPr>
          <w:rFonts w:ascii="Times New Roman" w:hAnsi="Times New Roman" w:cs="Times New Roman"/>
          <w:lang w:val="en-US"/>
        </w:rPr>
        <w:t xml:space="preserve"> For the combined method, ROC-curves and AUC are </w:t>
      </w:r>
      <w:r w:rsidRPr="00C92F5C">
        <w:rPr>
          <w:rFonts w:ascii="Times New Roman" w:hAnsi="Times New Roman" w:cs="Times New Roman"/>
          <w:lang w:val="en-US"/>
        </w:rPr>
        <w:t>depicted as average ± SD of 50 cross-validation experiments.</w:t>
      </w:r>
      <w:r w:rsidRPr="00E56F46">
        <w:rPr>
          <w:rFonts w:ascii="Times New Roman" w:hAnsi="Times New Roman" w:cs="Times New Roman"/>
          <w:lang w:val="en-US"/>
        </w:rPr>
        <w:t xml:space="preserve"> </w:t>
      </w:r>
      <w:r w:rsidRPr="00E56F46">
        <w:rPr>
          <w:rFonts w:ascii="Times New Roman" w:hAnsi="Times New Roman" w:cs="Times New Roman"/>
          <w:i/>
          <w:lang w:val="en-US"/>
        </w:rPr>
        <w:t>AUC = area under the receiver operating characteristic curve; CABG = coronary artery bypass grafting; CCTA = coronary computed tomography angiography; DL = deep learning; DS = degree of stenosis; LVM = left ventricular myocardium; MI = myocardial infarction; PCI = percutaneous coronary intervention</w:t>
      </w:r>
      <w:r>
        <w:rPr>
          <w:rFonts w:ascii="Times New Roman" w:hAnsi="Times New Roman" w:cs="Times New Roman"/>
          <w:i/>
          <w:lang w:val="en-US"/>
        </w:rPr>
        <w:t>; ROC = r</w:t>
      </w:r>
      <w:r w:rsidRPr="0044091C">
        <w:rPr>
          <w:rFonts w:ascii="Times New Roman" w:hAnsi="Times New Roman" w:cs="Times New Roman"/>
          <w:i/>
          <w:lang w:val="en-US"/>
        </w:rPr>
        <w:t>eceiver operating characteristic</w:t>
      </w:r>
      <w:bookmarkStart w:id="0" w:name="_GoBack"/>
      <w:bookmarkEnd w:id="0"/>
    </w:p>
    <w:p w:rsidR="00CC4353" w:rsidRDefault="00CC4353"/>
    <w:sectPr w:rsidR="00CC4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53"/>
    <w:rsid w:val="00CC4353"/>
    <w:rsid w:val="00F5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633</Characters>
  <Application>Microsoft Office Word</Application>
  <DocSecurity>0</DocSecurity>
  <Lines>19</Lines>
  <Paragraphs>7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ACARAMIHAN</dc:creator>
  <cp:lastModifiedBy>ACARAMIHAN</cp:lastModifiedBy>
  <cp:revision>1</cp:revision>
  <dcterms:created xsi:type="dcterms:W3CDTF">2018-10-02T19:04:00Z</dcterms:created>
  <dcterms:modified xsi:type="dcterms:W3CDTF">2018-10-02T19:05:00Z</dcterms:modified>
</cp:coreProperties>
</file>