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9F4" w:rsidRDefault="004E39F4" w:rsidP="004E39F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E56F46">
        <w:rPr>
          <w:rFonts w:ascii="Times New Roman" w:hAnsi="Times New Roman" w:cs="Times New Roman"/>
          <w:b/>
          <w:lang w:val="en-GB"/>
        </w:rPr>
        <w:t xml:space="preserve">Supplement </w:t>
      </w:r>
      <w:r>
        <w:rPr>
          <w:rFonts w:ascii="Times New Roman" w:hAnsi="Times New Roman" w:cs="Times New Roman"/>
          <w:b/>
          <w:lang w:val="en-GB"/>
        </w:rPr>
        <w:t>Table 1</w:t>
      </w:r>
      <w:r w:rsidRPr="00E56F46">
        <w:rPr>
          <w:rFonts w:ascii="Times New Roman" w:hAnsi="Times New Roman" w:cs="Times New Roman"/>
          <w:b/>
          <w:lang w:val="en-GB"/>
        </w:rPr>
        <w:t>. Diagnostic performance for patients without prior MI, CABG and/or PCI (n=103).</w:t>
      </w: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1883"/>
        <w:gridCol w:w="1381"/>
        <w:gridCol w:w="1382"/>
        <w:gridCol w:w="1382"/>
        <w:gridCol w:w="1381"/>
        <w:gridCol w:w="1664"/>
        <w:gridCol w:w="1276"/>
      </w:tblGrid>
      <w:tr w:rsidR="004E39F4" w:rsidRPr="00B56B41" w:rsidTr="00DE78ED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Method and threshold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Sensitivity (%)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Specificity (%)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PPV (%)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NPV (%)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Accuracy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AUC</w:t>
            </w:r>
          </w:p>
        </w:tc>
      </w:tr>
      <w:tr w:rsidR="004E39F4" w:rsidRPr="00B56B41" w:rsidTr="00DE78ED">
        <w:trPr>
          <w:trHeight w:val="1125"/>
        </w:trPr>
        <w:tc>
          <w:tcPr>
            <w:tcW w:w="1883" w:type="dxa"/>
            <w:tcBorders>
              <w:top w:val="doub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CCTA ≥25% DS</w:t>
            </w:r>
          </w:p>
        </w:tc>
        <w:tc>
          <w:tcPr>
            <w:tcW w:w="1381" w:type="dxa"/>
            <w:tcBorders>
              <w:top w:val="doub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100.0 (67/67) [94.6-100.0]</w:t>
            </w:r>
          </w:p>
        </w:tc>
        <w:tc>
          <w:tcPr>
            <w:tcW w:w="1382" w:type="dxa"/>
            <w:tcBorders>
              <w:top w:val="doub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22.2 (8/36) [10.1-39.2]</w:t>
            </w:r>
          </w:p>
        </w:tc>
        <w:tc>
          <w:tcPr>
            <w:tcW w:w="1382" w:type="dxa"/>
            <w:tcBorders>
              <w:top w:val="doub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70.5 (67/95) [66.8-74.0]</w:t>
            </w:r>
          </w:p>
        </w:tc>
        <w:tc>
          <w:tcPr>
            <w:tcW w:w="1381" w:type="dxa"/>
            <w:tcBorders>
              <w:top w:val="doub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100.0 (8/8) [100.0-100.0]</w:t>
            </w:r>
          </w:p>
        </w:tc>
        <w:tc>
          <w:tcPr>
            <w:tcW w:w="1664" w:type="dxa"/>
            <w:tcBorders>
              <w:top w:val="doub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72.8 (75/103) [64.1-81.6]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0.67 [0.57-0.76]</w:t>
            </w:r>
          </w:p>
        </w:tc>
      </w:tr>
      <w:tr w:rsidR="004E39F4" w:rsidRPr="00B56B41" w:rsidTr="00DE78ED">
        <w:tc>
          <w:tcPr>
            <w:tcW w:w="1883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CCTA ≥50% DS</w:t>
            </w:r>
          </w:p>
        </w:tc>
        <w:tc>
          <w:tcPr>
            <w:tcW w:w="1381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92.5 (62/67) [83.4-97.5]</w:t>
            </w:r>
          </w:p>
        </w:tc>
        <w:tc>
          <w:tcPr>
            <w:tcW w:w="1382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30.6 (11/36) [16.3-48.1]</w:t>
            </w:r>
          </w:p>
        </w:tc>
        <w:tc>
          <w:tcPr>
            <w:tcW w:w="1382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71.3 (62/87) [66.4-75.7]</w:t>
            </w:r>
          </w:p>
        </w:tc>
        <w:tc>
          <w:tcPr>
            <w:tcW w:w="1381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68.8 (11/16) [45.3-85.4)</w:t>
            </w:r>
          </w:p>
        </w:tc>
        <w:tc>
          <w:tcPr>
            <w:tcW w:w="1664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70.9 (73/103) [62.0-79.8]</w:t>
            </w:r>
          </w:p>
        </w:tc>
        <w:tc>
          <w:tcPr>
            <w:tcW w:w="1276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0.67 [0.57-0.76]</w:t>
            </w:r>
          </w:p>
        </w:tc>
      </w:tr>
      <w:tr w:rsidR="004E39F4" w:rsidRPr="00B56B41" w:rsidTr="00DE78ED">
        <w:tc>
          <w:tcPr>
            <w:tcW w:w="1883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CCTA ≥70% DS</w:t>
            </w:r>
          </w:p>
        </w:tc>
        <w:tc>
          <w:tcPr>
            <w:tcW w:w="1381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16.4 (11/67) [8.5-27.5]</w:t>
            </w:r>
          </w:p>
        </w:tc>
        <w:tc>
          <w:tcPr>
            <w:tcW w:w="1382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97.2 (35/36) [85.5-99.9]</w:t>
            </w:r>
          </w:p>
        </w:tc>
        <w:tc>
          <w:tcPr>
            <w:tcW w:w="1382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91.7 (11/12) [59.7-98.8]</w:t>
            </w:r>
          </w:p>
        </w:tc>
        <w:tc>
          <w:tcPr>
            <w:tcW w:w="1381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38.5 (35/91) [35.7-41.3]</w:t>
            </w:r>
          </w:p>
        </w:tc>
        <w:tc>
          <w:tcPr>
            <w:tcW w:w="1664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44.7 (46/103) [34.9-54.4]</w:t>
            </w:r>
          </w:p>
        </w:tc>
        <w:tc>
          <w:tcPr>
            <w:tcW w:w="1276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0.67 [0.57-0.76]</w:t>
            </w:r>
          </w:p>
        </w:tc>
      </w:tr>
      <w:tr w:rsidR="004E39F4" w:rsidRPr="00BA1FBE" w:rsidTr="00DE78ED">
        <w:trPr>
          <w:trHeight w:val="515"/>
        </w:trPr>
        <w:tc>
          <w:tcPr>
            <w:tcW w:w="1883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CCTA DS + DL combined </w:t>
            </w:r>
          </w:p>
        </w:tc>
        <w:tc>
          <w:tcPr>
            <w:tcW w:w="1381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84.8</w:t>
            </w: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±</w:t>
            </w: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0.04 </w:t>
            </w:r>
          </w:p>
        </w:tc>
        <w:tc>
          <w:tcPr>
            <w:tcW w:w="1382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50.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±</w:t>
            </w: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0.04 </w:t>
            </w:r>
          </w:p>
        </w:tc>
        <w:tc>
          <w:tcPr>
            <w:tcW w:w="1382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76.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± 0.02</w:t>
            </w: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381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64</w:t>
            </w: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± 0.05</w:t>
            </w: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664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</w:t>
            </w: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±</w:t>
            </w:r>
            <w:r w:rsidRPr="00B56B4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0.02 </w:t>
            </w:r>
          </w:p>
        </w:tc>
        <w:tc>
          <w:tcPr>
            <w:tcW w:w="1276" w:type="dxa"/>
          </w:tcPr>
          <w:p w:rsidR="004E39F4" w:rsidRPr="00B56B41" w:rsidRDefault="004E39F4" w:rsidP="00DE78E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0.77 ± 0.02</w:t>
            </w:r>
          </w:p>
        </w:tc>
      </w:tr>
    </w:tbl>
    <w:p w:rsidR="004E39F4" w:rsidRDefault="004E39F4" w:rsidP="004E39F4">
      <w:pPr>
        <w:spacing w:line="480" w:lineRule="auto"/>
        <w:rPr>
          <w:rFonts w:ascii="Times New Roman" w:hAnsi="Times New Roman" w:cs="Times New Roman"/>
          <w:lang w:val="en-GB"/>
        </w:rPr>
      </w:pPr>
    </w:p>
    <w:p w:rsidR="004E39F4" w:rsidRDefault="004E39F4" w:rsidP="004E39F4">
      <w:pPr>
        <w:spacing w:line="480" w:lineRule="auto"/>
        <w:rPr>
          <w:rFonts w:ascii="Times New Roman" w:hAnsi="Times New Roman" w:cs="Times New Roman"/>
          <w:lang w:val="en-GB"/>
        </w:rPr>
      </w:pPr>
    </w:p>
    <w:p w:rsidR="004E39F4" w:rsidRDefault="004E39F4" w:rsidP="004E39F4">
      <w:pPr>
        <w:spacing w:line="480" w:lineRule="auto"/>
        <w:rPr>
          <w:rFonts w:ascii="Times New Roman" w:hAnsi="Times New Roman" w:cs="Times New Roman"/>
          <w:i/>
          <w:lang w:val="en-GB"/>
        </w:rPr>
      </w:pPr>
      <w:r w:rsidRPr="00B56B41">
        <w:rPr>
          <w:rFonts w:ascii="Times New Roman" w:hAnsi="Times New Roman" w:cs="Times New Roman"/>
          <w:lang w:val="en-GB"/>
        </w:rPr>
        <w:t>Data is given in percentage, data in parentheses is raw data and data in brackets is 95% confidence interval.</w:t>
      </w:r>
      <w:r>
        <w:rPr>
          <w:rFonts w:ascii="Times New Roman" w:hAnsi="Times New Roman" w:cs="Times New Roman"/>
          <w:lang w:val="en-GB"/>
        </w:rPr>
        <w:t xml:space="preserve"> For the combined method, data is depicted as average ± SD of 50 cross-validation experiments.</w:t>
      </w:r>
      <w:r w:rsidRPr="00E56F46">
        <w:rPr>
          <w:rFonts w:ascii="Times New Roman" w:hAnsi="Times New Roman" w:cs="Times New Roman"/>
          <w:lang w:val="en-GB"/>
        </w:rPr>
        <w:t xml:space="preserve"> </w:t>
      </w:r>
      <w:r w:rsidRPr="00E931DF">
        <w:rPr>
          <w:rFonts w:ascii="Times New Roman" w:hAnsi="Times New Roman" w:cs="Times New Roman"/>
          <w:i/>
          <w:lang w:val="en-GB"/>
        </w:rPr>
        <w:t>AUC = Area under the receiver operating characteristic curve</w:t>
      </w:r>
      <w:r>
        <w:rPr>
          <w:rFonts w:ascii="Times New Roman" w:hAnsi="Times New Roman" w:cs="Times New Roman"/>
          <w:i/>
          <w:lang w:val="en-GB"/>
        </w:rPr>
        <w:t xml:space="preserve">, </w:t>
      </w:r>
      <w:r w:rsidRPr="00E56F46">
        <w:rPr>
          <w:rFonts w:ascii="Times New Roman" w:hAnsi="Times New Roman" w:cs="Times New Roman"/>
          <w:i/>
          <w:lang w:val="en-GB"/>
        </w:rPr>
        <w:t>CABG = coronary artery bypass grafting; CCTA = coronary computed tomography angiography; DL = deep learning; DS = degree of stenosis;</w:t>
      </w:r>
      <w:r w:rsidRPr="00E56F46">
        <w:rPr>
          <w:rFonts w:ascii="Times New Roman" w:hAnsi="Times New Roman" w:cs="Times New Roman"/>
          <w:lang w:val="en-GB"/>
        </w:rPr>
        <w:t xml:space="preserve"> </w:t>
      </w:r>
      <w:r w:rsidRPr="00E56F46">
        <w:rPr>
          <w:rFonts w:ascii="Times New Roman" w:hAnsi="Times New Roman" w:cs="Times New Roman"/>
          <w:i/>
          <w:lang w:val="en-GB"/>
        </w:rPr>
        <w:t>LVM = left ventricular myocardium; MI = myocardial infarction; NPV = negative predictive value; PCI = percutaneous coronary intervention; PPV = positive predictive value</w:t>
      </w:r>
      <w:r>
        <w:rPr>
          <w:rFonts w:ascii="Times New Roman" w:hAnsi="Times New Roman" w:cs="Times New Roman"/>
          <w:i/>
          <w:lang w:val="en-GB"/>
        </w:rPr>
        <w:t>; SD = standard deviation</w:t>
      </w:r>
    </w:p>
    <w:p w:rsidR="004E39F4" w:rsidRDefault="004E39F4">
      <w:bookmarkStart w:id="0" w:name="_GoBack"/>
      <w:bookmarkEnd w:id="0"/>
    </w:p>
    <w:sectPr w:rsidR="004E39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F4"/>
    <w:rsid w:val="004E39F4"/>
    <w:rsid w:val="00F5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39F4"/>
    <w:pPr>
      <w:spacing w:after="0" w:line="240" w:lineRule="auto"/>
    </w:pPr>
    <w:rPr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39F4"/>
    <w:pPr>
      <w:spacing w:after="0" w:line="240" w:lineRule="auto"/>
    </w:pPr>
    <w:rPr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1152</Characters>
  <Application>Microsoft Office Word</Application>
  <DocSecurity>0</DocSecurity>
  <Lines>36</Lines>
  <Paragraphs>13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ACARAMIHAN</dc:creator>
  <cp:lastModifiedBy>ACARAMIHAN</cp:lastModifiedBy>
  <cp:revision>1</cp:revision>
  <dcterms:created xsi:type="dcterms:W3CDTF">2018-10-02T19:05:00Z</dcterms:created>
  <dcterms:modified xsi:type="dcterms:W3CDTF">2018-10-02T19:06:00Z</dcterms:modified>
</cp:coreProperties>
</file>