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C9B4F" w14:textId="4CBDED8D" w:rsidR="0096571F" w:rsidRPr="00FF7E3A" w:rsidRDefault="0096571F" w:rsidP="00470744">
      <w:pPr>
        <w:pStyle w:val="Heading1"/>
        <w:numPr>
          <w:ilvl w:val="0"/>
          <w:numId w:val="0"/>
        </w:numPr>
        <w:rPr>
          <w:lang w:val="en-CA"/>
        </w:rPr>
      </w:pPr>
      <w:r w:rsidRPr="00FF7E3A">
        <w:rPr>
          <w:lang w:val="en-CA"/>
        </w:rPr>
        <w:t>Appendix 2.</w:t>
      </w:r>
    </w:p>
    <w:p w14:paraId="249359F1" w14:textId="77777777" w:rsidR="0096571F" w:rsidRPr="00FF7E3A" w:rsidRDefault="0096571F" w:rsidP="00BC73C3">
      <w:pPr>
        <w:pStyle w:val="Title"/>
        <w:rPr>
          <w:lang w:val="en-CA"/>
        </w:rPr>
      </w:pPr>
    </w:p>
    <w:p w14:paraId="2E4D1E2B" w14:textId="761F29CB" w:rsidR="00BC73C3" w:rsidRPr="00FF7E3A" w:rsidRDefault="00BC73C3" w:rsidP="00BC73C3">
      <w:pPr>
        <w:pStyle w:val="Title"/>
        <w:rPr>
          <w:lang w:val="en-CA"/>
        </w:rPr>
      </w:pPr>
      <w:r w:rsidRPr="00FF7E3A">
        <w:rPr>
          <w:lang w:val="en-CA"/>
        </w:rPr>
        <w:t>TAVI MR recommended</w:t>
      </w:r>
      <w:r w:rsidR="003B5D8A" w:rsidRPr="00FF7E3A">
        <w:rPr>
          <w:lang w:val="en-CA"/>
        </w:rPr>
        <w:t xml:space="preserve"> scan protocol</w:t>
      </w:r>
    </w:p>
    <w:p w14:paraId="138016E6" w14:textId="77777777" w:rsidR="003B5D8A" w:rsidRPr="00FF7E3A" w:rsidRDefault="003B5D8A" w:rsidP="00470744">
      <w:pPr>
        <w:pStyle w:val="Heading1"/>
        <w:numPr>
          <w:ilvl w:val="0"/>
          <w:numId w:val="0"/>
        </w:numPr>
        <w:rPr>
          <w:rFonts w:asciiTheme="minorHAnsi" w:eastAsiaTheme="minorHAnsi" w:hAnsiTheme="minorHAnsi" w:cstheme="minorBidi"/>
          <w:bCs w:val="0"/>
          <w:color w:val="auto"/>
          <w:spacing w:val="0"/>
          <w:sz w:val="21"/>
          <w:szCs w:val="22"/>
          <w:lang w:val="en-CA"/>
        </w:rPr>
      </w:pPr>
    </w:p>
    <w:p w14:paraId="4F0877C6" w14:textId="632F5E2D" w:rsidR="00BC73C3" w:rsidRPr="00FF7E3A" w:rsidRDefault="00BC73C3" w:rsidP="00470744">
      <w:pPr>
        <w:pStyle w:val="Heading1"/>
        <w:numPr>
          <w:ilvl w:val="0"/>
          <w:numId w:val="0"/>
        </w:numPr>
        <w:rPr>
          <w:lang w:val="en-CA"/>
        </w:rPr>
      </w:pPr>
      <w:r w:rsidRPr="00FF7E3A">
        <w:rPr>
          <w:lang w:val="en-CA"/>
        </w:rPr>
        <w:t>2.1 General recommendations</w:t>
      </w:r>
    </w:p>
    <w:p w14:paraId="12E7D78D" w14:textId="77777777" w:rsidR="00BC73C3" w:rsidRPr="003B7177" w:rsidRDefault="00BC73C3" w:rsidP="00BC73C3">
      <w:pPr>
        <w:ind w:left="360"/>
        <w:rPr>
          <w:rFonts w:ascii="Times New Roman" w:hAnsi="Times New Roman" w:cs="Times New Roman"/>
          <w:lang w:val="en-CA"/>
        </w:rPr>
      </w:pPr>
    </w:p>
    <w:p w14:paraId="6344EFEC" w14:textId="77777777" w:rsidR="00BC73C3" w:rsidRPr="00FF7E3A" w:rsidRDefault="00BC73C3" w:rsidP="00BC73C3">
      <w:pPr>
        <w:pStyle w:val="ListParagraph1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0"/>
          <w:szCs w:val="20"/>
          <w:lang w:val="en-CA"/>
        </w:rPr>
      </w:pPr>
      <w:r w:rsidRPr="00FF7E3A">
        <w:rPr>
          <w:rFonts w:ascii="Times New Roman" w:hAnsi="Times New Roman" w:cs="Times New Roman"/>
          <w:sz w:val="20"/>
          <w:szCs w:val="20"/>
          <w:lang w:val="en-CA"/>
        </w:rPr>
        <w:t>An MR examination should only be considered in the presence of contra-indications for CT</w:t>
      </w:r>
    </w:p>
    <w:p w14:paraId="66B5174F" w14:textId="77777777" w:rsidR="00BC73C3" w:rsidRPr="00FF7E3A" w:rsidRDefault="00BC73C3" w:rsidP="00BC73C3">
      <w:pPr>
        <w:pStyle w:val="ListParagraph1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0"/>
          <w:szCs w:val="20"/>
          <w:lang w:val="en-CA"/>
        </w:rPr>
      </w:pPr>
      <w:r w:rsidRPr="00FF7E3A">
        <w:rPr>
          <w:rFonts w:ascii="Times New Roman" w:hAnsi="Times New Roman" w:cs="Times New Roman"/>
          <w:sz w:val="20"/>
          <w:szCs w:val="20"/>
          <w:lang w:val="en-CA"/>
        </w:rPr>
        <w:t>Any system with at least 1.5 T field strength is adequate</w:t>
      </w:r>
    </w:p>
    <w:p w14:paraId="4C4C2517" w14:textId="77777777" w:rsidR="00BC73C3" w:rsidRPr="00FF7E3A" w:rsidRDefault="00BC73C3" w:rsidP="00BC73C3">
      <w:pPr>
        <w:pStyle w:val="ListParagraph1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0"/>
          <w:szCs w:val="20"/>
          <w:lang w:val="en-CA"/>
        </w:rPr>
      </w:pPr>
      <w:r w:rsidRPr="00FF7E3A">
        <w:rPr>
          <w:rFonts w:ascii="Times New Roman" w:hAnsi="Times New Roman" w:cs="Times New Roman"/>
          <w:sz w:val="20"/>
          <w:szCs w:val="20"/>
          <w:lang w:val="en-CA"/>
        </w:rPr>
        <w:t>A non-contrast enhanced CT examination can additionally be performed for better visualization of valve and aorto-iliac calcifications</w:t>
      </w:r>
    </w:p>
    <w:p w14:paraId="2037B2B5" w14:textId="77777777" w:rsidR="00BC73C3" w:rsidRPr="00FF7E3A" w:rsidRDefault="00BC73C3" w:rsidP="00BC73C3">
      <w:pPr>
        <w:pStyle w:val="ListParagraph1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0"/>
          <w:szCs w:val="20"/>
          <w:lang w:val="en-CA"/>
        </w:rPr>
      </w:pPr>
      <w:r w:rsidRPr="00FF7E3A">
        <w:rPr>
          <w:rFonts w:ascii="Times New Roman" w:hAnsi="Times New Roman" w:cs="Times New Roman"/>
          <w:sz w:val="20"/>
          <w:szCs w:val="20"/>
          <w:lang w:val="en-CA"/>
        </w:rPr>
        <w:t xml:space="preserve">Administration of contrast medium is through an antecubital vein </w:t>
      </w:r>
    </w:p>
    <w:p w14:paraId="13CF8AF2" w14:textId="77777777" w:rsidR="00BC73C3" w:rsidRPr="00FF7E3A" w:rsidRDefault="00BC73C3" w:rsidP="00BC73C3">
      <w:pPr>
        <w:pStyle w:val="ListParagraph1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0"/>
          <w:szCs w:val="20"/>
          <w:lang w:val="en-CA"/>
        </w:rPr>
      </w:pPr>
      <w:r w:rsidRPr="00FF7E3A">
        <w:rPr>
          <w:rFonts w:ascii="Times New Roman" w:hAnsi="Times New Roman" w:cs="Times New Roman"/>
          <w:sz w:val="20"/>
          <w:szCs w:val="20"/>
          <w:lang w:val="en-CA"/>
        </w:rPr>
        <w:t>No B-blockers or other medication should be given</w:t>
      </w:r>
    </w:p>
    <w:p w14:paraId="1C121A71" w14:textId="77777777" w:rsidR="00BC73C3" w:rsidRPr="00FF7E3A" w:rsidRDefault="00BC73C3" w:rsidP="00BC73C3">
      <w:pPr>
        <w:pStyle w:val="ListParagraph1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0"/>
          <w:szCs w:val="20"/>
          <w:lang w:val="en-CA"/>
        </w:rPr>
      </w:pPr>
      <w:r w:rsidRPr="00FF7E3A">
        <w:rPr>
          <w:rFonts w:ascii="Times New Roman" w:hAnsi="Times New Roman" w:cs="Times New Roman"/>
          <w:sz w:val="20"/>
          <w:szCs w:val="20"/>
          <w:lang w:val="en-CA"/>
        </w:rPr>
        <w:t>Systolic measurements are preferred, although image quality prevails over actual phase of cardiac cycle.</w:t>
      </w:r>
    </w:p>
    <w:p w14:paraId="7D8D2130" w14:textId="77777777" w:rsidR="00BC73C3" w:rsidRPr="00FF7E3A" w:rsidRDefault="00BC73C3" w:rsidP="00BC73C3">
      <w:pPr>
        <w:pStyle w:val="ListParagraph1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0"/>
          <w:szCs w:val="20"/>
          <w:lang w:val="en-CA"/>
        </w:rPr>
      </w:pPr>
      <w:r w:rsidRPr="00FF7E3A">
        <w:rPr>
          <w:rFonts w:ascii="Times New Roman" w:hAnsi="Times New Roman" w:cs="Times New Roman"/>
          <w:sz w:val="20"/>
          <w:szCs w:val="20"/>
          <w:lang w:val="en-CA"/>
        </w:rPr>
        <w:t>All measurements should be made using double-oblique reformations perpendicular to the longitudinal axis of the investigated structure or vessel if possible.</w:t>
      </w:r>
    </w:p>
    <w:p w14:paraId="2A3F1ADC" w14:textId="77777777" w:rsidR="00BC73C3" w:rsidRPr="00FF7E3A" w:rsidRDefault="00BC73C3" w:rsidP="00BC73C3">
      <w:pPr>
        <w:pStyle w:val="ListParagraph1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0"/>
          <w:szCs w:val="20"/>
          <w:lang w:val="en-CA"/>
        </w:rPr>
      </w:pPr>
      <w:r w:rsidRPr="00FF7E3A">
        <w:rPr>
          <w:rFonts w:ascii="Times New Roman" w:hAnsi="Times New Roman" w:cs="Times New Roman"/>
          <w:sz w:val="20"/>
          <w:szCs w:val="20"/>
          <w:lang w:val="en-CA"/>
        </w:rPr>
        <w:t>All breath-hold images are acquired in end-expiration</w:t>
      </w:r>
    </w:p>
    <w:p w14:paraId="610A2AEC" w14:textId="77777777" w:rsidR="00BC73C3" w:rsidRPr="003B7177" w:rsidRDefault="00BC73C3" w:rsidP="00BC73C3">
      <w:pPr>
        <w:rPr>
          <w:rFonts w:ascii="Times New Roman" w:hAnsi="Times New Roman" w:cs="Times New Roman"/>
          <w:lang w:val="en-CA"/>
        </w:rPr>
      </w:pPr>
    </w:p>
    <w:p w14:paraId="6EA0EC5F" w14:textId="5F94FC22" w:rsidR="00BC73C3" w:rsidRPr="00FF7E3A" w:rsidRDefault="00BC73C3" w:rsidP="00BC73C3">
      <w:pPr>
        <w:pStyle w:val="Heading1"/>
        <w:numPr>
          <w:ilvl w:val="0"/>
          <w:numId w:val="0"/>
        </w:numPr>
        <w:rPr>
          <w:lang w:val="en-CA"/>
        </w:rPr>
      </w:pPr>
      <w:r w:rsidRPr="00FF7E3A">
        <w:rPr>
          <w:lang w:val="en-CA"/>
        </w:rPr>
        <w:t>2.2 MR protocol for aortic root &amp; access route</w:t>
      </w:r>
    </w:p>
    <w:p w14:paraId="2E98F92A" w14:textId="77777777" w:rsidR="00BC73C3" w:rsidRPr="003B7177" w:rsidRDefault="00BC73C3" w:rsidP="00BC73C3">
      <w:pPr>
        <w:rPr>
          <w:rFonts w:ascii="Times New Roman" w:hAnsi="Times New Roman" w:cs="Times New Roman"/>
          <w:lang w:val="en-CA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6"/>
        <w:gridCol w:w="3533"/>
        <w:gridCol w:w="3515"/>
      </w:tblGrid>
      <w:tr w:rsidR="00BC73C3" w:rsidRPr="003B7177" w14:paraId="7CBA5983" w14:textId="77777777" w:rsidTr="005A28C8">
        <w:trPr>
          <w:tblHeader/>
          <w:jc w:val="center"/>
        </w:trPr>
        <w:tc>
          <w:tcPr>
            <w:tcW w:w="3106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3D9B9574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CA" w:eastAsia="it-IT"/>
              </w:rPr>
              <w:t>Parameter</w:t>
            </w:r>
          </w:p>
        </w:tc>
        <w:tc>
          <w:tcPr>
            <w:tcW w:w="3533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14C14AC6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CA" w:eastAsia="it-IT"/>
              </w:rPr>
              <w:t>Purpose</w:t>
            </w:r>
          </w:p>
        </w:tc>
        <w:tc>
          <w:tcPr>
            <w:tcW w:w="3515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</w:tcPr>
          <w:p w14:paraId="565E5A48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CA" w:eastAsia="it-IT"/>
              </w:rPr>
              <w:t>Comment</w:t>
            </w:r>
          </w:p>
        </w:tc>
      </w:tr>
      <w:tr w:rsidR="00BC73C3" w:rsidRPr="003B7177" w14:paraId="2D696EE3" w14:textId="77777777" w:rsidTr="005A28C8">
        <w:trPr>
          <w:jc w:val="center"/>
        </w:trPr>
        <w:tc>
          <w:tcPr>
            <w:tcW w:w="3106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hideMark/>
          </w:tcPr>
          <w:p w14:paraId="1409033C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  <w:t>Localizers centered on thoracic aorta and aortic valve plane</w:t>
            </w:r>
          </w:p>
        </w:tc>
        <w:tc>
          <w:tcPr>
            <w:tcW w:w="3533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hideMark/>
          </w:tcPr>
          <w:p w14:paraId="38CDC607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  <w:t>Determination of annular plane</w:t>
            </w:r>
          </w:p>
          <w:p w14:paraId="4932BAFB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  <w:t xml:space="preserve"> &amp; aortic position</w:t>
            </w:r>
          </w:p>
        </w:tc>
        <w:tc>
          <w:tcPr>
            <w:tcW w:w="3515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</w:tcPr>
          <w:p w14:paraId="3A3C111E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</w:p>
        </w:tc>
      </w:tr>
      <w:tr w:rsidR="00BC73C3" w:rsidRPr="003B7177" w14:paraId="10C8F188" w14:textId="77777777" w:rsidTr="005A28C8">
        <w:trPr>
          <w:jc w:val="center"/>
        </w:trPr>
        <w:tc>
          <w:tcPr>
            <w:tcW w:w="3106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hideMark/>
          </w:tcPr>
          <w:p w14:paraId="40CFBCC7" w14:textId="77777777" w:rsidR="00BC73C3" w:rsidRPr="003B7177" w:rsidRDefault="00BC73C3" w:rsidP="005A2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  <w:t>Black blood ECG-gated half-Fourier FSE images</w:t>
            </w:r>
          </w:p>
        </w:tc>
        <w:tc>
          <w:tcPr>
            <w:tcW w:w="3533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hideMark/>
          </w:tcPr>
          <w:p w14:paraId="7C89EE9D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  <w:t>General chest evaluation</w:t>
            </w:r>
          </w:p>
        </w:tc>
        <w:tc>
          <w:tcPr>
            <w:tcW w:w="3515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</w:tcPr>
          <w:p w14:paraId="5293F272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  <w:t>Non-gated axial SSFP* images can also be considered</w:t>
            </w:r>
          </w:p>
        </w:tc>
      </w:tr>
      <w:tr w:rsidR="00BC73C3" w:rsidRPr="003B7177" w14:paraId="67E76751" w14:textId="77777777" w:rsidTr="005A28C8">
        <w:trPr>
          <w:jc w:val="center"/>
        </w:trPr>
        <w:tc>
          <w:tcPr>
            <w:tcW w:w="3106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hideMark/>
          </w:tcPr>
          <w:p w14:paraId="07E6BA63" w14:textId="77777777" w:rsidR="00BC73C3" w:rsidRPr="003B7177" w:rsidRDefault="00BC73C3" w:rsidP="005A2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  <w:t>SSFP cine images along 2/3/4-chamber long- and short axis according to guidelines</w:t>
            </w:r>
          </w:p>
        </w:tc>
        <w:tc>
          <w:tcPr>
            <w:tcW w:w="3533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hideMark/>
          </w:tcPr>
          <w:p w14:paraId="3989227C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hAnsi="Times New Roman" w:cs="Times New Roman"/>
                <w:color w:val="000000"/>
                <w:sz w:val="20"/>
                <w:szCs w:val="20"/>
                <w:lang w:val="en-CA"/>
              </w:rPr>
              <w:t>Chamber evaluation</w:t>
            </w:r>
          </w:p>
        </w:tc>
        <w:tc>
          <w:tcPr>
            <w:tcW w:w="3515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</w:tcPr>
          <w:p w14:paraId="5CFCC391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CA"/>
              </w:rPr>
            </w:pPr>
            <w:r w:rsidRPr="003B7177">
              <w:rPr>
                <w:rFonts w:ascii="Times New Roman" w:hAnsi="Times New Roman" w:cs="Times New Roman"/>
                <w:color w:val="000000"/>
                <w:sz w:val="20"/>
                <w:szCs w:val="20"/>
                <w:lang w:val="en-CA"/>
              </w:rPr>
              <w:t>Short-axis stack needed for calculation of ejection fraction, ventricular volumes and mass</w:t>
            </w:r>
          </w:p>
        </w:tc>
      </w:tr>
      <w:tr w:rsidR="00BC73C3" w:rsidRPr="003B7177" w14:paraId="2FD614CD" w14:textId="77777777" w:rsidTr="005A28C8">
        <w:trPr>
          <w:jc w:val="center"/>
        </w:trPr>
        <w:tc>
          <w:tcPr>
            <w:tcW w:w="3106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hideMark/>
          </w:tcPr>
          <w:p w14:paraId="33737FDE" w14:textId="77777777" w:rsidR="00BC73C3" w:rsidRPr="003B7177" w:rsidRDefault="00BC73C3" w:rsidP="005A2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  <w:t>Double-oblique long- and short axis SSFP images through the aortic root</w:t>
            </w:r>
          </w:p>
        </w:tc>
        <w:tc>
          <w:tcPr>
            <w:tcW w:w="3533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hideMark/>
          </w:tcPr>
          <w:p w14:paraId="70FD41A2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  <w:t>Coverage of the aortic root, annular &amp; sinus measurements, height coronary ostia</w:t>
            </w:r>
          </w:p>
        </w:tc>
        <w:tc>
          <w:tcPr>
            <w:tcW w:w="3515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</w:tcPr>
          <w:p w14:paraId="3ECBE9D3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  <w:t>Breath-hold or 3D Navigator assisted acquisition</w:t>
            </w:r>
          </w:p>
        </w:tc>
      </w:tr>
      <w:tr w:rsidR="00BC73C3" w:rsidRPr="003B7177" w14:paraId="11DE7DC4" w14:textId="77777777" w:rsidTr="005A28C8">
        <w:trPr>
          <w:jc w:val="center"/>
        </w:trPr>
        <w:tc>
          <w:tcPr>
            <w:tcW w:w="3106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hideMark/>
          </w:tcPr>
          <w:p w14:paraId="42E8CB72" w14:textId="77777777" w:rsidR="00BC73C3" w:rsidRPr="003B7177" w:rsidRDefault="00BC73C3" w:rsidP="005A2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  <w:t>White or black blood ECG-gated half-Fourier FSE images</w:t>
            </w:r>
          </w:p>
        </w:tc>
        <w:tc>
          <w:tcPr>
            <w:tcW w:w="3533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hideMark/>
          </w:tcPr>
          <w:p w14:paraId="77D1BF7C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  <w:t>Annular &amp; sinus measurements, height coronary ostia</w:t>
            </w:r>
          </w:p>
        </w:tc>
        <w:tc>
          <w:tcPr>
            <w:tcW w:w="3515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</w:tcPr>
          <w:p w14:paraId="44ABE78A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  <w:t>Depending on quality of ECG-gated SSFP acquisition</w:t>
            </w:r>
          </w:p>
        </w:tc>
      </w:tr>
      <w:tr w:rsidR="00BC73C3" w:rsidRPr="003B7177" w14:paraId="254B801F" w14:textId="77777777" w:rsidTr="005A28C8">
        <w:trPr>
          <w:jc w:val="center"/>
        </w:trPr>
        <w:tc>
          <w:tcPr>
            <w:tcW w:w="3106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hideMark/>
          </w:tcPr>
          <w:p w14:paraId="1F8B7982" w14:textId="77777777" w:rsidR="00BC73C3" w:rsidRPr="003B7177" w:rsidRDefault="00BC73C3" w:rsidP="005A2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  <w:t>Phase-contrast images for Velocity mapping</w:t>
            </w:r>
          </w:p>
        </w:tc>
        <w:tc>
          <w:tcPr>
            <w:tcW w:w="3533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hideMark/>
          </w:tcPr>
          <w:p w14:paraId="44C137A2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hAnsi="Times New Roman" w:cs="Times New Roman"/>
                <w:color w:val="000000"/>
                <w:sz w:val="20"/>
                <w:szCs w:val="20"/>
                <w:lang w:val="en-CA"/>
              </w:rPr>
              <w:t xml:space="preserve">Calculation of transvalvular flow velocity, volume and pressure gradient </w:t>
            </w:r>
          </w:p>
        </w:tc>
        <w:tc>
          <w:tcPr>
            <w:tcW w:w="3515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</w:tcPr>
          <w:p w14:paraId="43801FA9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CA"/>
              </w:rPr>
            </w:pPr>
            <w:r w:rsidRPr="003B7177">
              <w:rPr>
                <w:rFonts w:ascii="Times New Roman" w:hAnsi="Times New Roman" w:cs="Times New Roman"/>
                <w:color w:val="000000"/>
                <w:sz w:val="20"/>
                <w:szCs w:val="20"/>
                <w:lang w:val="en-CA"/>
              </w:rPr>
              <w:t>Consider calcium quantification with CT in extensive valve calcification with inconclusive results</w:t>
            </w:r>
          </w:p>
        </w:tc>
      </w:tr>
      <w:tr w:rsidR="00BC73C3" w:rsidRPr="003B7177" w14:paraId="27BCDEDA" w14:textId="77777777" w:rsidTr="005A28C8">
        <w:trPr>
          <w:jc w:val="center"/>
        </w:trPr>
        <w:tc>
          <w:tcPr>
            <w:tcW w:w="3106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hideMark/>
          </w:tcPr>
          <w:p w14:paraId="5C7EE40D" w14:textId="77777777" w:rsidR="00BC73C3" w:rsidRPr="003B7177" w:rsidRDefault="00BC73C3" w:rsidP="005A2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  <w:lastRenderedPageBreak/>
              <w:t>Contrast-enhanced 3D GE T1-weighted MR angiography of aorta &amp; iliac vessels</w:t>
            </w:r>
          </w:p>
        </w:tc>
        <w:tc>
          <w:tcPr>
            <w:tcW w:w="3533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hideMark/>
          </w:tcPr>
          <w:p w14:paraId="0AFFA8CF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  <w:t>Investigation of luminal patency of access arteries</w:t>
            </w:r>
          </w:p>
        </w:tc>
        <w:tc>
          <w:tcPr>
            <w:tcW w:w="3515" w:type="dxa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</w:tcPr>
          <w:p w14:paraId="0CFBB7C3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  <w:t>Two acquisitions are often necessary to cover anatomy from thoracic aorta to below femoral bifurcation</w:t>
            </w:r>
          </w:p>
          <w:p w14:paraId="2FC56DE9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  <w:t>Sequence is not suitable for aortic root measurements</w:t>
            </w:r>
          </w:p>
          <w:p w14:paraId="441654B8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  <w:t>Visual start of sequence using monitoring slice in the ascending aorta</w:t>
            </w:r>
          </w:p>
        </w:tc>
      </w:tr>
      <w:tr w:rsidR="00BC73C3" w:rsidRPr="003B7177" w14:paraId="4242FCE6" w14:textId="77777777" w:rsidTr="005A28C8">
        <w:trPr>
          <w:jc w:val="center"/>
        </w:trPr>
        <w:tc>
          <w:tcPr>
            <w:tcW w:w="3106" w:type="dxa"/>
            <w:tcBorders>
              <w:top w:val="single" w:sz="2" w:space="0" w:color="E1E1E1"/>
              <w:left w:val="single" w:sz="2" w:space="0" w:color="E1E1E1"/>
              <w:bottom w:val="single" w:sz="2" w:space="0" w:color="E1E1E1"/>
              <w:right w:val="single" w:sz="2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</w:tcPr>
          <w:p w14:paraId="13BE1A07" w14:textId="77777777" w:rsidR="00BC73C3" w:rsidRPr="003B7177" w:rsidRDefault="00BC73C3" w:rsidP="005A2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  <w:t>Delayed enhancement short and long-axis IR T1-weighted images</w:t>
            </w:r>
          </w:p>
        </w:tc>
        <w:tc>
          <w:tcPr>
            <w:tcW w:w="3533" w:type="dxa"/>
            <w:tcBorders>
              <w:top w:val="single" w:sz="2" w:space="0" w:color="E1E1E1"/>
              <w:left w:val="single" w:sz="2" w:space="0" w:color="E1E1E1"/>
              <w:bottom w:val="single" w:sz="2" w:space="0" w:color="E1E1E1"/>
              <w:right w:val="single" w:sz="2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</w:tcPr>
          <w:p w14:paraId="7EF9474B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  <w:t>Detection of myocardial fibrosis</w:t>
            </w:r>
          </w:p>
        </w:tc>
        <w:tc>
          <w:tcPr>
            <w:tcW w:w="3515" w:type="dxa"/>
            <w:tcBorders>
              <w:top w:val="single" w:sz="2" w:space="0" w:color="E1E1E1"/>
              <w:left w:val="single" w:sz="2" w:space="0" w:color="E1E1E1"/>
              <w:bottom w:val="single" w:sz="2" w:space="0" w:color="E1E1E1"/>
              <w:right w:val="single" w:sz="2" w:space="0" w:color="E1E1E1"/>
            </w:tcBorders>
          </w:tcPr>
          <w:p w14:paraId="3C3116C3" w14:textId="77777777" w:rsidR="00BC73C3" w:rsidRPr="003B7177" w:rsidRDefault="00BC73C3" w:rsidP="005A2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</w:pPr>
            <w:r w:rsidRPr="003B71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CA" w:eastAsia="it-IT"/>
              </w:rPr>
              <w:t>Also consider T1-mapping techniques for interstitial fibrosis if available</w:t>
            </w:r>
          </w:p>
        </w:tc>
      </w:tr>
    </w:tbl>
    <w:p w14:paraId="1EECD707" w14:textId="77777777" w:rsidR="00BC73C3" w:rsidRPr="003B7177" w:rsidRDefault="00BC73C3" w:rsidP="00BC73C3">
      <w:pPr>
        <w:rPr>
          <w:rFonts w:ascii="Times New Roman" w:hAnsi="Times New Roman" w:cs="Times New Roman"/>
          <w:lang w:val="en-CA"/>
        </w:rPr>
      </w:pPr>
    </w:p>
    <w:p w14:paraId="7F01E85A" w14:textId="77777777" w:rsidR="00BC73C3" w:rsidRPr="003B7177" w:rsidRDefault="00BC73C3" w:rsidP="00BC73C3">
      <w:pPr>
        <w:rPr>
          <w:rFonts w:ascii="Times New Roman" w:hAnsi="Times New Roman" w:cs="Times New Roman"/>
          <w:lang w:val="en-CA"/>
        </w:rPr>
      </w:pPr>
    </w:p>
    <w:p w14:paraId="05F0B1B5" w14:textId="77777777" w:rsidR="00BC73C3" w:rsidRPr="00FF7E3A" w:rsidRDefault="00BC73C3" w:rsidP="00470744">
      <w:pPr>
        <w:rPr>
          <w:lang w:val="en-CA"/>
        </w:rPr>
      </w:pPr>
    </w:p>
    <w:p w14:paraId="099910C3" w14:textId="77777777" w:rsidR="00EA04CA" w:rsidRPr="003B7177" w:rsidRDefault="00EA04CA" w:rsidP="00470744">
      <w:pPr>
        <w:pStyle w:val="Heading1"/>
        <w:numPr>
          <w:ilvl w:val="0"/>
          <w:numId w:val="0"/>
        </w:numPr>
        <w:ind w:left="357"/>
        <w:rPr>
          <w:lang w:val="en-CA"/>
        </w:rPr>
      </w:pPr>
      <w:bookmarkStart w:id="0" w:name="_GoBack"/>
      <w:bookmarkEnd w:id="0"/>
    </w:p>
    <w:sectPr w:rsidR="00EA04CA" w:rsidRPr="003B7177">
      <w:footerReference w:type="even" r:id="rId8"/>
      <w:footerReference w:type="default" r:id="rId9"/>
      <w:pgSz w:w="11906" w:h="16838" w:code="9"/>
      <w:pgMar w:top="873" w:right="873" w:bottom="873" w:left="87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23EBF" w14:textId="77777777" w:rsidR="00062BFC" w:rsidRDefault="00062BFC">
      <w:pPr>
        <w:spacing w:after="0" w:line="240" w:lineRule="auto"/>
      </w:pPr>
      <w:r>
        <w:separator/>
      </w:r>
    </w:p>
  </w:endnote>
  <w:endnote w:type="continuationSeparator" w:id="0">
    <w:p w14:paraId="13D80A04" w14:textId="77777777" w:rsidR="00062BFC" w:rsidRDefault="0006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20B06040202020202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038433215"/>
      <w:docPartObj>
        <w:docPartGallery w:val="Page Numbers (Bottom of Page)"/>
        <w:docPartUnique/>
      </w:docPartObj>
    </w:sdtPr>
    <w:sdtContent>
      <w:p w14:paraId="76C3FC51" w14:textId="1FE4AD96" w:rsidR="006D0500" w:rsidRDefault="006D0500" w:rsidP="0018135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BE12137" w14:textId="77777777" w:rsidR="006D0500" w:rsidRDefault="006D0500" w:rsidP="006D05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80587817"/>
      <w:docPartObj>
        <w:docPartGallery w:val="Page Numbers (Bottom of Page)"/>
        <w:docPartUnique/>
      </w:docPartObj>
    </w:sdtPr>
    <w:sdtContent>
      <w:p w14:paraId="27E4F933" w14:textId="632C1108" w:rsidR="006D0500" w:rsidRDefault="006D0500" w:rsidP="0018135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C882F3A" w14:textId="54A2440B" w:rsidR="006D0500" w:rsidRDefault="006D0500" w:rsidP="006D0500">
    <w:pPr>
      <w:pStyle w:val="Footer"/>
      <w:ind w:right="360"/>
    </w:pPr>
    <w:proofErr w:type="spellStart"/>
    <w:r>
      <w:t>Eur</w:t>
    </w:r>
    <w:proofErr w:type="spellEnd"/>
    <w:r>
      <w:t xml:space="preserve"> </w:t>
    </w:r>
    <w:proofErr w:type="spellStart"/>
    <w:r>
      <w:t>Radiol</w:t>
    </w:r>
    <w:proofErr w:type="spellEnd"/>
    <w:r>
      <w:t xml:space="preserve"> (2019) </w:t>
    </w:r>
    <w:proofErr w:type="spellStart"/>
    <w:r>
      <w:t>Francone</w:t>
    </w:r>
    <w:proofErr w:type="spellEnd"/>
    <w:r>
      <w:t xml:space="preserve"> M, </w:t>
    </w:r>
    <w:proofErr w:type="spellStart"/>
    <w:r>
      <w:t>Budde</w:t>
    </w:r>
    <w:proofErr w:type="spellEnd"/>
    <w:r>
      <w:t xml:space="preserve"> RPJ, </w:t>
    </w:r>
    <w:proofErr w:type="spellStart"/>
    <w:r>
      <w:t>Bremerich</w:t>
    </w:r>
    <w:proofErr w:type="spellEnd"/>
    <w:r>
      <w:t xml:space="preserve"> J et 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AF10E" w14:textId="77777777" w:rsidR="00062BFC" w:rsidRDefault="00062BFC">
      <w:pPr>
        <w:spacing w:after="0" w:line="240" w:lineRule="auto"/>
      </w:pPr>
      <w:r>
        <w:separator/>
      </w:r>
    </w:p>
  </w:footnote>
  <w:footnote w:type="continuationSeparator" w:id="0">
    <w:p w14:paraId="3B8C25D5" w14:textId="77777777" w:rsidR="00062BFC" w:rsidRDefault="00062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CB8DC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1B7DD9"/>
    <w:multiLevelType w:val="hybridMultilevel"/>
    <w:tmpl w:val="EFAC34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B270C7"/>
    <w:multiLevelType w:val="hybridMultilevel"/>
    <w:tmpl w:val="6C6AB4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32E10"/>
    <w:multiLevelType w:val="hybridMultilevel"/>
    <w:tmpl w:val="D422C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D3FB3"/>
    <w:multiLevelType w:val="multilevel"/>
    <w:tmpl w:val="0CC425B2"/>
    <w:lvl w:ilvl="0">
      <w:start w:val="75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10"/>
      <w:numFmt w:val="decimal"/>
      <w:lvlText w:val="%1-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BDB50A7"/>
    <w:multiLevelType w:val="hybridMultilevel"/>
    <w:tmpl w:val="B3EE29F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31129"/>
    <w:multiLevelType w:val="hybridMultilevel"/>
    <w:tmpl w:val="CBDE9DE8"/>
    <w:lvl w:ilvl="0" w:tplc="0409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E3F32"/>
    <w:multiLevelType w:val="hybridMultilevel"/>
    <w:tmpl w:val="136C7FA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6C4F55"/>
    <w:multiLevelType w:val="hybridMultilevel"/>
    <w:tmpl w:val="6E9CEE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E3186"/>
    <w:multiLevelType w:val="hybridMultilevel"/>
    <w:tmpl w:val="E6F62A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4D8BAE0">
      <w:start w:val="75"/>
      <w:numFmt w:val="bullet"/>
      <w:lvlText w:val=""/>
      <w:lvlJc w:val="left"/>
      <w:pPr>
        <w:ind w:left="1800" w:hanging="360"/>
      </w:pPr>
      <w:rPr>
        <w:rFonts w:ascii="Wingdings" w:eastAsia="Times New Roman" w:hAnsi="Wingdings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23615C"/>
    <w:multiLevelType w:val="hybridMultilevel"/>
    <w:tmpl w:val="D37849F0"/>
    <w:lvl w:ilvl="0" w:tplc="8D8A65FC">
      <w:start w:val="5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164D5F"/>
    <w:multiLevelType w:val="hybridMultilevel"/>
    <w:tmpl w:val="D50CEF2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5A28C7"/>
    <w:multiLevelType w:val="hybridMultilevel"/>
    <w:tmpl w:val="489E39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7C0552"/>
    <w:multiLevelType w:val="hybridMultilevel"/>
    <w:tmpl w:val="77E62A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439B9"/>
    <w:multiLevelType w:val="hybridMultilevel"/>
    <w:tmpl w:val="14A422B2"/>
    <w:lvl w:ilvl="0" w:tplc="08AAC74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C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66C35"/>
    <w:multiLevelType w:val="hybridMultilevel"/>
    <w:tmpl w:val="62F0F2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C03972"/>
    <w:multiLevelType w:val="hybridMultilevel"/>
    <w:tmpl w:val="202CA8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57C97"/>
    <w:multiLevelType w:val="multilevel"/>
    <w:tmpl w:val="E5962ECE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7177D12"/>
    <w:multiLevelType w:val="hybridMultilevel"/>
    <w:tmpl w:val="2B360224"/>
    <w:lvl w:ilvl="0" w:tplc="E1365F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77904"/>
    <w:multiLevelType w:val="hybridMultilevel"/>
    <w:tmpl w:val="2FBA7CB4"/>
    <w:lvl w:ilvl="0" w:tplc="833C2CE2">
      <w:start w:val="5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5A159D"/>
    <w:multiLevelType w:val="hybridMultilevel"/>
    <w:tmpl w:val="A6C439E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24A4C"/>
    <w:multiLevelType w:val="hybridMultilevel"/>
    <w:tmpl w:val="88BE84EC"/>
    <w:lvl w:ilvl="0" w:tplc="9516EE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F52952"/>
    <w:multiLevelType w:val="hybridMultilevel"/>
    <w:tmpl w:val="0204D0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EE18A3"/>
    <w:multiLevelType w:val="hybridMultilevel"/>
    <w:tmpl w:val="AC42E4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3A6838"/>
    <w:multiLevelType w:val="hybridMultilevel"/>
    <w:tmpl w:val="F5D8E0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F5753"/>
    <w:multiLevelType w:val="hybridMultilevel"/>
    <w:tmpl w:val="AE3A61E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7818DC"/>
    <w:multiLevelType w:val="multilevel"/>
    <w:tmpl w:val="91641324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AA14A73"/>
    <w:multiLevelType w:val="hybridMultilevel"/>
    <w:tmpl w:val="DCBA60FA"/>
    <w:lvl w:ilvl="0" w:tplc="48BE2A5E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CC24A6"/>
    <w:multiLevelType w:val="hybridMultilevel"/>
    <w:tmpl w:val="931AC1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5335C"/>
    <w:multiLevelType w:val="hybridMultilevel"/>
    <w:tmpl w:val="5A6677A8"/>
    <w:lvl w:ilvl="0" w:tplc="206648C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8"/>
  </w:num>
  <w:num w:numId="4">
    <w:abstractNumId w:val="7"/>
  </w:num>
  <w:num w:numId="5">
    <w:abstractNumId w:val="14"/>
  </w:num>
  <w:num w:numId="6">
    <w:abstractNumId w:val="13"/>
  </w:num>
  <w:num w:numId="7">
    <w:abstractNumId w:val="25"/>
  </w:num>
  <w:num w:numId="8">
    <w:abstractNumId w:val="5"/>
  </w:num>
  <w:num w:numId="9">
    <w:abstractNumId w:val="20"/>
  </w:num>
  <w:num w:numId="10">
    <w:abstractNumId w:val="24"/>
  </w:num>
  <w:num w:numId="11">
    <w:abstractNumId w:val="23"/>
  </w:num>
  <w:num w:numId="12">
    <w:abstractNumId w:val="12"/>
  </w:num>
  <w:num w:numId="13">
    <w:abstractNumId w:val="16"/>
  </w:num>
  <w:num w:numId="14">
    <w:abstractNumId w:val="0"/>
  </w:num>
  <w:num w:numId="15">
    <w:abstractNumId w:val="22"/>
  </w:num>
  <w:num w:numId="16">
    <w:abstractNumId w:val="29"/>
  </w:num>
  <w:num w:numId="17">
    <w:abstractNumId w:val="2"/>
  </w:num>
  <w:num w:numId="18">
    <w:abstractNumId w:val="11"/>
  </w:num>
  <w:num w:numId="19">
    <w:abstractNumId w:val="19"/>
  </w:num>
  <w:num w:numId="20">
    <w:abstractNumId w:val="10"/>
  </w:num>
  <w:num w:numId="21">
    <w:abstractNumId w:val="27"/>
  </w:num>
  <w:num w:numId="22">
    <w:abstractNumId w:val="15"/>
  </w:num>
  <w:num w:numId="23">
    <w:abstractNumId w:val="8"/>
  </w:num>
  <w:num w:numId="24">
    <w:abstractNumId w:val="6"/>
  </w:num>
  <w:num w:numId="25">
    <w:abstractNumId w:val="3"/>
  </w:num>
  <w:num w:numId="26">
    <w:abstractNumId w:val="1"/>
  </w:num>
  <w:num w:numId="27">
    <w:abstractNumId w:val="9"/>
  </w:num>
  <w:num w:numId="28">
    <w:abstractNumId w:val="26"/>
  </w:num>
  <w:num w:numId="29">
    <w:abstractNumId w:val="4"/>
  </w:num>
  <w:num w:numId="30">
    <w:abstractNumId w:val="17"/>
  </w:num>
  <w:num w:numId="31">
    <w:abstractNumId w:val="26"/>
    <w:lvlOverride w:ilvl="0">
      <w:startOverride w:val="1"/>
    </w:lvlOverride>
    <w:lvlOverride w:ilvl="1">
      <w:startOverride w:val="2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4E9"/>
    <w:rsid w:val="00006F1C"/>
    <w:rsid w:val="0000796B"/>
    <w:rsid w:val="00010D15"/>
    <w:rsid w:val="00015DEB"/>
    <w:rsid w:val="00062BFC"/>
    <w:rsid w:val="000B1F3C"/>
    <w:rsid w:val="00125F39"/>
    <w:rsid w:val="00137C6B"/>
    <w:rsid w:val="00142D11"/>
    <w:rsid w:val="001563AD"/>
    <w:rsid w:val="001637E0"/>
    <w:rsid w:val="00170A06"/>
    <w:rsid w:val="001B180F"/>
    <w:rsid w:val="001C3260"/>
    <w:rsid w:val="001E2C58"/>
    <w:rsid w:val="001F17EE"/>
    <w:rsid w:val="00212425"/>
    <w:rsid w:val="00224494"/>
    <w:rsid w:val="002B0F74"/>
    <w:rsid w:val="00303095"/>
    <w:rsid w:val="003120D8"/>
    <w:rsid w:val="0035117D"/>
    <w:rsid w:val="003B2DB0"/>
    <w:rsid w:val="003B5D8A"/>
    <w:rsid w:val="003B637D"/>
    <w:rsid w:val="003B7177"/>
    <w:rsid w:val="003C246A"/>
    <w:rsid w:val="00400B1B"/>
    <w:rsid w:val="004014D2"/>
    <w:rsid w:val="00402003"/>
    <w:rsid w:val="00433F74"/>
    <w:rsid w:val="00470744"/>
    <w:rsid w:val="0049198F"/>
    <w:rsid w:val="004A5DCE"/>
    <w:rsid w:val="004B26C6"/>
    <w:rsid w:val="004C330C"/>
    <w:rsid w:val="004C385E"/>
    <w:rsid w:val="004C5507"/>
    <w:rsid w:val="004E34E9"/>
    <w:rsid w:val="00517FEE"/>
    <w:rsid w:val="00530ADE"/>
    <w:rsid w:val="00533EE5"/>
    <w:rsid w:val="005414C9"/>
    <w:rsid w:val="00553F1F"/>
    <w:rsid w:val="00564BCF"/>
    <w:rsid w:val="005853F6"/>
    <w:rsid w:val="005B3B23"/>
    <w:rsid w:val="005C25E3"/>
    <w:rsid w:val="005C7D3B"/>
    <w:rsid w:val="006576E2"/>
    <w:rsid w:val="006942EC"/>
    <w:rsid w:val="006A0BE0"/>
    <w:rsid w:val="006D0500"/>
    <w:rsid w:val="006D53F8"/>
    <w:rsid w:val="00712D38"/>
    <w:rsid w:val="007630C8"/>
    <w:rsid w:val="0077561E"/>
    <w:rsid w:val="007939F3"/>
    <w:rsid w:val="007A2814"/>
    <w:rsid w:val="007A715F"/>
    <w:rsid w:val="007C1E79"/>
    <w:rsid w:val="007C7BD5"/>
    <w:rsid w:val="007D7362"/>
    <w:rsid w:val="007E7494"/>
    <w:rsid w:val="007E77D3"/>
    <w:rsid w:val="007F3013"/>
    <w:rsid w:val="00827798"/>
    <w:rsid w:val="00832172"/>
    <w:rsid w:val="00844FB0"/>
    <w:rsid w:val="00847B69"/>
    <w:rsid w:val="00853BFF"/>
    <w:rsid w:val="0086398F"/>
    <w:rsid w:val="00882138"/>
    <w:rsid w:val="008B273E"/>
    <w:rsid w:val="00912534"/>
    <w:rsid w:val="009178A2"/>
    <w:rsid w:val="009200C4"/>
    <w:rsid w:val="00925A22"/>
    <w:rsid w:val="00937B3A"/>
    <w:rsid w:val="00962539"/>
    <w:rsid w:val="0096571F"/>
    <w:rsid w:val="00995796"/>
    <w:rsid w:val="00995D60"/>
    <w:rsid w:val="009C3D10"/>
    <w:rsid w:val="009C4380"/>
    <w:rsid w:val="009E69CC"/>
    <w:rsid w:val="00A1394E"/>
    <w:rsid w:val="00A531A2"/>
    <w:rsid w:val="00A82EAF"/>
    <w:rsid w:val="00A87E7E"/>
    <w:rsid w:val="00A97607"/>
    <w:rsid w:val="00AE15EE"/>
    <w:rsid w:val="00B31D44"/>
    <w:rsid w:val="00B33D67"/>
    <w:rsid w:val="00B47107"/>
    <w:rsid w:val="00B94768"/>
    <w:rsid w:val="00BC28E6"/>
    <w:rsid w:val="00BC701B"/>
    <w:rsid w:val="00BC73A2"/>
    <w:rsid w:val="00BC73C3"/>
    <w:rsid w:val="00BD0302"/>
    <w:rsid w:val="00BE22C0"/>
    <w:rsid w:val="00C23A78"/>
    <w:rsid w:val="00C30575"/>
    <w:rsid w:val="00C30964"/>
    <w:rsid w:val="00C95106"/>
    <w:rsid w:val="00CB2489"/>
    <w:rsid w:val="00CC333A"/>
    <w:rsid w:val="00D31140"/>
    <w:rsid w:val="00D91DCC"/>
    <w:rsid w:val="00DA2F15"/>
    <w:rsid w:val="00DD4C06"/>
    <w:rsid w:val="00DE310D"/>
    <w:rsid w:val="00DF41F3"/>
    <w:rsid w:val="00DF4823"/>
    <w:rsid w:val="00E16B54"/>
    <w:rsid w:val="00E60E59"/>
    <w:rsid w:val="00E71F99"/>
    <w:rsid w:val="00E75FBB"/>
    <w:rsid w:val="00E86553"/>
    <w:rsid w:val="00E917F0"/>
    <w:rsid w:val="00E97B89"/>
    <w:rsid w:val="00EA04CA"/>
    <w:rsid w:val="00EC185F"/>
    <w:rsid w:val="00ED217D"/>
    <w:rsid w:val="00F01469"/>
    <w:rsid w:val="00F37173"/>
    <w:rsid w:val="00F53B36"/>
    <w:rsid w:val="00F60880"/>
    <w:rsid w:val="00F87A60"/>
    <w:rsid w:val="00FD5E67"/>
    <w:rsid w:val="00FE4697"/>
    <w:rsid w:val="00FE7889"/>
    <w:rsid w:val="00FF0E1B"/>
    <w:rsid w:val="00FF7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,"/>
  <w14:docId w14:val="2FE25029"/>
  <w14:defaultImageDpi w14:val="32767"/>
  <w15:chartTrackingRefBased/>
  <w15:docId w15:val="{27AED460-567E-7646-9ABE-571D24E3D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</w:latentStyles>
  <w:style w:type="paragraph" w:default="1" w:styleId="Normal">
    <w:name w:val="Normal"/>
    <w:qFormat/>
    <w:rsid w:val="006A0BE0"/>
    <w:pPr>
      <w:spacing w:after="180" w:line="27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0BE0"/>
    <w:pPr>
      <w:keepNext/>
      <w:keepLines/>
      <w:numPr>
        <w:numId w:val="28"/>
      </w:numPr>
      <w:spacing w:before="360" w:after="120" w:line="240" w:lineRule="auto"/>
      <w:outlineLvl w:val="0"/>
    </w:pPr>
    <w:rPr>
      <w:rFonts w:ascii="Times New Roman" w:eastAsiaTheme="majorEastAsia" w:hAnsi="Times New Roman" w:cs="Times New Roman"/>
      <w:bCs/>
      <w:color w:val="000000" w:themeColor="text1"/>
      <w:spacing w:val="20"/>
      <w:sz w:val="24"/>
      <w:szCs w:val="24"/>
      <w:lang w:val="nl-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0BE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472C4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0BE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BE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0BE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0BE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0BE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0BE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0BE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0BE0"/>
    <w:rPr>
      <w:rFonts w:ascii="Times New Roman" w:eastAsiaTheme="majorEastAsia" w:hAnsi="Times New Roman" w:cs="Times New Roman"/>
      <w:bCs/>
      <w:color w:val="000000" w:themeColor="text1"/>
      <w:spacing w:val="20"/>
      <w:sz w:val="24"/>
      <w:szCs w:val="24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Pr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Pr>
      <w:sz w:val="22"/>
      <w:szCs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A0BE0"/>
    <w:rPr>
      <w:rFonts w:eastAsiaTheme="majorEastAsia" w:cstheme="majorBidi"/>
      <w:b/>
      <w:bCs/>
      <w:color w:val="4472C4" w:themeColor="accent1"/>
      <w:sz w:val="28"/>
      <w:szCs w:val="26"/>
    </w:rPr>
  </w:style>
  <w:style w:type="paragraph" w:customStyle="1" w:styleId="ColorfulShading-Accent31">
    <w:name w:val="Colorful Shading - Accent 31"/>
    <w:basedOn w:val="Normal"/>
    <w:uiPriority w:val="34"/>
    <w:pPr>
      <w:ind w:left="720"/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character" w:customStyle="1" w:styleId="postbody">
    <w:name w:val="postbody"/>
    <w:basedOn w:val="DefaultParagraphFont"/>
  </w:style>
  <w:style w:type="character" w:customStyle="1" w:styleId="apple-style-span">
    <w:name w:val="apple-style-span"/>
    <w:basedOn w:val="DefaultParagraphFont"/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val="es-ES" w:eastAsia="ja-JP"/>
    </w:rPr>
  </w:style>
  <w:style w:type="paragraph" w:customStyle="1" w:styleId="Grigliamedia21">
    <w:name w:val="Griglia media 21"/>
    <w:uiPriority w:val="1"/>
    <w:rPr>
      <w:lang w:val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53F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553F1F"/>
    <w:rPr>
      <w:rFonts w:ascii="Courier" w:hAnsi="Courier" w:cs="Courier"/>
    </w:rPr>
  </w:style>
  <w:style w:type="character" w:customStyle="1" w:styleId="apple-converted-space">
    <w:name w:val="apple-converted-space"/>
    <w:rsid w:val="005853F6"/>
  </w:style>
  <w:style w:type="character" w:customStyle="1" w:styleId="xref-table">
    <w:name w:val="xref-table"/>
    <w:rsid w:val="005853F6"/>
  </w:style>
  <w:style w:type="paragraph" w:customStyle="1" w:styleId="ListParagraph1">
    <w:name w:val="List Paragraph1"/>
    <w:basedOn w:val="Normal"/>
    <w:rsid w:val="007939F3"/>
    <w:pPr>
      <w:spacing w:after="0" w:line="240" w:lineRule="auto"/>
      <w:ind w:left="720"/>
      <w:contextualSpacing/>
    </w:pPr>
    <w:rPr>
      <w:rFonts w:ascii="Cambria" w:eastAsia="MS Minngs" w:hAnsi="Cambria"/>
      <w:sz w:val="24"/>
      <w:szCs w:val="24"/>
    </w:rPr>
  </w:style>
  <w:style w:type="paragraph" w:customStyle="1" w:styleId="PersonalName">
    <w:name w:val="Personal Name"/>
    <w:basedOn w:val="Title"/>
    <w:qFormat/>
    <w:rsid w:val="006A0BE0"/>
    <w:rPr>
      <w:b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6A0BE0"/>
    <w:pPr>
      <w:spacing w:after="120" w:line="240" w:lineRule="auto"/>
      <w:contextualSpacing/>
    </w:pPr>
    <w:rPr>
      <w:rFonts w:ascii="Times New Roman" w:eastAsiaTheme="majorEastAsia" w:hAnsi="Times New Roman" w:cs="Times New Roman"/>
      <w:color w:val="44546A" w:themeColor="text2"/>
      <w:spacing w:val="30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6A0BE0"/>
    <w:rPr>
      <w:rFonts w:ascii="Times New Roman" w:eastAsiaTheme="majorEastAsia" w:hAnsi="Times New Roman" w:cs="Times New Roman"/>
      <w:color w:val="44546A" w:themeColor="text2"/>
      <w:spacing w:val="30"/>
      <w:kern w:val="28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0BE0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BE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0BE0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0BE0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0BE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0BE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0BE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A0BE0"/>
    <w:pPr>
      <w:spacing w:line="240" w:lineRule="auto"/>
    </w:pPr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0BE0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A0BE0"/>
    <w:rPr>
      <w:rFonts w:eastAsiaTheme="majorEastAsia" w:cstheme="majorBidi"/>
      <w:iCs/>
      <w:color w:val="44546A" w:themeColor="text2"/>
      <w:sz w:val="40"/>
      <w:szCs w:val="24"/>
    </w:rPr>
  </w:style>
  <w:style w:type="character" w:styleId="Strong">
    <w:name w:val="Strong"/>
    <w:basedOn w:val="DefaultParagraphFont"/>
    <w:uiPriority w:val="22"/>
    <w:qFormat/>
    <w:rsid w:val="006A0BE0"/>
    <w:rPr>
      <w:b w:val="0"/>
      <w:bCs/>
      <w:i/>
      <w:color w:val="44546A" w:themeColor="text2"/>
    </w:rPr>
  </w:style>
  <w:style w:type="character" w:styleId="Emphasis">
    <w:name w:val="Emphasis"/>
    <w:basedOn w:val="DefaultParagraphFont"/>
    <w:uiPriority w:val="20"/>
    <w:qFormat/>
    <w:rsid w:val="006A0BE0"/>
    <w:rPr>
      <w:b/>
      <w:i/>
      <w:iCs/>
    </w:rPr>
  </w:style>
  <w:style w:type="paragraph" w:styleId="NoSpacing">
    <w:name w:val="No Spacing"/>
    <w:link w:val="NoSpacingChar"/>
    <w:uiPriority w:val="1"/>
    <w:qFormat/>
    <w:rsid w:val="006A0BE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A0BE0"/>
  </w:style>
  <w:style w:type="paragraph" w:styleId="ListParagraph">
    <w:name w:val="List Paragraph"/>
    <w:basedOn w:val="Normal"/>
    <w:uiPriority w:val="34"/>
    <w:qFormat/>
    <w:rsid w:val="006A0BE0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6A0BE0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6A0BE0"/>
    <w:rPr>
      <w:rFonts w:eastAsiaTheme="minorEastAsia"/>
      <w:b/>
      <w:i/>
      <w:iCs/>
      <w:color w:val="4472C4" w:themeColor="accent1"/>
      <w:sz w:val="26"/>
    </w:rPr>
  </w:style>
  <w:style w:type="paragraph" w:styleId="IntenseQuote">
    <w:name w:val="Intense Quote"/>
    <w:basedOn w:val="Heading1"/>
    <w:next w:val="Normal"/>
    <w:link w:val="IntenseQuoteChar"/>
    <w:uiPriority w:val="30"/>
    <w:qFormat/>
    <w:rsid w:val="006A0BE0"/>
  </w:style>
  <w:style w:type="character" w:customStyle="1" w:styleId="IntenseQuoteChar">
    <w:name w:val="Intense Quote Char"/>
    <w:basedOn w:val="DefaultParagraphFont"/>
    <w:link w:val="IntenseQuote"/>
    <w:uiPriority w:val="30"/>
    <w:rsid w:val="006A0BE0"/>
    <w:rPr>
      <w:rFonts w:ascii="Times New Roman" w:eastAsiaTheme="majorEastAsia" w:hAnsi="Times New Roman" w:cs="Times New Roman"/>
      <w:bCs/>
      <w:color w:val="4472C4" w:themeColor="accent1"/>
      <w:spacing w:val="20"/>
      <w:sz w:val="24"/>
      <w:szCs w:val="24"/>
      <w:lang w:val="nl-NL"/>
    </w:rPr>
  </w:style>
  <w:style w:type="character" w:styleId="SubtleEmphasis">
    <w:name w:val="Subtle Emphasis"/>
    <w:basedOn w:val="DefaultParagraphFont"/>
    <w:uiPriority w:val="19"/>
    <w:qFormat/>
    <w:rsid w:val="006A0BE0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6A0BE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6A0BE0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6A0BE0"/>
    <w:rPr>
      <w:b w:val="0"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A0BE0"/>
    <w:rPr>
      <w:b/>
      <w:bCs/>
      <w:caps/>
      <w:smallCaps w:val="0"/>
      <w:color w:val="44546A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A0BE0"/>
    <w:pPr>
      <w:spacing w:before="480" w:line="264" w:lineRule="auto"/>
      <w:outlineLvl w:val="9"/>
    </w:pPr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9E6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6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9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9CC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B717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B7177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B7177"/>
    <w:pPr>
      <w:spacing w:after="0" w:line="240" w:lineRule="auto"/>
    </w:pPr>
    <w:rPr>
      <w:sz w:val="21"/>
    </w:rPr>
  </w:style>
  <w:style w:type="character" w:styleId="PageNumber">
    <w:name w:val="page number"/>
    <w:basedOn w:val="DefaultParagraphFont"/>
    <w:uiPriority w:val="99"/>
    <w:semiHidden/>
    <w:unhideWhenUsed/>
    <w:rsid w:val="006D0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4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1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16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60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28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8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14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74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7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9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3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2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0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8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26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8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2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10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1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1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36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5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6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1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9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1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4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7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26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82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55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57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4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14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33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00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44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24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7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86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66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3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04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1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5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9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4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63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8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1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2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9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06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7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3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46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9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9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9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32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6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8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1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7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4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0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E00C5B7-0CB3-8749-A1DF-1DB45DA30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PLEASE FILL IN &amp; RETURN TO specpublications@escardio</vt:lpstr>
    </vt:vector>
  </TitlesOfParts>
  <Company>ESC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FILL IN &amp; RETURN TO specpublications@escardio</dc:title>
  <dc:subject/>
  <dc:creator>myriam_lafay</dc:creator>
  <cp:keywords/>
  <cp:lastModifiedBy>Gr4fix s.r.o</cp:lastModifiedBy>
  <cp:revision>2</cp:revision>
  <cp:lastPrinted>2011-09-20T13:14:00Z</cp:lastPrinted>
  <dcterms:created xsi:type="dcterms:W3CDTF">2019-07-03T10:13:00Z</dcterms:created>
  <dcterms:modified xsi:type="dcterms:W3CDTF">2019-07-03T10:13:00Z</dcterms:modified>
</cp:coreProperties>
</file>