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2DE6F" w14:textId="55B35E73" w:rsidR="00351265" w:rsidRDefault="009E6677" w:rsidP="00351265">
      <w:pPr>
        <w:spacing w:before="100" w:beforeAutospacing="1" w:after="100" w:afterAutospacing="1"/>
        <w:jc w:val="both"/>
        <w:rPr>
          <w:rFonts w:cs="Arial"/>
          <w:b/>
          <w:lang w:val="en-GB"/>
        </w:rPr>
      </w:pPr>
      <w:r w:rsidRPr="009E6677">
        <w:rPr>
          <w:rFonts w:cs="Arial"/>
          <w:b/>
          <w:lang w:val="en-GB"/>
        </w:rPr>
        <w:t>Supplementary Materials</w:t>
      </w:r>
    </w:p>
    <w:p w14:paraId="6124A3F8" w14:textId="5C344FF9" w:rsidR="009E6677" w:rsidRDefault="00C214C8" w:rsidP="00C214C8">
      <w:pPr>
        <w:spacing w:before="100" w:beforeAutospacing="1" w:after="100" w:afterAutospacing="1"/>
        <w:jc w:val="both"/>
        <w:rPr>
          <w:rFonts w:cs="Arial"/>
          <w:lang w:val="en-GB"/>
        </w:rPr>
      </w:pPr>
      <w:r w:rsidRPr="00C214C8">
        <w:rPr>
          <w:rFonts w:cs="Arial"/>
          <w:b/>
          <w:lang w:val="en-GB"/>
        </w:rPr>
        <w:t>Supplementary Table 1</w:t>
      </w:r>
      <w:r>
        <w:rPr>
          <w:rFonts w:cs="Arial"/>
          <w:lang w:val="en-GB"/>
        </w:rPr>
        <w:t xml:space="preserve"> </w:t>
      </w:r>
      <w:r w:rsidR="00EB30BE" w:rsidRPr="00EB30BE">
        <w:rPr>
          <w:rFonts w:cs="Times-Bold"/>
          <w:bCs/>
          <w:lang w:val="en-US"/>
        </w:rPr>
        <w:t>Use</w:t>
      </w:r>
      <w:r w:rsidR="00EB30BE" w:rsidRPr="00EB30BE">
        <w:rPr>
          <w:rFonts w:ascii="Times-Bold" w:hAnsi="Times-Bold" w:cs="Times-Bold"/>
          <w:bCs/>
          <w:lang w:val="en-US"/>
        </w:rPr>
        <w:t xml:space="preserve"> of FGTCA classification systems in order of frequency</w:t>
      </w: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266"/>
        <w:gridCol w:w="1250"/>
      </w:tblGrid>
      <w:tr w:rsidR="00351265" w14:paraId="1FA0E690" w14:textId="77777777" w:rsidTr="0018364B">
        <w:tc>
          <w:tcPr>
            <w:tcW w:w="7763" w:type="dxa"/>
          </w:tcPr>
          <w:p w14:paraId="16EC113B" w14:textId="77777777" w:rsidR="00351265" w:rsidRPr="0018364B" w:rsidRDefault="00351265" w:rsidP="0018364B">
            <w:pPr>
              <w:spacing w:before="100" w:beforeAutospacing="1" w:after="100" w:afterAutospacing="1"/>
              <w:jc w:val="both"/>
              <w:rPr>
                <w:rFonts w:cs="Arial"/>
                <w:lang w:val="en-GB"/>
              </w:rPr>
            </w:pPr>
            <w:r w:rsidRPr="0018364B">
              <w:rPr>
                <w:rFonts w:cs="Arial"/>
                <w:lang w:val="en-GB"/>
              </w:rPr>
              <w:t>ASRM (American Society for Reproductive Medicine)</w:t>
            </w:r>
          </w:p>
        </w:tc>
        <w:tc>
          <w:tcPr>
            <w:tcW w:w="1277" w:type="dxa"/>
          </w:tcPr>
          <w:p w14:paraId="795DD427" w14:textId="77777777" w:rsidR="00351265" w:rsidRPr="00152727" w:rsidRDefault="00351265" w:rsidP="006A2D09">
            <w:pPr>
              <w:spacing w:before="100" w:beforeAutospacing="1" w:after="100" w:afterAutospacing="1"/>
              <w:jc w:val="both"/>
              <w:rPr>
                <w:rFonts w:cs="Arial"/>
                <w:lang w:val="en-GB"/>
              </w:rPr>
            </w:pPr>
            <w:r w:rsidRPr="00152727">
              <w:rPr>
                <w:rFonts w:cs="Arial"/>
                <w:lang w:val="en-GB"/>
              </w:rPr>
              <w:t>n=5/17</w:t>
            </w:r>
          </w:p>
        </w:tc>
      </w:tr>
      <w:tr w:rsidR="00351265" w14:paraId="6599C712" w14:textId="77777777" w:rsidTr="0018364B">
        <w:tc>
          <w:tcPr>
            <w:tcW w:w="7763" w:type="dxa"/>
          </w:tcPr>
          <w:p w14:paraId="7AB9E8AB" w14:textId="77777777" w:rsidR="00351265" w:rsidRPr="00152727" w:rsidRDefault="00351265" w:rsidP="006A2D09">
            <w:pPr>
              <w:spacing w:before="100" w:beforeAutospacing="1" w:after="100" w:afterAutospacing="1"/>
              <w:jc w:val="both"/>
              <w:rPr>
                <w:rFonts w:cs="Arial"/>
                <w:lang w:val="en-GB"/>
              </w:rPr>
            </w:pPr>
            <w:r w:rsidRPr="00152727">
              <w:rPr>
                <w:rFonts w:cs="Arial"/>
                <w:lang w:val="en-GB"/>
              </w:rPr>
              <w:t>ESHRE/ESGE (</w:t>
            </w:r>
            <w:r w:rsidRPr="00152727">
              <w:rPr>
                <w:rStyle w:val="eop"/>
                <w:rFonts w:cs="Arial"/>
                <w:lang w:val="en-GB" w:eastAsia="en-GB"/>
              </w:rPr>
              <w:t>European Society of Human Reproduction and Embryology/European Society for Gynaecological Endoscopy)</w:t>
            </w:r>
          </w:p>
        </w:tc>
        <w:tc>
          <w:tcPr>
            <w:tcW w:w="1277" w:type="dxa"/>
          </w:tcPr>
          <w:p w14:paraId="491FD777" w14:textId="77777777" w:rsidR="00351265" w:rsidRPr="00152727" w:rsidRDefault="00351265" w:rsidP="006A2D09">
            <w:pPr>
              <w:spacing w:before="100" w:beforeAutospacing="1" w:after="100" w:afterAutospacing="1"/>
              <w:jc w:val="both"/>
              <w:rPr>
                <w:rFonts w:cs="Arial"/>
                <w:lang w:val="en-GB"/>
              </w:rPr>
            </w:pPr>
            <w:r w:rsidRPr="00152727">
              <w:rPr>
                <w:rFonts w:cs="Arial"/>
                <w:lang w:val="en-GB"/>
              </w:rPr>
              <w:t>n=4/17</w:t>
            </w:r>
          </w:p>
        </w:tc>
      </w:tr>
      <w:tr w:rsidR="00351265" w14:paraId="58F5B5D7" w14:textId="77777777" w:rsidTr="0018364B">
        <w:tc>
          <w:tcPr>
            <w:tcW w:w="7763" w:type="dxa"/>
          </w:tcPr>
          <w:p w14:paraId="5776EB62" w14:textId="77777777" w:rsidR="00351265" w:rsidRPr="00152727" w:rsidRDefault="00351265" w:rsidP="006A2D09">
            <w:pPr>
              <w:spacing w:before="100" w:beforeAutospacing="1" w:after="100" w:afterAutospacing="1"/>
              <w:jc w:val="both"/>
              <w:rPr>
                <w:rFonts w:cs="Arial"/>
                <w:lang w:val="en-GB"/>
              </w:rPr>
            </w:pPr>
            <w:r w:rsidRPr="00152727">
              <w:rPr>
                <w:rFonts w:cs="Arial"/>
                <w:lang w:val="en-GB"/>
              </w:rPr>
              <w:t>ASRM + ESHRE/ESGE in the same report</w:t>
            </w:r>
          </w:p>
        </w:tc>
        <w:tc>
          <w:tcPr>
            <w:tcW w:w="1277" w:type="dxa"/>
          </w:tcPr>
          <w:p w14:paraId="0830F362" w14:textId="77777777" w:rsidR="00351265" w:rsidRPr="00152727" w:rsidRDefault="00351265" w:rsidP="006A2D09">
            <w:pPr>
              <w:spacing w:before="100" w:beforeAutospacing="1" w:after="100" w:afterAutospacing="1"/>
              <w:jc w:val="both"/>
              <w:rPr>
                <w:rFonts w:cs="Arial"/>
                <w:lang w:val="en-GB"/>
              </w:rPr>
            </w:pPr>
            <w:r w:rsidRPr="00152727">
              <w:rPr>
                <w:rFonts w:cs="Arial"/>
                <w:lang w:val="en-GB"/>
              </w:rPr>
              <w:t>n=4/17</w:t>
            </w:r>
          </w:p>
        </w:tc>
      </w:tr>
      <w:tr w:rsidR="00351265" w14:paraId="24225DD4" w14:textId="77777777" w:rsidTr="0018364B">
        <w:tc>
          <w:tcPr>
            <w:tcW w:w="7763" w:type="dxa"/>
          </w:tcPr>
          <w:p w14:paraId="654DDEA2" w14:textId="77777777" w:rsidR="00351265" w:rsidRPr="00152727" w:rsidRDefault="00351265" w:rsidP="006A2D09">
            <w:pPr>
              <w:spacing w:before="100" w:beforeAutospacing="1" w:after="100" w:afterAutospacing="1"/>
              <w:jc w:val="both"/>
              <w:rPr>
                <w:rFonts w:cs="Arial"/>
                <w:lang w:val="en-GB"/>
              </w:rPr>
            </w:pPr>
            <w:r w:rsidRPr="00152727">
              <w:rPr>
                <w:rFonts w:cs="Arial"/>
                <w:lang w:val="en-GB"/>
              </w:rPr>
              <w:t xml:space="preserve">VCUAM </w:t>
            </w:r>
            <w:r w:rsidRPr="00152727">
              <w:rPr>
                <w:lang w:val="en-GB"/>
              </w:rPr>
              <w:t>(Vagina Cervix Uterus Adnexa and Associated Malformations)</w:t>
            </w:r>
          </w:p>
        </w:tc>
        <w:tc>
          <w:tcPr>
            <w:tcW w:w="1277" w:type="dxa"/>
          </w:tcPr>
          <w:p w14:paraId="7762CB68" w14:textId="3B4F30C2" w:rsidR="00351265" w:rsidRPr="00152727" w:rsidRDefault="00351265" w:rsidP="006A2D09">
            <w:pPr>
              <w:spacing w:before="100" w:beforeAutospacing="1" w:after="100" w:afterAutospacing="1"/>
              <w:jc w:val="both"/>
              <w:rPr>
                <w:rFonts w:cs="Arial"/>
                <w:lang w:val="en-GB"/>
              </w:rPr>
            </w:pPr>
            <w:r w:rsidRPr="00152727">
              <w:rPr>
                <w:rFonts w:cs="Arial"/>
                <w:lang w:val="en-GB"/>
              </w:rPr>
              <w:t>n=2</w:t>
            </w:r>
            <w:r w:rsidR="00E10867" w:rsidRPr="00152727">
              <w:rPr>
                <w:rFonts w:cs="Arial"/>
                <w:lang w:val="en-GB"/>
              </w:rPr>
              <w:t>/17</w:t>
            </w:r>
          </w:p>
        </w:tc>
      </w:tr>
      <w:tr w:rsidR="00351265" w14:paraId="2C652657" w14:textId="77777777" w:rsidTr="0018364B">
        <w:tc>
          <w:tcPr>
            <w:tcW w:w="7763" w:type="dxa"/>
          </w:tcPr>
          <w:p w14:paraId="55764A08" w14:textId="77777777" w:rsidR="00351265" w:rsidRPr="00152727" w:rsidRDefault="00351265" w:rsidP="006A2D09">
            <w:pPr>
              <w:spacing w:before="100" w:beforeAutospacing="1" w:after="100" w:afterAutospacing="1"/>
              <w:jc w:val="both"/>
              <w:rPr>
                <w:rFonts w:cs="Arial"/>
                <w:lang w:val="en-GB"/>
              </w:rPr>
            </w:pPr>
            <w:r w:rsidRPr="00152727">
              <w:rPr>
                <w:rFonts w:cs="Arial"/>
                <w:lang w:val="en-GB"/>
              </w:rPr>
              <w:t>No classification system</w:t>
            </w:r>
          </w:p>
        </w:tc>
        <w:tc>
          <w:tcPr>
            <w:tcW w:w="1277" w:type="dxa"/>
          </w:tcPr>
          <w:p w14:paraId="360301B4" w14:textId="680E581F" w:rsidR="00351265" w:rsidRPr="00152727" w:rsidRDefault="00351265" w:rsidP="006A2D09">
            <w:pPr>
              <w:spacing w:before="100" w:beforeAutospacing="1" w:after="100" w:afterAutospacing="1"/>
              <w:jc w:val="both"/>
              <w:rPr>
                <w:rFonts w:cs="Arial"/>
                <w:lang w:val="en-GB"/>
              </w:rPr>
            </w:pPr>
            <w:r w:rsidRPr="00152727">
              <w:rPr>
                <w:rFonts w:cs="Arial"/>
                <w:lang w:val="en-GB"/>
              </w:rPr>
              <w:t>n=2</w:t>
            </w:r>
            <w:r w:rsidR="00E10867" w:rsidRPr="00152727">
              <w:rPr>
                <w:rFonts w:cs="Arial"/>
                <w:lang w:val="en-GB"/>
              </w:rPr>
              <w:t>/17</w:t>
            </w:r>
          </w:p>
        </w:tc>
      </w:tr>
      <w:tr w:rsidR="00351265" w14:paraId="131CE9FE" w14:textId="77777777" w:rsidTr="0018364B">
        <w:tc>
          <w:tcPr>
            <w:tcW w:w="7763" w:type="dxa"/>
          </w:tcPr>
          <w:p w14:paraId="3F7CAA2D" w14:textId="77777777" w:rsidR="00351265" w:rsidRPr="00152727" w:rsidRDefault="00351265" w:rsidP="006A2D09">
            <w:pPr>
              <w:spacing w:before="100" w:beforeAutospacing="1" w:after="100" w:afterAutospacing="1"/>
              <w:jc w:val="both"/>
              <w:rPr>
                <w:rFonts w:cs="Arial"/>
                <w:lang w:val="en-GB"/>
              </w:rPr>
            </w:pPr>
            <w:r w:rsidRPr="00152727">
              <w:rPr>
                <w:lang w:val="en-GB"/>
              </w:rPr>
              <w:t xml:space="preserve">The </w:t>
            </w:r>
            <w:r w:rsidRPr="00152727">
              <w:rPr>
                <w:rStyle w:val="normaltextrun1"/>
                <w:rFonts w:cs="Arial"/>
                <w:lang w:val="en-GB"/>
              </w:rPr>
              <w:t>Embryological-Clinical classification</w:t>
            </w:r>
          </w:p>
        </w:tc>
        <w:tc>
          <w:tcPr>
            <w:tcW w:w="1277" w:type="dxa"/>
          </w:tcPr>
          <w:p w14:paraId="2C9960A2" w14:textId="77777777" w:rsidR="00351265" w:rsidRPr="00152727" w:rsidRDefault="00351265" w:rsidP="006A2D09">
            <w:pPr>
              <w:spacing w:before="100" w:beforeAutospacing="1" w:after="100" w:afterAutospacing="1"/>
              <w:jc w:val="both"/>
              <w:rPr>
                <w:rFonts w:cs="Arial"/>
                <w:lang w:val="en-GB"/>
              </w:rPr>
            </w:pPr>
            <w:r w:rsidRPr="00152727">
              <w:rPr>
                <w:rFonts w:cs="Arial"/>
                <w:lang w:val="en-GB"/>
              </w:rPr>
              <w:t>n=0</w:t>
            </w:r>
          </w:p>
        </w:tc>
      </w:tr>
    </w:tbl>
    <w:p w14:paraId="61DF52F2" w14:textId="77777777" w:rsidR="009E6677" w:rsidRDefault="009E6677" w:rsidP="00351265">
      <w:pPr>
        <w:spacing w:before="100" w:beforeAutospacing="1" w:after="100" w:afterAutospacing="1"/>
        <w:jc w:val="both"/>
        <w:rPr>
          <w:rFonts w:cs="Arial"/>
          <w:lang w:val="en-GB"/>
        </w:rPr>
        <w:sectPr w:rsidR="009E6677" w:rsidSect="00CF127B">
          <w:footerReference w:type="default" r:id="rId9"/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34D46FFA" w14:textId="62C38000" w:rsidR="00337F47" w:rsidRPr="00C214C8" w:rsidRDefault="00C214C8" w:rsidP="00C214C8">
      <w:pPr>
        <w:autoSpaceDE w:val="0"/>
        <w:autoSpaceDN w:val="0"/>
        <w:adjustRightInd w:val="0"/>
        <w:rPr>
          <w:rFonts w:cs="Times-Bold"/>
          <w:b/>
          <w:bCs/>
          <w:lang w:val="en-US"/>
        </w:rPr>
      </w:pPr>
      <w:r w:rsidRPr="00C214C8">
        <w:rPr>
          <w:b/>
        </w:rPr>
        <w:lastRenderedPageBreak/>
        <w:t>Supplementary</w:t>
      </w:r>
      <w:r>
        <w:t xml:space="preserve"> </w:t>
      </w:r>
      <w:r w:rsidRPr="00C214C8">
        <w:rPr>
          <w:rFonts w:cs="Times-Bold"/>
          <w:b/>
          <w:bCs/>
          <w:lang w:val="en-US"/>
        </w:rPr>
        <w:t xml:space="preserve">Figure 1 </w:t>
      </w:r>
      <w:r w:rsidRPr="00C214C8">
        <w:rPr>
          <w:rFonts w:cs="Times-Bold"/>
          <w:bCs/>
          <w:lang w:val="en-US"/>
        </w:rPr>
        <w:t>ESHRE/ESGE classification of female geni</w:t>
      </w:r>
      <w:r w:rsidRPr="00C214C8">
        <w:rPr>
          <w:rFonts w:cs="Times-Bold"/>
          <w:bCs/>
          <w:lang w:val="en-US"/>
        </w:rPr>
        <w:t xml:space="preserve">tal tract congenital anomalies. </w:t>
      </w:r>
      <w:r w:rsidRPr="00C214C8">
        <w:rPr>
          <w:rFonts w:cs="Times-Bold"/>
          <w:bCs/>
          <w:lang w:val="en-US"/>
        </w:rPr>
        <w:t>(</w:t>
      </w:r>
      <w:r w:rsidRPr="00C214C8">
        <w:rPr>
          <w:rFonts w:cs="Times-Bold"/>
          <w:b/>
          <w:bCs/>
          <w:lang w:val="en-US"/>
        </w:rPr>
        <w:t>a</w:t>
      </w:r>
      <w:r w:rsidRPr="00C214C8">
        <w:rPr>
          <w:rFonts w:cs="Times-Bold"/>
          <w:bCs/>
          <w:lang w:val="en-US"/>
        </w:rPr>
        <w:t>) Schematic representation of the uterine anomalies. Class U2: internal inden</w:t>
      </w:r>
      <w:r w:rsidRPr="00C214C8">
        <w:rPr>
          <w:rFonts w:cs="Times-Bold"/>
          <w:bCs/>
          <w:lang w:val="en-US"/>
        </w:rPr>
        <w:t xml:space="preserve">tation &gt;50% of the uterine wall </w:t>
      </w:r>
      <w:r w:rsidRPr="00C214C8">
        <w:rPr>
          <w:rFonts w:cs="Times-Bold"/>
          <w:bCs/>
          <w:lang w:val="en-US"/>
        </w:rPr>
        <w:t>thickness and external contour straight or with indentation &lt;50%, Class U3: e</w:t>
      </w:r>
      <w:r w:rsidRPr="00C214C8">
        <w:rPr>
          <w:rFonts w:cs="Times-Bold"/>
          <w:bCs/>
          <w:lang w:val="en-US"/>
        </w:rPr>
        <w:t xml:space="preserve">xternal indentation &gt;50% of the </w:t>
      </w:r>
      <w:r w:rsidRPr="00C214C8">
        <w:rPr>
          <w:rFonts w:cs="Times-Bold"/>
          <w:bCs/>
          <w:lang w:val="en-US"/>
        </w:rPr>
        <w:t>uterine wall thickness, Class U3b: width of the fundal indentation at the midline &gt;150% of the uterine wa</w:t>
      </w:r>
      <w:r w:rsidRPr="00C214C8">
        <w:rPr>
          <w:rFonts w:cs="Times-Bold"/>
          <w:bCs/>
          <w:lang w:val="en-US"/>
        </w:rPr>
        <w:t xml:space="preserve">ll thickness. </w:t>
      </w:r>
      <w:r w:rsidRPr="00C214C8">
        <w:rPr>
          <w:rFonts w:cs="Times-Bold"/>
          <w:bCs/>
          <w:lang w:val="en-US"/>
        </w:rPr>
        <w:t>(</w:t>
      </w:r>
      <w:r w:rsidRPr="00C214C8">
        <w:rPr>
          <w:rFonts w:cs="Times-Bold"/>
          <w:b/>
          <w:bCs/>
          <w:lang w:val="en-US"/>
        </w:rPr>
        <w:t>b</w:t>
      </w:r>
      <w:r w:rsidRPr="00C214C8">
        <w:rPr>
          <w:rFonts w:cs="Times-Bold"/>
          <w:bCs/>
          <w:lang w:val="en-US"/>
        </w:rPr>
        <w:t xml:space="preserve">) Detailed classification of the uterine, </w:t>
      </w:r>
      <w:r w:rsidRPr="00C214C8">
        <w:rPr>
          <w:rFonts w:cs="Times-Bold"/>
          <w:bCs/>
          <w:lang w:val="en-US"/>
        </w:rPr>
        <w:t xml:space="preserve">cervical and vaginal anomalies. </w:t>
      </w:r>
      <w:proofErr w:type="gramStart"/>
      <w:r w:rsidRPr="00C214C8">
        <w:rPr>
          <w:rFonts w:cs="Times-Bold"/>
          <w:bCs/>
          <w:lang w:val="en-US"/>
        </w:rPr>
        <w:t xml:space="preserve">(Reprint from </w:t>
      </w:r>
      <w:proofErr w:type="spellStart"/>
      <w:r w:rsidRPr="00C214C8">
        <w:rPr>
          <w:rFonts w:cs="Times-Bold"/>
          <w:bCs/>
          <w:lang w:val="en-US"/>
        </w:rPr>
        <w:t>Grimbizis</w:t>
      </w:r>
      <w:proofErr w:type="spellEnd"/>
      <w:r w:rsidRPr="00C214C8">
        <w:rPr>
          <w:rFonts w:cs="Times-Bold"/>
          <w:bCs/>
          <w:lang w:val="en-US"/>
        </w:rPr>
        <w:t xml:space="preserve"> GF, </w:t>
      </w:r>
      <w:proofErr w:type="spellStart"/>
      <w:r w:rsidRPr="00C214C8">
        <w:rPr>
          <w:rFonts w:cs="Times-Bold"/>
          <w:bCs/>
          <w:lang w:val="en-US"/>
        </w:rPr>
        <w:t>Gordts</w:t>
      </w:r>
      <w:proofErr w:type="spellEnd"/>
      <w:r w:rsidRPr="00C214C8">
        <w:rPr>
          <w:rFonts w:cs="Times-Bold"/>
          <w:bCs/>
          <w:lang w:val="en-US"/>
        </w:rPr>
        <w:t xml:space="preserve"> S, Di </w:t>
      </w:r>
      <w:proofErr w:type="spellStart"/>
      <w:r w:rsidRPr="00C214C8">
        <w:rPr>
          <w:rFonts w:cs="Times-Bold"/>
          <w:bCs/>
          <w:lang w:val="en-US"/>
        </w:rPr>
        <w:t>Spiezio</w:t>
      </w:r>
      <w:proofErr w:type="spellEnd"/>
      <w:r w:rsidRPr="00C214C8">
        <w:rPr>
          <w:rFonts w:cs="Times-Bold"/>
          <w:bCs/>
          <w:lang w:val="en-US"/>
        </w:rPr>
        <w:t xml:space="preserve"> </w:t>
      </w:r>
      <w:proofErr w:type="spellStart"/>
      <w:r w:rsidRPr="00C214C8">
        <w:rPr>
          <w:rFonts w:cs="Times-Bold"/>
          <w:bCs/>
          <w:lang w:val="en-US"/>
        </w:rPr>
        <w:t>Sardo</w:t>
      </w:r>
      <w:proofErr w:type="spellEnd"/>
      <w:r w:rsidRPr="00C214C8">
        <w:rPr>
          <w:rFonts w:cs="Times-Bold"/>
          <w:bCs/>
          <w:lang w:val="en-US"/>
        </w:rPr>
        <w:t xml:space="preserve"> A et al (2013) </w:t>
      </w:r>
      <w:r w:rsidRPr="00C214C8">
        <w:rPr>
          <w:rFonts w:cs="Times-Bold"/>
          <w:bCs/>
          <w:lang w:val="en-US"/>
        </w:rPr>
        <w:t xml:space="preserve">The ESHRE/ESGE consensus on the </w:t>
      </w:r>
      <w:r w:rsidRPr="00C214C8">
        <w:rPr>
          <w:rFonts w:cs="Times-Bold"/>
          <w:bCs/>
          <w:lang w:val="en-US"/>
        </w:rPr>
        <w:t>classification of female genital tract congenital anomalies.</w:t>
      </w:r>
      <w:proofErr w:type="gramEnd"/>
      <w:r w:rsidRPr="00C214C8">
        <w:rPr>
          <w:rFonts w:cs="Times-Bold"/>
          <w:bCs/>
          <w:lang w:val="en-US"/>
        </w:rPr>
        <w:t xml:space="preserve"> Hum </w:t>
      </w:r>
      <w:proofErr w:type="spellStart"/>
      <w:r w:rsidRPr="00C214C8">
        <w:rPr>
          <w:rFonts w:cs="Times-Bold"/>
          <w:bCs/>
          <w:lang w:val="en-US"/>
        </w:rPr>
        <w:t>Reprod</w:t>
      </w:r>
      <w:proofErr w:type="spellEnd"/>
      <w:r w:rsidRPr="00C214C8">
        <w:rPr>
          <w:rFonts w:cs="Times-Bold"/>
          <w:bCs/>
          <w:lang w:val="en-US"/>
        </w:rPr>
        <w:t xml:space="preserve"> 28:2032–2044</w:t>
      </w:r>
      <w:r w:rsidRPr="00C214C8">
        <w:rPr>
          <w:rFonts w:cs="Times-Bold"/>
          <w:b/>
          <w:bCs/>
          <w:lang w:val="en-US"/>
        </w:rPr>
        <w:t>)</w:t>
      </w:r>
    </w:p>
    <w:p w14:paraId="6B019A61" w14:textId="2A93985E" w:rsidR="009E6677" w:rsidRDefault="009E6677" w:rsidP="0018364B">
      <w:pPr>
        <w:pBdr>
          <w:bar w:val="single" w:sz="4" w:color="auto"/>
        </w:pBdr>
      </w:pPr>
      <w:r>
        <w:rPr>
          <w:noProof/>
          <w:lang w:val="en-US"/>
        </w:rPr>
        <w:lastRenderedPageBreak/>
        <w:drawing>
          <wp:inline distT="0" distB="0" distL="0" distR="0" wp14:anchorId="20CFA2AC" wp14:editId="5731F21C">
            <wp:extent cx="7886700" cy="4929189"/>
            <wp:effectExtent l="0" t="0" r="0" b="0"/>
            <wp:docPr id="1" name="Picture 1" descr="C:\Users\avogel\AppData\Local\Temp\Fig 1a_supplementary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ogel\AppData\Local\Temp\Fig 1a_supplementary.ti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1455" cy="493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04153" w14:textId="327B5C06" w:rsidR="009E6677" w:rsidRDefault="009E6677">
      <w:bookmarkStart w:id="0" w:name="_GoBack"/>
      <w:r>
        <w:rPr>
          <w:noProof/>
          <w:lang w:val="en-US"/>
        </w:rPr>
        <w:lastRenderedPageBreak/>
        <w:drawing>
          <wp:inline distT="0" distB="0" distL="0" distR="0" wp14:anchorId="017A03E4" wp14:editId="37494207">
            <wp:extent cx="7833361" cy="4895850"/>
            <wp:effectExtent l="0" t="0" r="0" b="0"/>
            <wp:docPr id="2" name="Picture 2" descr="C:\Users\avogel\AppData\Local\Temp\Fig 1b_supplementary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vogel\AppData\Local\Temp\Fig 1b_supplementary.tif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0556" cy="489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F967857" w14:textId="69E2E2F8" w:rsidR="009E6677" w:rsidRDefault="009E6677" w:rsidP="009E6677"/>
    <w:sectPr w:rsidR="009E6677" w:rsidSect="009E6677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B6E4A" w14:textId="77777777" w:rsidR="00E3189C" w:rsidRDefault="00E3189C" w:rsidP="00C34887">
      <w:r>
        <w:separator/>
      </w:r>
    </w:p>
  </w:endnote>
  <w:endnote w:type="continuationSeparator" w:id="0">
    <w:p w14:paraId="7EC63A19" w14:textId="77777777" w:rsidR="00E3189C" w:rsidRDefault="00E3189C" w:rsidP="00C34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6971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0DE101" w14:textId="0DD9BEBA" w:rsidR="009E6677" w:rsidRDefault="009E66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4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D472E8" w14:textId="4E2B0C47" w:rsidR="009E6677" w:rsidRDefault="009E6677">
    <w:pPr>
      <w:pStyle w:val="Footer"/>
    </w:pPr>
    <w:r>
      <w:t>Eur Radiol (2020) Maciel C, Bharwani N, Kubik-Huch RA, et 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7107B" w14:textId="77777777" w:rsidR="00E3189C" w:rsidRDefault="00E3189C" w:rsidP="00C34887">
      <w:r>
        <w:separator/>
      </w:r>
    </w:p>
  </w:footnote>
  <w:footnote w:type="continuationSeparator" w:id="0">
    <w:p w14:paraId="3CC66D9D" w14:textId="77777777" w:rsidR="00E3189C" w:rsidRDefault="00E3189C" w:rsidP="00C34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45F2"/>
    <w:multiLevelType w:val="hybridMultilevel"/>
    <w:tmpl w:val="0F98B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265"/>
    <w:rsid w:val="000A4F01"/>
    <w:rsid w:val="00152727"/>
    <w:rsid w:val="0018364B"/>
    <w:rsid w:val="00337F47"/>
    <w:rsid w:val="00351265"/>
    <w:rsid w:val="00501072"/>
    <w:rsid w:val="008D218D"/>
    <w:rsid w:val="009E6677"/>
    <w:rsid w:val="00A33500"/>
    <w:rsid w:val="00B5574A"/>
    <w:rsid w:val="00C214C8"/>
    <w:rsid w:val="00C34887"/>
    <w:rsid w:val="00CF127B"/>
    <w:rsid w:val="00E10867"/>
    <w:rsid w:val="00E3189C"/>
    <w:rsid w:val="00EB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8A2D66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2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1">
    <w:name w:val="normaltextrun1"/>
    <w:basedOn w:val="DefaultParagraphFont"/>
    <w:rsid w:val="00351265"/>
  </w:style>
  <w:style w:type="character" w:customStyle="1" w:styleId="eop">
    <w:name w:val="eop"/>
    <w:basedOn w:val="DefaultParagraphFont"/>
    <w:rsid w:val="00351265"/>
  </w:style>
  <w:style w:type="table" w:styleId="TableGrid">
    <w:name w:val="Table Grid"/>
    <w:basedOn w:val="TableNormal"/>
    <w:uiPriority w:val="59"/>
    <w:rsid w:val="00351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364B"/>
    <w:pPr>
      <w:ind w:left="720"/>
      <w:contextualSpacing/>
    </w:pPr>
  </w:style>
  <w:style w:type="table" w:styleId="LightShading">
    <w:name w:val="Light Shading"/>
    <w:basedOn w:val="TableNormal"/>
    <w:uiPriority w:val="60"/>
    <w:rsid w:val="0018364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C348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887"/>
  </w:style>
  <w:style w:type="paragraph" w:styleId="Footer">
    <w:name w:val="footer"/>
    <w:basedOn w:val="Normal"/>
    <w:link w:val="FooterChar"/>
    <w:uiPriority w:val="99"/>
    <w:unhideWhenUsed/>
    <w:rsid w:val="00C348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887"/>
  </w:style>
  <w:style w:type="paragraph" w:styleId="BalloonText">
    <w:name w:val="Balloon Text"/>
    <w:basedOn w:val="Normal"/>
    <w:link w:val="BalloonTextChar"/>
    <w:uiPriority w:val="99"/>
    <w:semiHidden/>
    <w:unhideWhenUsed/>
    <w:rsid w:val="009E6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2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1">
    <w:name w:val="normaltextrun1"/>
    <w:basedOn w:val="DefaultParagraphFont"/>
    <w:rsid w:val="00351265"/>
  </w:style>
  <w:style w:type="character" w:customStyle="1" w:styleId="eop">
    <w:name w:val="eop"/>
    <w:basedOn w:val="DefaultParagraphFont"/>
    <w:rsid w:val="00351265"/>
  </w:style>
  <w:style w:type="table" w:styleId="TableGrid">
    <w:name w:val="Table Grid"/>
    <w:basedOn w:val="TableNormal"/>
    <w:uiPriority w:val="59"/>
    <w:rsid w:val="00351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364B"/>
    <w:pPr>
      <w:ind w:left="720"/>
      <w:contextualSpacing/>
    </w:pPr>
  </w:style>
  <w:style w:type="table" w:styleId="LightShading">
    <w:name w:val="Light Shading"/>
    <w:basedOn w:val="TableNormal"/>
    <w:uiPriority w:val="60"/>
    <w:rsid w:val="0018364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C348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887"/>
  </w:style>
  <w:style w:type="paragraph" w:styleId="Footer">
    <w:name w:val="footer"/>
    <w:basedOn w:val="Normal"/>
    <w:link w:val="FooterChar"/>
    <w:uiPriority w:val="99"/>
    <w:unhideWhenUsed/>
    <w:rsid w:val="00C348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887"/>
  </w:style>
  <w:style w:type="paragraph" w:styleId="BalloonText">
    <w:name w:val="Balloon Text"/>
    <w:basedOn w:val="Normal"/>
    <w:link w:val="BalloonTextChar"/>
    <w:uiPriority w:val="99"/>
    <w:semiHidden/>
    <w:unhideWhenUsed/>
    <w:rsid w:val="009E6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0" Type="http://schemas.openxmlformats.org/officeDocument/2006/relationships/image" Target="media/image1.tiff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F588AD-8351-4A60-9688-A75D694C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2020-02-04T11:05:00Z</dcterms:created>
  <dcterms:modified xsi:type="dcterms:W3CDTF">2020-03-16T21:19:00Z</dcterms:modified>
</cp:coreProperties>
</file>