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E6D4E" w14:textId="77777777" w:rsidR="00380FBF" w:rsidRPr="008D6B1B" w:rsidRDefault="00380FBF" w:rsidP="00D42293">
      <w:pPr>
        <w:spacing w:line="480" w:lineRule="auto"/>
        <w:rPr>
          <w:b/>
          <w:sz w:val="32"/>
          <w:szCs w:val="32"/>
          <w:lang w:val="en-US"/>
        </w:rPr>
      </w:pPr>
      <w:r w:rsidRPr="008D6B1B">
        <w:rPr>
          <w:b/>
          <w:sz w:val="32"/>
          <w:szCs w:val="32"/>
          <w:lang w:val="en-US"/>
        </w:rPr>
        <w:t>Supplementa</w:t>
      </w:r>
      <w:r>
        <w:rPr>
          <w:b/>
          <w:sz w:val="32"/>
          <w:szCs w:val="32"/>
          <w:lang w:val="en-US"/>
        </w:rPr>
        <w:t>ry</w:t>
      </w:r>
      <w:r w:rsidRPr="008D6B1B">
        <w:rPr>
          <w:b/>
          <w:sz w:val="32"/>
          <w:szCs w:val="32"/>
          <w:lang w:val="en-US"/>
        </w:rPr>
        <w:t xml:space="preserve"> Material</w:t>
      </w:r>
    </w:p>
    <w:p w14:paraId="34F8D7D1" w14:textId="77777777" w:rsidR="00D42293" w:rsidRPr="00E73673" w:rsidRDefault="00D42293" w:rsidP="00D42293">
      <w:pPr>
        <w:spacing w:line="480" w:lineRule="auto"/>
        <w:rPr>
          <w:b/>
          <w:sz w:val="32"/>
          <w:szCs w:val="32"/>
          <w:lang w:val="en-US"/>
        </w:rPr>
      </w:pPr>
      <w:r w:rsidRPr="00E73673">
        <w:rPr>
          <w:b/>
          <w:lang w:val="en-US"/>
        </w:rPr>
        <w:t xml:space="preserve">Supplementary Data 1: Analysis of </w:t>
      </w:r>
      <w:proofErr w:type="spellStart"/>
      <w:r w:rsidRPr="00E73673">
        <w:rPr>
          <w:b/>
          <w:lang w:val="en-US"/>
        </w:rPr>
        <w:t>PyRadiomics</w:t>
      </w:r>
      <w:proofErr w:type="spellEnd"/>
      <w:r w:rsidRPr="00E73673">
        <w:rPr>
          <w:b/>
          <w:lang w:val="en-US"/>
        </w:rPr>
        <w:t xml:space="preserve"> features</w:t>
      </w:r>
    </w:p>
    <w:p w14:paraId="497C4F88" w14:textId="77777777" w:rsidR="00D42293" w:rsidRPr="00CC3CD9" w:rsidRDefault="00D42293" w:rsidP="00D42293">
      <w:pPr>
        <w:spacing w:line="480" w:lineRule="auto"/>
        <w:rPr>
          <w:bCs/>
          <w:lang w:val="en-US"/>
        </w:rPr>
      </w:pPr>
      <w:r w:rsidRPr="00CC3CD9">
        <w:rPr>
          <w:bCs/>
          <w:lang w:val="en-US"/>
        </w:rPr>
        <w:t xml:space="preserve">Textural features were defined by the open-source library </w:t>
      </w:r>
      <w:proofErr w:type="spellStart"/>
      <w:r w:rsidRPr="00E73673">
        <w:rPr>
          <w:bCs/>
          <w:i/>
          <w:iCs/>
          <w:lang w:val="en-US"/>
        </w:rPr>
        <w:t>PyRadiomics</w:t>
      </w:r>
      <w:proofErr w:type="spellEnd"/>
      <w:r w:rsidRPr="00CC3CD9">
        <w:rPr>
          <w:bCs/>
          <w:lang w:val="en-US"/>
        </w:rPr>
        <w:t xml:space="preserve">, release 3.0.1 (1). We refrained from extracting the 14 </w:t>
      </w:r>
      <w:proofErr w:type="spellStart"/>
      <w:r w:rsidRPr="00E73673">
        <w:rPr>
          <w:bCs/>
          <w:i/>
          <w:iCs/>
          <w:lang w:val="en-US"/>
        </w:rPr>
        <w:t>PyRadiomics</w:t>
      </w:r>
      <w:proofErr w:type="spellEnd"/>
      <w:r w:rsidRPr="00CC3CD9">
        <w:rPr>
          <w:bCs/>
          <w:lang w:val="en-US"/>
        </w:rPr>
        <w:t xml:space="preserve"> “shape descriptors”, since a correlation of the shape of the segmented spine section and BM infiltration was not expected. After extraction from the automatically segmented </w:t>
      </w:r>
      <w:proofErr w:type="spellStart"/>
      <w:r w:rsidRPr="00CC3CD9">
        <w:rPr>
          <w:bCs/>
          <w:lang w:val="en-US"/>
        </w:rPr>
        <w:t>VNCa</w:t>
      </w:r>
      <w:proofErr w:type="spellEnd"/>
      <w:r w:rsidRPr="00CC3CD9">
        <w:rPr>
          <w:bCs/>
          <w:lang w:val="en-US"/>
        </w:rPr>
        <w:t xml:space="preserve"> BM data, each of the 92 extracted </w:t>
      </w:r>
      <w:proofErr w:type="spellStart"/>
      <w:r w:rsidRPr="00E73673">
        <w:rPr>
          <w:bCs/>
          <w:i/>
          <w:iCs/>
          <w:lang w:val="en-US"/>
        </w:rPr>
        <w:t>PyRadiomics</w:t>
      </w:r>
      <w:proofErr w:type="spellEnd"/>
      <w:r w:rsidRPr="00CC3CD9">
        <w:rPr>
          <w:bCs/>
          <w:lang w:val="en-US"/>
        </w:rPr>
        <w:t xml:space="preserve"> descriptors was correlated with the BM infiltration as determined by BM biopsy. For two descriptors the correlation was significant (p&lt;0.05), which is summarized in supplementary table 1.</w:t>
      </w:r>
    </w:p>
    <w:p w14:paraId="4103EFBE" w14:textId="77777777" w:rsidR="00D42293" w:rsidRPr="00CC3CD9" w:rsidRDefault="00D42293" w:rsidP="00D42293">
      <w:pPr>
        <w:spacing w:line="480" w:lineRule="auto"/>
        <w:rPr>
          <w:bCs/>
          <w:lang w:val="en-US"/>
        </w:rPr>
      </w:pPr>
    </w:p>
    <w:p w14:paraId="4F1135F9" w14:textId="77777777" w:rsidR="00D42293" w:rsidRPr="00E73673" w:rsidRDefault="00D42293" w:rsidP="00D42293">
      <w:pPr>
        <w:spacing w:line="480" w:lineRule="auto"/>
        <w:rPr>
          <w:b/>
          <w:lang w:val="en-US"/>
        </w:rPr>
      </w:pPr>
      <w:r w:rsidRPr="00E73673">
        <w:rPr>
          <w:b/>
          <w:lang w:val="en-US"/>
        </w:rPr>
        <w:t xml:space="preserve">Supplementary Tab. 1. </w:t>
      </w:r>
      <w:proofErr w:type="spellStart"/>
      <w:r w:rsidRPr="00E73673">
        <w:rPr>
          <w:b/>
          <w:lang w:val="en-US"/>
        </w:rPr>
        <w:t>PyRadiomics</w:t>
      </w:r>
      <w:proofErr w:type="spellEnd"/>
      <w:r w:rsidRPr="00E73673">
        <w:rPr>
          <w:b/>
          <w:lang w:val="en-US"/>
        </w:rPr>
        <w:t xml:space="preserve"> features, which correlate significantly with bone marrow (BM) infiltration as determined by biopsy.</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8"/>
        <w:gridCol w:w="1958"/>
        <w:gridCol w:w="5586"/>
      </w:tblGrid>
      <w:tr w:rsidR="00D42293" w:rsidRPr="0043041C" w14:paraId="06C50376" w14:textId="77777777" w:rsidTr="007A3076">
        <w:trPr>
          <w:trHeight w:val="288"/>
        </w:trPr>
        <w:tc>
          <w:tcPr>
            <w:tcW w:w="1528" w:type="dxa"/>
            <w:shd w:val="clear" w:color="auto" w:fill="auto"/>
            <w:noWrap/>
            <w:vAlign w:val="center"/>
          </w:tcPr>
          <w:p w14:paraId="62506526" w14:textId="77777777" w:rsidR="00D42293" w:rsidRPr="0043041C" w:rsidRDefault="00D42293" w:rsidP="00D42293">
            <w:pPr>
              <w:spacing w:line="480" w:lineRule="auto"/>
              <w:rPr>
                <w:rFonts w:eastAsia="Times New Roman"/>
                <w:color w:val="000000"/>
                <w:lang w:val="en-US" w:eastAsia="de-DE"/>
              </w:rPr>
            </w:pPr>
            <w:r w:rsidRPr="0043041C">
              <w:rPr>
                <w:rFonts w:eastAsia="Times New Roman"/>
                <w:color w:val="000000"/>
                <w:lang w:val="en-US" w:eastAsia="de-DE"/>
              </w:rPr>
              <w:t>p</w:t>
            </w:r>
          </w:p>
        </w:tc>
        <w:tc>
          <w:tcPr>
            <w:tcW w:w="1958" w:type="dxa"/>
            <w:shd w:val="clear" w:color="auto" w:fill="auto"/>
            <w:noWrap/>
            <w:vAlign w:val="bottom"/>
          </w:tcPr>
          <w:p w14:paraId="41455EE3" w14:textId="77777777" w:rsidR="00D42293" w:rsidRPr="0043041C" w:rsidRDefault="00D42293" w:rsidP="00D42293">
            <w:pPr>
              <w:spacing w:line="480" w:lineRule="auto"/>
              <w:rPr>
                <w:rFonts w:eastAsia="Times New Roman"/>
                <w:color w:val="000000"/>
                <w:lang w:val="en-US" w:eastAsia="de-DE"/>
              </w:rPr>
            </w:pPr>
            <w:r w:rsidRPr="0043041C">
              <w:rPr>
                <w:rFonts w:eastAsia="Times New Roman"/>
                <w:color w:val="000000"/>
                <w:lang w:val="en-US" w:eastAsia="de-DE"/>
              </w:rPr>
              <w:t>Pearson’s r</w:t>
            </w:r>
          </w:p>
        </w:tc>
        <w:tc>
          <w:tcPr>
            <w:tcW w:w="5586" w:type="dxa"/>
            <w:shd w:val="clear" w:color="auto" w:fill="auto"/>
            <w:noWrap/>
            <w:vAlign w:val="bottom"/>
          </w:tcPr>
          <w:p w14:paraId="1D55FC84" w14:textId="77777777" w:rsidR="00D42293" w:rsidRPr="0043041C" w:rsidRDefault="00D42293" w:rsidP="00D42293">
            <w:pPr>
              <w:spacing w:line="480" w:lineRule="auto"/>
              <w:rPr>
                <w:rFonts w:eastAsia="Times New Roman"/>
                <w:color w:val="000000"/>
                <w:lang w:val="en-US" w:eastAsia="de-DE"/>
              </w:rPr>
            </w:pPr>
            <w:r w:rsidRPr="0043041C">
              <w:rPr>
                <w:rFonts w:eastAsia="Times New Roman"/>
                <w:color w:val="000000"/>
                <w:lang w:val="en-US" w:eastAsia="de-DE"/>
              </w:rPr>
              <w:t>Name of descriptor</w:t>
            </w:r>
          </w:p>
        </w:tc>
      </w:tr>
      <w:tr w:rsidR="00D42293" w:rsidRPr="0043041C" w14:paraId="02A00B06" w14:textId="77777777" w:rsidTr="007A3076">
        <w:trPr>
          <w:trHeight w:val="288"/>
        </w:trPr>
        <w:tc>
          <w:tcPr>
            <w:tcW w:w="1528" w:type="dxa"/>
            <w:shd w:val="clear" w:color="auto" w:fill="auto"/>
            <w:noWrap/>
            <w:vAlign w:val="center"/>
            <w:hideMark/>
          </w:tcPr>
          <w:p w14:paraId="4F227F7D" w14:textId="77777777" w:rsidR="00D42293" w:rsidRPr="0043041C" w:rsidRDefault="00D42293" w:rsidP="00D42293">
            <w:pPr>
              <w:spacing w:line="480" w:lineRule="auto"/>
              <w:rPr>
                <w:rFonts w:eastAsia="Times New Roman"/>
                <w:i/>
                <w:iCs/>
                <w:color w:val="000000"/>
                <w:lang w:val="en-US" w:eastAsia="de-DE"/>
              </w:rPr>
            </w:pPr>
            <w:r>
              <w:rPr>
                <w:rFonts w:eastAsia="Times New Roman"/>
                <w:i/>
                <w:iCs/>
                <w:color w:val="000000"/>
                <w:lang w:val="en-US" w:eastAsia="de-DE"/>
              </w:rPr>
              <w:t>0.04</w:t>
            </w:r>
          </w:p>
        </w:tc>
        <w:tc>
          <w:tcPr>
            <w:tcW w:w="1958" w:type="dxa"/>
            <w:shd w:val="clear" w:color="auto" w:fill="auto"/>
            <w:noWrap/>
            <w:vAlign w:val="bottom"/>
            <w:hideMark/>
          </w:tcPr>
          <w:p w14:paraId="7981AC08" w14:textId="77777777" w:rsidR="00D42293" w:rsidRPr="0043041C" w:rsidRDefault="00D42293" w:rsidP="00D42293">
            <w:pPr>
              <w:spacing w:line="480" w:lineRule="auto"/>
              <w:rPr>
                <w:rFonts w:eastAsia="Times New Roman"/>
                <w:i/>
                <w:iCs/>
                <w:color w:val="000000"/>
                <w:lang w:val="en-US" w:eastAsia="de-DE"/>
              </w:rPr>
            </w:pPr>
            <w:r w:rsidRPr="0043041C">
              <w:rPr>
                <w:rFonts w:eastAsia="Times New Roman"/>
                <w:i/>
                <w:iCs/>
                <w:color w:val="000000"/>
                <w:lang w:val="en-US" w:eastAsia="de-DE"/>
              </w:rPr>
              <w:t>0.</w:t>
            </w:r>
            <w:r>
              <w:rPr>
                <w:rFonts w:eastAsia="Times New Roman"/>
                <w:i/>
                <w:iCs/>
                <w:color w:val="000000"/>
                <w:lang w:val="en-US" w:eastAsia="de-DE"/>
              </w:rPr>
              <w:t>35</w:t>
            </w:r>
          </w:p>
        </w:tc>
        <w:tc>
          <w:tcPr>
            <w:tcW w:w="5586" w:type="dxa"/>
            <w:shd w:val="clear" w:color="auto" w:fill="auto"/>
            <w:noWrap/>
            <w:vAlign w:val="bottom"/>
            <w:hideMark/>
          </w:tcPr>
          <w:p w14:paraId="7EB1B600" w14:textId="77777777" w:rsidR="00D42293" w:rsidRPr="0043041C" w:rsidRDefault="00D42293" w:rsidP="00D42293">
            <w:pPr>
              <w:spacing w:line="480" w:lineRule="auto"/>
              <w:rPr>
                <w:rFonts w:eastAsia="Times New Roman"/>
                <w:i/>
                <w:iCs/>
                <w:color w:val="000000"/>
                <w:lang w:val="en-US" w:eastAsia="de-DE"/>
              </w:rPr>
            </w:pPr>
            <w:proofErr w:type="spellStart"/>
            <w:r w:rsidRPr="0043041C">
              <w:rPr>
                <w:rFonts w:eastAsia="Times New Roman"/>
                <w:i/>
                <w:iCs/>
                <w:color w:val="000000"/>
                <w:lang w:val="en-US" w:eastAsia="de-DE"/>
              </w:rPr>
              <w:t>glcm_ClusterProminence</w:t>
            </w:r>
            <w:proofErr w:type="spellEnd"/>
          </w:p>
        </w:tc>
      </w:tr>
      <w:tr w:rsidR="00D42293" w:rsidRPr="0043041C" w14:paraId="579B4D30" w14:textId="77777777" w:rsidTr="007A3076">
        <w:trPr>
          <w:trHeight w:val="288"/>
        </w:trPr>
        <w:tc>
          <w:tcPr>
            <w:tcW w:w="1528" w:type="dxa"/>
            <w:shd w:val="clear" w:color="auto" w:fill="auto"/>
            <w:noWrap/>
            <w:vAlign w:val="center"/>
            <w:hideMark/>
          </w:tcPr>
          <w:p w14:paraId="50D3A3BE" w14:textId="77777777" w:rsidR="00D42293" w:rsidRPr="0043041C" w:rsidRDefault="00D42293" w:rsidP="00D42293">
            <w:pPr>
              <w:spacing w:line="480" w:lineRule="auto"/>
              <w:rPr>
                <w:rFonts w:eastAsia="Times New Roman"/>
                <w:i/>
                <w:iCs/>
                <w:color w:val="000000"/>
                <w:lang w:val="en-US" w:eastAsia="de-DE"/>
              </w:rPr>
            </w:pPr>
            <w:r>
              <w:rPr>
                <w:rFonts w:eastAsia="Times New Roman"/>
                <w:i/>
                <w:iCs/>
                <w:color w:val="000000"/>
                <w:lang w:val="en-US" w:eastAsia="de-DE"/>
              </w:rPr>
              <w:t>&lt;0.05</w:t>
            </w:r>
          </w:p>
        </w:tc>
        <w:tc>
          <w:tcPr>
            <w:tcW w:w="1958" w:type="dxa"/>
            <w:shd w:val="clear" w:color="auto" w:fill="auto"/>
            <w:noWrap/>
            <w:vAlign w:val="bottom"/>
            <w:hideMark/>
          </w:tcPr>
          <w:p w14:paraId="623DA390" w14:textId="77777777" w:rsidR="00D42293" w:rsidRPr="0043041C" w:rsidRDefault="00D42293" w:rsidP="00D42293">
            <w:pPr>
              <w:spacing w:line="480" w:lineRule="auto"/>
              <w:rPr>
                <w:rFonts w:eastAsia="Times New Roman"/>
                <w:i/>
                <w:iCs/>
                <w:color w:val="000000"/>
                <w:lang w:val="en-US" w:eastAsia="de-DE"/>
              </w:rPr>
            </w:pPr>
            <w:r>
              <w:rPr>
                <w:rFonts w:eastAsia="Times New Roman"/>
                <w:i/>
                <w:iCs/>
                <w:color w:val="000000"/>
                <w:lang w:val="en-US" w:eastAsia="de-DE"/>
              </w:rPr>
              <w:t>0.34</w:t>
            </w:r>
          </w:p>
        </w:tc>
        <w:tc>
          <w:tcPr>
            <w:tcW w:w="5586" w:type="dxa"/>
            <w:shd w:val="clear" w:color="auto" w:fill="auto"/>
            <w:noWrap/>
            <w:vAlign w:val="bottom"/>
            <w:hideMark/>
          </w:tcPr>
          <w:p w14:paraId="71B8BF99" w14:textId="77777777" w:rsidR="00D42293" w:rsidRPr="0043041C" w:rsidRDefault="00D42293" w:rsidP="00D42293">
            <w:pPr>
              <w:spacing w:line="480" w:lineRule="auto"/>
              <w:rPr>
                <w:rFonts w:eastAsia="Times New Roman"/>
                <w:i/>
                <w:iCs/>
                <w:color w:val="000000"/>
                <w:lang w:val="en-US" w:eastAsia="de-DE"/>
              </w:rPr>
            </w:pPr>
            <w:proofErr w:type="spellStart"/>
            <w:r w:rsidRPr="0043041C">
              <w:rPr>
                <w:rFonts w:eastAsia="Times New Roman"/>
                <w:i/>
                <w:iCs/>
                <w:color w:val="000000"/>
                <w:lang w:val="en-US" w:eastAsia="de-DE"/>
              </w:rPr>
              <w:t>ngtdm_Contrast</w:t>
            </w:r>
            <w:proofErr w:type="spellEnd"/>
          </w:p>
        </w:tc>
      </w:tr>
    </w:tbl>
    <w:p w14:paraId="4F3164CF" w14:textId="1805CA82" w:rsidR="00D42293" w:rsidRPr="00CC3CD9" w:rsidRDefault="00D42293" w:rsidP="00D42293">
      <w:pPr>
        <w:spacing w:line="480" w:lineRule="auto"/>
        <w:rPr>
          <w:bCs/>
          <w:lang w:val="en-US"/>
        </w:rPr>
      </w:pPr>
      <w:r w:rsidRPr="00CC3CD9">
        <w:rPr>
          <w:bCs/>
          <w:lang w:val="en-US"/>
        </w:rPr>
        <w:t xml:space="preserve">Two out of 92 </w:t>
      </w:r>
      <w:proofErr w:type="spellStart"/>
      <w:r w:rsidRPr="00CC3CD9">
        <w:rPr>
          <w:bCs/>
          <w:lang w:val="en-US"/>
        </w:rPr>
        <w:t>Pyradiomics</w:t>
      </w:r>
      <w:proofErr w:type="spellEnd"/>
      <w:r w:rsidRPr="00CC3CD9">
        <w:rPr>
          <w:bCs/>
          <w:lang w:val="en-US"/>
        </w:rPr>
        <w:t xml:space="preserve"> descriptors correlated significantly with the BM infiltration. </w:t>
      </w:r>
    </w:p>
    <w:p w14:paraId="5ADB953B" w14:textId="77777777" w:rsidR="00D42293" w:rsidRDefault="00D42293" w:rsidP="00D42293">
      <w:pPr>
        <w:spacing w:line="480" w:lineRule="auto"/>
        <w:rPr>
          <w:b/>
          <w:lang w:val="en-US"/>
        </w:rPr>
      </w:pPr>
    </w:p>
    <w:p w14:paraId="1B965E91" w14:textId="77777777" w:rsidR="00D42293" w:rsidRDefault="00142371" w:rsidP="00D42293">
      <w:pPr>
        <w:spacing w:line="480" w:lineRule="auto"/>
        <w:rPr>
          <w:b/>
          <w:lang w:val="en-US"/>
        </w:rPr>
      </w:pPr>
      <w:r w:rsidRPr="00E73673">
        <w:rPr>
          <w:b/>
          <w:lang w:val="en-US"/>
        </w:rPr>
        <w:t xml:space="preserve">Supplementary Data </w:t>
      </w:r>
      <w:r w:rsidR="00D42293">
        <w:rPr>
          <w:b/>
          <w:lang w:val="en-US"/>
        </w:rPr>
        <w:t>2</w:t>
      </w:r>
      <w:r w:rsidRPr="00E73673">
        <w:rPr>
          <w:b/>
          <w:lang w:val="en-US"/>
        </w:rPr>
        <w:t xml:space="preserve">: </w:t>
      </w:r>
      <w:r>
        <w:rPr>
          <w:b/>
          <w:lang w:val="en-US"/>
        </w:rPr>
        <w:t>Intra- and inter-reader agreement of BMD measurements.</w:t>
      </w:r>
    </w:p>
    <w:p w14:paraId="55F91049" w14:textId="445F6AF0" w:rsidR="00DA3B5B" w:rsidRDefault="0085612C" w:rsidP="00D42293">
      <w:pPr>
        <w:spacing w:line="480" w:lineRule="auto"/>
        <w:rPr>
          <w:rFonts w:cstheme="minorHAnsi"/>
          <w:lang w:val="en-US"/>
        </w:rPr>
      </w:pPr>
      <w:r>
        <w:rPr>
          <w:rFonts w:cstheme="minorHAnsi"/>
          <w:lang w:val="en-US"/>
        </w:rPr>
        <w:t xml:space="preserve">BMD measurements were repeated on a subset of n=10 patients by two radiologists (three and four years of experience). Further, one radiologist repeated the same BMD measurements one month after the first reading. </w:t>
      </w:r>
      <w:r w:rsidR="00DA3B5B">
        <w:rPr>
          <w:rFonts w:cstheme="minorHAnsi"/>
          <w:lang w:val="en-US"/>
        </w:rPr>
        <w:t xml:space="preserve">Intra- and inter-observer variability were reported by the intraclass correlation coefficient (ICC), </w:t>
      </w:r>
      <w:r w:rsidR="00DA3B5B" w:rsidRPr="001E3E57">
        <w:rPr>
          <w:rFonts w:cstheme="minorHAnsi"/>
          <w:lang w:val="en-US"/>
        </w:rPr>
        <w:t xml:space="preserve">using the R library </w:t>
      </w:r>
      <w:proofErr w:type="spellStart"/>
      <w:r>
        <w:rPr>
          <w:rFonts w:cstheme="minorHAnsi"/>
          <w:i/>
          <w:iCs/>
          <w:lang w:val="en-US"/>
        </w:rPr>
        <w:t>irr</w:t>
      </w:r>
      <w:proofErr w:type="spellEnd"/>
      <w:r w:rsidR="00DA3B5B" w:rsidRPr="001E3E57">
        <w:rPr>
          <w:rFonts w:cstheme="minorHAnsi"/>
          <w:lang w:val="en-US"/>
        </w:rPr>
        <w:t xml:space="preserve">: </w:t>
      </w:r>
      <w:r w:rsidRPr="0085612C">
        <w:rPr>
          <w:rFonts w:cstheme="minorHAnsi"/>
          <w:lang w:val="en-US"/>
        </w:rPr>
        <w:t>Various Coefficients of Interrater Reliability and Agreement</w:t>
      </w:r>
      <w:r>
        <w:rPr>
          <w:rFonts w:cstheme="minorHAnsi"/>
          <w:lang w:val="en-US"/>
        </w:rPr>
        <w:t xml:space="preserve"> </w:t>
      </w:r>
      <w:r>
        <w:rPr>
          <w:rFonts w:cstheme="minorHAnsi"/>
          <w:lang w:val="en-US"/>
        </w:rPr>
        <w:fldChar w:fldCharType="begin" w:fldLock="1"/>
      </w:r>
      <w:r w:rsidR="00515ADE">
        <w:rPr>
          <w:rFonts w:cstheme="minorHAnsi"/>
          <w:lang w:val="en-US"/>
        </w:rPr>
        <w:instrText>ADDIN CSL_CITATION {"citationItems":[{"id":"ITEM-1","itemData":{"DOI":"10.1016/j.jcm.2016.02.012","ISSN":"15563707","PMID":"27330520","abstract":"Objective Intraclass correlation coefficient (ICC) is a widely used reliability index in test-retest, intrarater, and interrater reliability analyses. This article introduces the basic concept of ICC in the content of reliability analysis. Discussion for Researchers There are 10 forms of ICCs. Because each form involves distinct assumptions in their calculation and will lead to different interpretations, researchers should explicitly specify the ICC form they used in their calculation. A thorough review of the research design is needed in selecting the appropriate form of ICC to evaluate reliability. The best practice of reporting ICC should include software information, “model,” “type,” and “definition” selections. Discussion for Readers When coming across an article that includes ICC, readers should first check whether information about the ICC form has been reported and if an appropriate ICC form was used. Based on the 95% confident interval of the ICC estimate, values less than 0.5, between 0.5 and 0.75, between 0.75 and 0.9, and greater than 0.90 are indicative of poor, moderate, good, and excellent reliability, respectively. Conclusion This article provides a practical guideline for clinical researchers to choose the correct form of ICC and suggests the best practice of reporting ICC parameters in scientific publications. This article also gives readers an appreciation for what to look for when coming across ICC while reading an article.","author":[{"dropping-particle":"","family":"Koo","given":"Terry K.","non-dropping-particle":"","parse-names":false,"suffix":""},{"dropping-particle":"","family":"Li","given":"Mae Y.","non-dropping-particle":"","parse-names":false,"suffix":""}],"container-title":"Journal of Chiropractic Medicine","id":"ITEM-1","issue":"2","issued":{"date-parts":[["2016","6","1"]]},"page":"155-163","publisher":"Elsevier USA","title":"A Guideline of Selecting and Reporting Intraclass Correlation Coefficients for Reliability Research","type":"article-journal","volume":"15"},"uris":["http://www.mendeley.com/documents/?uuid=bc0aa027-51f4-333e-b0ba-a4fb2d169ba8"]},{"id":"ITEM-2","itemData":{"author":[{"dropping-particle":"","family":"Matthias Gamer","given":"Author","non-dropping-particle":"","parse-names":false,"suffix":""},{"dropping-particle":"","family":"Matthias Gamer","given":"Maintainer","non-dropping-particle":"","parse-names":false,"suffix":""}],"id":"ITEM-2","issued":{"date-parts":[["2019"]]},"title":"Package 'irr' Title Various Coefficients of Interrater Reliability and Agreement","type":"report"},"uris":["http://www.mendeley.com/documents/?uuid=ea5f742a-e728-31a9-a695-c71564cbb47c"]}],"mendeley":{"formattedCitation":"[1, 2]","plainTextFormattedCitation":"[1, 2]","previouslyFormattedCitation":"[1, 2]"},"properties":{"noteIndex":0},"schema":"https://github.com/citation-style-language/schema/raw/master/csl-citation.json"}</w:instrText>
      </w:r>
      <w:r>
        <w:rPr>
          <w:rFonts w:cstheme="minorHAnsi"/>
          <w:lang w:val="en-US"/>
        </w:rPr>
        <w:fldChar w:fldCharType="separate"/>
      </w:r>
      <w:r w:rsidRPr="0085612C">
        <w:rPr>
          <w:rFonts w:cstheme="minorHAnsi"/>
          <w:noProof/>
          <w:lang w:val="en-US"/>
        </w:rPr>
        <w:t>[1, 2]</w:t>
      </w:r>
      <w:r>
        <w:rPr>
          <w:rFonts w:cstheme="minorHAnsi"/>
          <w:lang w:val="en-US"/>
        </w:rPr>
        <w:fldChar w:fldCharType="end"/>
      </w:r>
      <w:r>
        <w:rPr>
          <w:rFonts w:cstheme="minorHAnsi"/>
          <w:lang w:val="en-US"/>
        </w:rPr>
        <w:t xml:space="preserve">. </w:t>
      </w:r>
      <w:r w:rsidR="00DA3B5B">
        <w:rPr>
          <w:rFonts w:cstheme="minorHAnsi"/>
          <w:lang w:val="en-US"/>
        </w:rPr>
        <w:t xml:space="preserve">Intra- and inter-observer variability were obtained </w:t>
      </w:r>
      <w:bookmarkStart w:id="0" w:name="_Hlk69475999"/>
      <w:r w:rsidR="00DA3B5B">
        <w:rPr>
          <w:rFonts w:cstheme="minorHAnsi"/>
          <w:lang w:val="en-US"/>
        </w:rPr>
        <w:t>by a t</w:t>
      </w:r>
      <w:r w:rsidR="00DA3B5B" w:rsidRPr="00CF42B2">
        <w:rPr>
          <w:rFonts w:cstheme="minorHAnsi"/>
          <w:lang w:val="en-US"/>
        </w:rPr>
        <w:t>wo-way random-effects model (ICC2)</w:t>
      </w:r>
      <w:r w:rsidR="00DA3B5B">
        <w:rPr>
          <w:rFonts w:cstheme="minorHAnsi"/>
          <w:lang w:val="en-US"/>
        </w:rPr>
        <w:t xml:space="preserve"> </w:t>
      </w:r>
      <w:r w:rsidR="00DA3B5B">
        <w:rPr>
          <w:rFonts w:cstheme="minorHAnsi"/>
          <w:lang w:val="en-US"/>
        </w:rPr>
        <w:lastRenderedPageBreak/>
        <w:t xml:space="preserve">for single ratings, respectively. Intra-observer variability analysis of BMD measurements yielded an </w:t>
      </w:r>
      <w:r>
        <w:rPr>
          <w:rFonts w:cstheme="minorHAnsi"/>
          <w:lang w:val="en-US"/>
        </w:rPr>
        <w:t>ICC2=0.98</w:t>
      </w:r>
      <w:r w:rsidR="00DA3B5B">
        <w:rPr>
          <w:rFonts w:cstheme="minorHAnsi"/>
          <w:lang w:val="en-US"/>
        </w:rPr>
        <w:t>, while inter-observer variability was represented by an ICC2=</w:t>
      </w:r>
      <w:r>
        <w:rPr>
          <w:rFonts w:cstheme="minorHAnsi"/>
          <w:lang w:val="en-US"/>
        </w:rPr>
        <w:t>0.99</w:t>
      </w:r>
      <w:r w:rsidR="00DA3B5B">
        <w:rPr>
          <w:rFonts w:cstheme="minorHAnsi"/>
          <w:lang w:val="en-US"/>
        </w:rPr>
        <w:t xml:space="preserve"> (Table 1). </w:t>
      </w:r>
    </w:p>
    <w:p w14:paraId="4EF2A2FA" w14:textId="123454BA" w:rsidR="00DA3B5B" w:rsidRDefault="00DA3B5B" w:rsidP="00D42293">
      <w:pPr>
        <w:spacing w:line="480" w:lineRule="auto"/>
        <w:rPr>
          <w:rFonts w:cstheme="minorHAnsi"/>
          <w:lang w:val="en-US"/>
        </w:rPr>
      </w:pPr>
      <w:r>
        <w:rPr>
          <w:rFonts w:cstheme="minorHAnsi"/>
          <w:lang w:val="en-US"/>
        </w:rPr>
        <w:t>Both intra- and inter-observer reliability were excellent (ICC &gt;0.90).</w:t>
      </w:r>
      <w:bookmarkEnd w:id="0"/>
    </w:p>
    <w:p w14:paraId="7CA31F6F" w14:textId="77777777" w:rsidR="00D42293" w:rsidRDefault="00D42293" w:rsidP="00D42293">
      <w:pPr>
        <w:spacing w:line="480" w:lineRule="auto"/>
        <w:rPr>
          <w:rFonts w:cstheme="minorHAnsi"/>
          <w:lang w:val="en-US"/>
        </w:rPr>
      </w:pPr>
    </w:p>
    <w:p w14:paraId="29CBADF1" w14:textId="381CA8A1" w:rsidR="00582003" w:rsidRPr="00582003" w:rsidRDefault="00582003" w:rsidP="00D42293">
      <w:pPr>
        <w:spacing w:line="480" w:lineRule="auto"/>
        <w:rPr>
          <w:b/>
          <w:lang w:val="en-US"/>
        </w:rPr>
      </w:pPr>
      <w:r w:rsidRPr="00582003">
        <w:rPr>
          <w:b/>
          <w:lang w:val="en-US"/>
        </w:rPr>
        <w:t xml:space="preserve">Supplementary Tab. </w:t>
      </w:r>
      <w:r w:rsidR="00D42293">
        <w:rPr>
          <w:b/>
          <w:lang w:val="en-US"/>
        </w:rPr>
        <w:t>2</w:t>
      </w:r>
      <w:r w:rsidRPr="00582003">
        <w:rPr>
          <w:b/>
          <w:lang w:val="en-US"/>
        </w:rPr>
        <w:t>: Intra- and inter-reader agreement of BMD measurements.</w:t>
      </w:r>
    </w:p>
    <w:tbl>
      <w:tblPr>
        <w:tblW w:w="3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1240"/>
        <w:gridCol w:w="1240"/>
      </w:tblGrid>
      <w:tr w:rsidR="00582003" w:rsidRPr="00582003" w14:paraId="2C6F02FA" w14:textId="77777777" w:rsidTr="00582003">
        <w:trPr>
          <w:trHeight w:val="288"/>
        </w:trPr>
        <w:tc>
          <w:tcPr>
            <w:tcW w:w="1240" w:type="dxa"/>
            <w:shd w:val="clear" w:color="auto" w:fill="auto"/>
            <w:noWrap/>
            <w:vAlign w:val="bottom"/>
          </w:tcPr>
          <w:p w14:paraId="453B0B62" w14:textId="77777777" w:rsidR="00582003" w:rsidRDefault="00582003" w:rsidP="00D42293">
            <w:pPr>
              <w:spacing w:after="0" w:line="480" w:lineRule="auto"/>
              <w:rPr>
                <w:rFonts w:ascii="Calibri" w:eastAsia="Times New Roman" w:hAnsi="Calibri" w:cs="Calibri"/>
                <w:color w:val="000000"/>
                <w:lang w:eastAsia="de-DE"/>
              </w:rPr>
            </w:pPr>
            <w:r>
              <w:rPr>
                <w:rFonts w:ascii="Calibri" w:eastAsia="Times New Roman" w:hAnsi="Calibri" w:cs="Calibri"/>
                <w:color w:val="000000"/>
                <w:lang w:eastAsia="de-DE"/>
              </w:rPr>
              <w:t>Reader 1,</w:t>
            </w:r>
          </w:p>
          <w:p w14:paraId="441A797C" w14:textId="77777777" w:rsidR="00582003" w:rsidRDefault="00582003" w:rsidP="00D42293">
            <w:pPr>
              <w:spacing w:after="0" w:line="480" w:lineRule="auto"/>
              <w:rPr>
                <w:rFonts w:ascii="Calibri" w:eastAsia="Times New Roman" w:hAnsi="Calibri" w:cs="Calibri"/>
                <w:color w:val="000000"/>
                <w:lang w:eastAsia="de-DE"/>
              </w:rPr>
            </w:pPr>
            <w:r>
              <w:rPr>
                <w:rFonts w:ascii="Calibri" w:eastAsia="Times New Roman" w:hAnsi="Calibri" w:cs="Calibri"/>
                <w:color w:val="000000"/>
                <w:lang w:eastAsia="de-DE"/>
              </w:rPr>
              <w:t>Read 1</w:t>
            </w:r>
          </w:p>
          <w:p w14:paraId="3B934215" w14:textId="1E0013C8" w:rsidR="00582003" w:rsidRPr="00582003" w:rsidRDefault="00582003" w:rsidP="00D42293">
            <w:pPr>
              <w:spacing w:after="0" w:line="480" w:lineRule="auto"/>
              <w:rPr>
                <w:rFonts w:ascii="Calibri" w:eastAsia="Times New Roman" w:hAnsi="Calibri" w:cs="Calibri"/>
                <w:color w:val="000000"/>
                <w:lang w:eastAsia="de-DE"/>
              </w:rPr>
            </w:pPr>
            <w:r>
              <w:rPr>
                <w:rFonts w:ascii="Calibri" w:eastAsia="Times New Roman" w:hAnsi="Calibri" w:cs="Calibri"/>
                <w:color w:val="000000"/>
                <w:lang w:eastAsia="de-DE"/>
              </w:rPr>
              <w:t>[</w:t>
            </w:r>
            <w:r>
              <w:rPr>
                <w:bCs/>
                <w:lang w:val="en-US"/>
              </w:rPr>
              <w:t>mg</w:t>
            </w:r>
            <w:r w:rsidR="00515ADE">
              <w:rPr>
                <w:bCs/>
                <w:lang w:val="en-US"/>
              </w:rPr>
              <w:t>/ml</w:t>
            </w:r>
            <w:r>
              <w:rPr>
                <w:bCs/>
                <w:lang w:val="en-US"/>
              </w:rPr>
              <w:t>]</w:t>
            </w:r>
          </w:p>
        </w:tc>
        <w:tc>
          <w:tcPr>
            <w:tcW w:w="1240" w:type="dxa"/>
            <w:shd w:val="clear" w:color="auto" w:fill="auto"/>
            <w:noWrap/>
            <w:vAlign w:val="bottom"/>
          </w:tcPr>
          <w:p w14:paraId="23A0578C" w14:textId="77777777" w:rsidR="00582003" w:rsidRDefault="00582003" w:rsidP="00D42293">
            <w:pPr>
              <w:spacing w:after="0" w:line="480" w:lineRule="auto"/>
              <w:rPr>
                <w:rFonts w:ascii="Calibri" w:eastAsia="Times New Roman" w:hAnsi="Calibri" w:cs="Calibri"/>
                <w:color w:val="000000"/>
                <w:lang w:eastAsia="de-DE"/>
              </w:rPr>
            </w:pPr>
            <w:r>
              <w:rPr>
                <w:rFonts w:ascii="Calibri" w:eastAsia="Times New Roman" w:hAnsi="Calibri" w:cs="Calibri"/>
                <w:color w:val="000000"/>
                <w:lang w:eastAsia="de-DE"/>
              </w:rPr>
              <w:t>Reader 1,</w:t>
            </w:r>
          </w:p>
          <w:p w14:paraId="7F622642" w14:textId="77777777" w:rsidR="00582003" w:rsidRDefault="00582003" w:rsidP="00D42293">
            <w:pPr>
              <w:spacing w:after="0" w:line="480" w:lineRule="auto"/>
              <w:rPr>
                <w:rFonts w:ascii="Calibri" w:eastAsia="Times New Roman" w:hAnsi="Calibri" w:cs="Calibri"/>
                <w:color w:val="000000"/>
                <w:lang w:eastAsia="de-DE"/>
              </w:rPr>
            </w:pPr>
            <w:r>
              <w:rPr>
                <w:rFonts w:ascii="Calibri" w:eastAsia="Times New Roman" w:hAnsi="Calibri" w:cs="Calibri"/>
                <w:color w:val="000000"/>
                <w:lang w:eastAsia="de-DE"/>
              </w:rPr>
              <w:t>Read 2</w:t>
            </w:r>
          </w:p>
          <w:p w14:paraId="1B5AEB29" w14:textId="1220C133" w:rsidR="00582003" w:rsidRPr="00582003" w:rsidRDefault="00582003" w:rsidP="00D42293">
            <w:pPr>
              <w:spacing w:after="0" w:line="480" w:lineRule="auto"/>
              <w:rPr>
                <w:rFonts w:ascii="Calibri" w:eastAsia="Times New Roman" w:hAnsi="Calibri" w:cs="Calibri"/>
                <w:color w:val="000000"/>
                <w:lang w:eastAsia="de-DE"/>
              </w:rPr>
            </w:pPr>
            <w:r>
              <w:rPr>
                <w:rFonts w:ascii="Calibri" w:eastAsia="Times New Roman" w:hAnsi="Calibri" w:cs="Calibri"/>
                <w:color w:val="000000"/>
                <w:lang w:eastAsia="de-DE"/>
              </w:rPr>
              <w:t>[</w:t>
            </w:r>
            <w:r>
              <w:rPr>
                <w:bCs/>
                <w:lang w:val="en-US"/>
              </w:rPr>
              <w:t>mg/</w:t>
            </w:r>
            <w:r w:rsidR="00515ADE">
              <w:rPr>
                <w:bCs/>
                <w:lang w:val="en-US"/>
              </w:rPr>
              <w:t>ml</w:t>
            </w:r>
            <w:r>
              <w:rPr>
                <w:bCs/>
                <w:lang w:val="en-US"/>
              </w:rPr>
              <w:t>]</w:t>
            </w:r>
          </w:p>
        </w:tc>
        <w:tc>
          <w:tcPr>
            <w:tcW w:w="1240" w:type="dxa"/>
            <w:shd w:val="clear" w:color="auto" w:fill="auto"/>
            <w:noWrap/>
            <w:vAlign w:val="bottom"/>
          </w:tcPr>
          <w:p w14:paraId="1E0BC7EC" w14:textId="2B0FCF42" w:rsidR="00582003" w:rsidRDefault="00582003" w:rsidP="00D42293">
            <w:pPr>
              <w:spacing w:after="0" w:line="480" w:lineRule="auto"/>
              <w:rPr>
                <w:rFonts w:ascii="Calibri" w:eastAsia="Times New Roman" w:hAnsi="Calibri" w:cs="Calibri"/>
                <w:color w:val="000000"/>
                <w:lang w:eastAsia="de-DE"/>
              </w:rPr>
            </w:pPr>
            <w:r>
              <w:rPr>
                <w:rFonts w:ascii="Calibri" w:eastAsia="Times New Roman" w:hAnsi="Calibri" w:cs="Calibri"/>
                <w:color w:val="000000"/>
                <w:lang w:eastAsia="de-DE"/>
              </w:rPr>
              <w:t>Reader 2</w:t>
            </w:r>
          </w:p>
          <w:p w14:paraId="2A5DF2B6" w14:textId="77777777" w:rsidR="00582003" w:rsidRDefault="00582003" w:rsidP="00D42293">
            <w:pPr>
              <w:spacing w:after="0" w:line="480" w:lineRule="auto"/>
              <w:rPr>
                <w:rFonts w:ascii="Calibri" w:eastAsia="Times New Roman" w:hAnsi="Calibri" w:cs="Calibri"/>
                <w:color w:val="000000"/>
                <w:lang w:eastAsia="de-DE"/>
              </w:rPr>
            </w:pPr>
          </w:p>
          <w:p w14:paraId="09FC3AF8" w14:textId="0037F6F7" w:rsidR="00582003" w:rsidRPr="00582003" w:rsidRDefault="00582003" w:rsidP="00D42293">
            <w:pPr>
              <w:spacing w:after="0" w:line="480" w:lineRule="auto"/>
              <w:rPr>
                <w:rFonts w:ascii="Calibri" w:eastAsia="Times New Roman" w:hAnsi="Calibri" w:cs="Calibri"/>
                <w:color w:val="000000"/>
                <w:lang w:eastAsia="de-DE"/>
              </w:rPr>
            </w:pPr>
            <w:r>
              <w:rPr>
                <w:rFonts w:ascii="Calibri" w:eastAsia="Times New Roman" w:hAnsi="Calibri" w:cs="Calibri"/>
                <w:color w:val="000000"/>
                <w:lang w:eastAsia="de-DE"/>
              </w:rPr>
              <w:t>[</w:t>
            </w:r>
            <w:r>
              <w:rPr>
                <w:bCs/>
                <w:lang w:val="en-US"/>
              </w:rPr>
              <w:t>mg/</w:t>
            </w:r>
            <w:r w:rsidR="00515ADE">
              <w:rPr>
                <w:bCs/>
                <w:lang w:val="en-US"/>
              </w:rPr>
              <w:t>ml</w:t>
            </w:r>
            <w:r>
              <w:rPr>
                <w:bCs/>
                <w:lang w:val="en-US"/>
              </w:rPr>
              <w:t>]</w:t>
            </w:r>
          </w:p>
        </w:tc>
      </w:tr>
      <w:tr w:rsidR="00582003" w:rsidRPr="00582003" w14:paraId="2296BA71" w14:textId="77777777" w:rsidTr="00582003">
        <w:trPr>
          <w:trHeight w:val="288"/>
        </w:trPr>
        <w:tc>
          <w:tcPr>
            <w:tcW w:w="1240" w:type="dxa"/>
            <w:shd w:val="clear" w:color="auto" w:fill="auto"/>
            <w:noWrap/>
            <w:vAlign w:val="bottom"/>
            <w:hideMark/>
          </w:tcPr>
          <w:p w14:paraId="27B4E422"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89.6</w:t>
            </w:r>
          </w:p>
        </w:tc>
        <w:tc>
          <w:tcPr>
            <w:tcW w:w="1240" w:type="dxa"/>
            <w:shd w:val="clear" w:color="auto" w:fill="auto"/>
            <w:noWrap/>
            <w:vAlign w:val="bottom"/>
            <w:hideMark/>
          </w:tcPr>
          <w:p w14:paraId="61A0C0A5"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90.2</w:t>
            </w:r>
          </w:p>
        </w:tc>
        <w:tc>
          <w:tcPr>
            <w:tcW w:w="1240" w:type="dxa"/>
            <w:shd w:val="clear" w:color="auto" w:fill="auto"/>
            <w:noWrap/>
            <w:vAlign w:val="bottom"/>
            <w:hideMark/>
          </w:tcPr>
          <w:p w14:paraId="6F0B610A"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82.6</w:t>
            </w:r>
          </w:p>
        </w:tc>
      </w:tr>
      <w:tr w:rsidR="00582003" w:rsidRPr="00582003" w14:paraId="484FF7CE" w14:textId="77777777" w:rsidTr="00582003">
        <w:trPr>
          <w:trHeight w:val="288"/>
        </w:trPr>
        <w:tc>
          <w:tcPr>
            <w:tcW w:w="1240" w:type="dxa"/>
            <w:shd w:val="clear" w:color="auto" w:fill="auto"/>
            <w:noWrap/>
            <w:vAlign w:val="bottom"/>
            <w:hideMark/>
          </w:tcPr>
          <w:p w14:paraId="0B7B33A2"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99.3</w:t>
            </w:r>
          </w:p>
        </w:tc>
        <w:tc>
          <w:tcPr>
            <w:tcW w:w="1240" w:type="dxa"/>
            <w:shd w:val="clear" w:color="auto" w:fill="auto"/>
            <w:noWrap/>
            <w:vAlign w:val="bottom"/>
            <w:hideMark/>
          </w:tcPr>
          <w:p w14:paraId="10787245"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99.5</w:t>
            </w:r>
          </w:p>
        </w:tc>
        <w:tc>
          <w:tcPr>
            <w:tcW w:w="1240" w:type="dxa"/>
            <w:shd w:val="clear" w:color="auto" w:fill="auto"/>
            <w:noWrap/>
            <w:vAlign w:val="bottom"/>
            <w:hideMark/>
          </w:tcPr>
          <w:p w14:paraId="77C47F2E"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101</w:t>
            </w:r>
          </w:p>
        </w:tc>
      </w:tr>
      <w:tr w:rsidR="00582003" w:rsidRPr="00582003" w14:paraId="2E050A67" w14:textId="77777777" w:rsidTr="00582003">
        <w:trPr>
          <w:trHeight w:val="288"/>
        </w:trPr>
        <w:tc>
          <w:tcPr>
            <w:tcW w:w="1240" w:type="dxa"/>
            <w:shd w:val="clear" w:color="auto" w:fill="auto"/>
            <w:noWrap/>
            <w:vAlign w:val="bottom"/>
            <w:hideMark/>
          </w:tcPr>
          <w:p w14:paraId="3EE2697C"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146.7</w:t>
            </w:r>
          </w:p>
        </w:tc>
        <w:tc>
          <w:tcPr>
            <w:tcW w:w="1240" w:type="dxa"/>
            <w:shd w:val="clear" w:color="auto" w:fill="auto"/>
            <w:noWrap/>
            <w:vAlign w:val="bottom"/>
            <w:hideMark/>
          </w:tcPr>
          <w:p w14:paraId="0EF5971C"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146.5</w:t>
            </w:r>
          </w:p>
        </w:tc>
        <w:tc>
          <w:tcPr>
            <w:tcW w:w="1240" w:type="dxa"/>
            <w:shd w:val="clear" w:color="auto" w:fill="auto"/>
            <w:noWrap/>
            <w:vAlign w:val="bottom"/>
            <w:hideMark/>
          </w:tcPr>
          <w:p w14:paraId="7EB2D792"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156.2</w:t>
            </w:r>
          </w:p>
        </w:tc>
      </w:tr>
      <w:tr w:rsidR="00582003" w:rsidRPr="00582003" w14:paraId="0F623022" w14:textId="77777777" w:rsidTr="00582003">
        <w:trPr>
          <w:trHeight w:val="288"/>
        </w:trPr>
        <w:tc>
          <w:tcPr>
            <w:tcW w:w="1240" w:type="dxa"/>
            <w:shd w:val="clear" w:color="auto" w:fill="auto"/>
            <w:noWrap/>
            <w:vAlign w:val="bottom"/>
            <w:hideMark/>
          </w:tcPr>
          <w:p w14:paraId="126CEFC1"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93.7</w:t>
            </w:r>
          </w:p>
        </w:tc>
        <w:tc>
          <w:tcPr>
            <w:tcW w:w="1240" w:type="dxa"/>
            <w:shd w:val="clear" w:color="auto" w:fill="auto"/>
            <w:noWrap/>
            <w:vAlign w:val="bottom"/>
            <w:hideMark/>
          </w:tcPr>
          <w:p w14:paraId="78368CE3"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96.7</w:t>
            </w:r>
          </w:p>
        </w:tc>
        <w:tc>
          <w:tcPr>
            <w:tcW w:w="1240" w:type="dxa"/>
            <w:shd w:val="clear" w:color="auto" w:fill="auto"/>
            <w:noWrap/>
            <w:vAlign w:val="bottom"/>
            <w:hideMark/>
          </w:tcPr>
          <w:p w14:paraId="5FC7CF22"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93.8</w:t>
            </w:r>
          </w:p>
        </w:tc>
      </w:tr>
      <w:tr w:rsidR="00582003" w:rsidRPr="00582003" w14:paraId="4AC636BA" w14:textId="77777777" w:rsidTr="00582003">
        <w:trPr>
          <w:trHeight w:val="288"/>
        </w:trPr>
        <w:tc>
          <w:tcPr>
            <w:tcW w:w="1240" w:type="dxa"/>
            <w:shd w:val="clear" w:color="auto" w:fill="auto"/>
            <w:noWrap/>
            <w:vAlign w:val="bottom"/>
            <w:hideMark/>
          </w:tcPr>
          <w:p w14:paraId="44DD4797"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84.2</w:t>
            </w:r>
          </w:p>
        </w:tc>
        <w:tc>
          <w:tcPr>
            <w:tcW w:w="1240" w:type="dxa"/>
            <w:shd w:val="clear" w:color="auto" w:fill="auto"/>
            <w:noWrap/>
            <w:vAlign w:val="bottom"/>
            <w:hideMark/>
          </w:tcPr>
          <w:p w14:paraId="78105161"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86.5</w:t>
            </w:r>
          </w:p>
        </w:tc>
        <w:tc>
          <w:tcPr>
            <w:tcW w:w="1240" w:type="dxa"/>
            <w:shd w:val="clear" w:color="auto" w:fill="auto"/>
            <w:noWrap/>
            <w:vAlign w:val="bottom"/>
            <w:hideMark/>
          </w:tcPr>
          <w:p w14:paraId="250EFB2A"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88.8</w:t>
            </w:r>
          </w:p>
        </w:tc>
      </w:tr>
      <w:tr w:rsidR="00582003" w:rsidRPr="00582003" w14:paraId="396B3D76" w14:textId="77777777" w:rsidTr="00582003">
        <w:trPr>
          <w:trHeight w:val="288"/>
        </w:trPr>
        <w:tc>
          <w:tcPr>
            <w:tcW w:w="1240" w:type="dxa"/>
            <w:shd w:val="clear" w:color="auto" w:fill="auto"/>
            <w:noWrap/>
            <w:vAlign w:val="bottom"/>
            <w:hideMark/>
          </w:tcPr>
          <w:p w14:paraId="312E4773"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96.8</w:t>
            </w:r>
          </w:p>
        </w:tc>
        <w:tc>
          <w:tcPr>
            <w:tcW w:w="1240" w:type="dxa"/>
            <w:shd w:val="clear" w:color="auto" w:fill="auto"/>
            <w:noWrap/>
            <w:vAlign w:val="bottom"/>
            <w:hideMark/>
          </w:tcPr>
          <w:p w14:paraId="5777E45D"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92.7</w:t>
            </w:r>
          </w:p>
        </w:tc>
        <w:tc>
          <w:tcPr>
            <w:tcW w:w="1240" w:type="dxa"/>
            <w:shd w:val="clear" w:color="auto" w:fill="auto"/>
            <w:noWrap/>
            <w:vAlign w:val="bottom"/>
            <w:hideMark/>
          </w:tcPr>
          <w:p w14:paraId="2D80989B"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93.6</w:t>
            </w:r>
          </w:p>
        </w:tc>
      </w:tr>
      <w:tr w:rsidR="00582003" w:rsidRPr="00582003" w14:paraId="412BDF66" w14:textId="77777777" w:rsidTr="00582003">
        <w:trPr>
          <w:trHeight w:val="288"/>
        </w:trPr>
        <w:tc>
          <w:tcPr>
            <w:tcW w:w="1240" w:type="dxa"/>
            <w:shd w:val="clear" w:color="auto" w:fill="auto"/>
            <w:noWrap/>
            <w:vAlign w:val="bottom"/>
            <w:hideMark/>
          </w:tcPr>
          <w:p w14:paraId="6221B8D3"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92</w:t>
            </w:r>
          </w:p>
        </w:tc>
        <w:tc>
          <w:tcPr>
            <w:tcW w:w="1240" w:type="dxa"/>
            <w:shd w:val="clear" w:color="auto" w:fill="auto"/>
            <w:noWrap/>
            <w:vAlign w:val="bottom"/>
            <w:hideMark/>
          </w:tcPr>
          <w:p w14:paraId="42BC5224"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91.7</w:t>
            </w:r>
          </w:p>
        </w:tc>
        <w:tc>
          <w:tcPr>
            <w:tcW w:w="1240" w:type="dxa"/>
            <w:shd w:val="clear" w:color="auto" w:fill="auto"/>
            <w:noWrap/>
            <w:vAlign w:val="bottom"/>
            <w:hideMark/>
          </w:tcPr>
          <w:p w14:paraId="4DA80099"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90.8</w:t>
            </w:r>
          </w:p>
        </w:tc>
      </w:tr>
      <w:tr w:rsidR="00582003" w:rsidRPr="00582003" w14:paraId="7EDBC7F2" w14:textId="77777777" w:rsidTr="00582003">
        <w:trPr>
          <w:trHeight w:val="288"/>
        </w:trPr>
        <w:tc>
          <w:tcPr>
            <w:tcW w:w="1240" w:type="dxa"/>
            <w:shd w:val="clear" w:color="auto" w:fill="auto"/>
            <w:noWrap/>
            <w:vAlign w:val="bottom"/>
            <w:hideMark/>
          </w:tcPr>
          <w:p w14:paraId="4B262286"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143.5</w:t>
            </w:r>
          </w:p>
        </w:tc>
        <w:tc>
          <w:tcPr>
            <w:tcW w:w="1240" w:type="dxa"/>
            <w:shd w:val="clear" w:color="auto" w:fill="auto"/>
            <w:noWrap/>
            <w:vAlign w:val="bottom"/>
            <w:hideMark/>
          </w:tcPr>
          <w:p w14:paraId="110739B0"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139.3</w:t>
            </w:r>
          </w:p>
        </w:tc>
        <w:tc>
          <w:tcPr>
            <w:tcW w:w="1240" w:type="dxa"/>
            <w:shd w:val="clear" w:color="auto" w:fill="auto"/>
            <w:noWrap/>
            <w:vAlign w:val="bottom"/>
            <w:hideMark/>
          </w:tcPr>
          <w:p w14:paraId="5D3CC198"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140.4</w:t>
            </w:r>
          </w:p>
        </w:tc>
      </w:tr>
      <w:tr w:rsidR="00582003" w:rsidRPr="00582003" w14:paraId="140E6270" w14:textId="77777777" w:rsidTr="00582003">
        <w:trPr>
          <w:trHeight w:val="288"/>
        </w:trPr>
        <w:tc>
          <w:tcPr>
            <w:tcW w:w="1240" w:type="dxa"/>
            <w:shd w:val="clear" w:color="auto" w:fill="auto"/>
            <w:noWrap/>
            <w:vAlign w:val="bottom"/>
            <w:hideMark/>
          </w:tcPr>
          <w:p w14:paraId="5092860D"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71.9</w:t>
            </w:r>
          </w:p>
        </w:tc>
        <w:tc>
          <w:tcPr>
            <w:tcW w:w="1240" w:type="dxa"/>
            <w:shd w:val="clear" w:color="auto" w:fill="auto"/>
            <w:noWrap/>
            <w:vAlign w:val="bottom"/>
            <w:hideMark/>
          </w:tcPr>
          <w:p w14:paraId="202D735F"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61.2</w:t>
            </w:r>
          </w:p>
        </w:tc>
        <w:tc>
          <w:tcPr>
            <w:tcW w:w="1240" w:type="dxa"/>
            <w:shd w:val="clear" w:color="auto" w:fill="auto"/>
            <w:noWrap/>
            <w:vAlign w:val="bottom"/>
            <w:hideMark/>
          </w:tcPr>
          <w:p w14:paraId="0AAFC467"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61.6</w:t>
            </w:r>
          </w:p>
        </w:tc>
      </w:tr>
      <w:tr w:rsidR="00582003" w:rsidRPr="00582003" w14:paraId="08E0F17C" w14:textId="77777777" w:rsidTr="00582003">
        <w:trPr>
          <w:trHeight w:val="288"/>
        </w:trPr>
        <w:tc>
          <w:tcPr>
            <w:tcW w:w="1240" w:type="dxa"/>
            <w:shd w:val="clear" w:color="auto" w:fill="auto"/>
            <w:noWrap/>
            <w:vAlign w:val="bottom"/>
            <w:hideMark/>
          </w:tcPr>
          <w:p w14:paraId="06E30CF3"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101.8</w:t>
            </w:r>
          </w:p>
        </w:tc>
        <w:tc>
          <w:tcPr>
            <w:tcW w:w="1240" w:type="dxa"/>
            <w:shd w:val="clear" w:color="auto" w:fill="auto"/>
            <w:noWrap/>
            <w:vAlign w:val="bottom"/>
            <w:hideMark/>
          </w:tcPr>
          <w:p w14:paraId="4F748AD6"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99.1</w:t>
            </w:r>
          </w:p>
        </w:tc>
        <w:tc>
          <w:tcPr>
            <w:tcW w:w="1240" w:type="dxa"/>
            <w:shd w:val="clear" w:color="auto" w:fill="auto"/>
            <w:noWrap/>
            <w:vAlign w:val="bottom"/>
            <w:hideMark/>
          </w:tcPr>
          <w:p w14:paraId="44FF154D" w14:textId="77777777" w:rsidR="00582003" w:rsidRPr="00582003" w:rsidRDefault="00582003" w:rsidP="00D42293">
            <w:pPr>
              <w:spacing w:after="0" w:line="480" w:lineRule="auto"/>
              <w:rPr>
                <w:rFonts w:ascii="Calibri" w:eastAsia="Times New Roman" w:hAnsi="Calibri" w:cs="Calibri"/>
                <w:color w:val="000000"/>
                <w:lang w:eastAsia="de-DE"/>
              </w:rPr>
            </w:pPr>
            <w:r w:rsidRPr="00582003">
              <w:rPr>
                <w:rFonts w:ascii="Calibri" w:eastAsia="Times New Roman" w:hAnsi="Calibri" w:cs="Calibri"/>
                <w:color w:val="000000"/>
                <w:lang w:eastAsia="de-DE"/>
              </w:rPr>
              <w:t>95</w:t>
            </w:r>
          </w:p>
        </w:tc>
      </w:tr>
    </w:tbl>
    <w:p w14:paraId="46A7D533" w14:textId="77777777" w:rsidR="00D42293" w:rsidRDefault="00D42293" w:rsidP="00D42293">
      <w:pPr>
        <w:spacing w:line="480" w:lineRule="auto"/>
        <w:rPr>
          <w:b/>
          <w:lang w:val="en-US"/>
        </w:rPr>
      </w:pPr>
    </w:p>
    <w:p w14:paraId="6EC3010A" w14:textId="77777777" w:rsidR="00D42293" w:rsidRDefault="0085612C" w:rsidP="00D42293">
      <w:pPr>
        <w:spacing w:line="480" w:lineRule="auto"/>
        <w:rPr>
          <w:b/>
          <w:lang w:val="en-US"/>
        </w:rPr>
      </w:pPr>
      <w:r w:rsidRPr="00E73673">
        <w:rPr>
          <w:b/>
          <w:lang w:val="en-US"/>
        </w:rPr>
        <w:t xml:space="preserve">Supplementary Data </w:t>
      </w:r>
      <w:r w:rsidR="00D42293">
        <w:rPr>
          <w:b/>
          <w:lang w:val="en-US"/>
        </w:rPr>
        <w:t>3</w:t>
      </w:r>
      <w:r w:rsidRPr="00E73673">
        <w:rPr>
          <w:b/>
          <w:lang w:val="en-US"/>
        </w:rPr>
        <w:t xml:space="preserve">: </w:t>
      </w:r>
      <w:r>
        <w:rPr>
          <w:b/>
          <w:lang w:val="en-US"/>
        </w:rPr>
        <w:t>Sample size estimation in G*Power.</w:t>
      </w:r>
    </w:p>
    <w:p w14:paraId="329C4509" w14:textId="4A2B009A" w:rsidR="0085612C" w:rsidRDefault="0085612C" w:rsidP="00D42293">
      <w:pPr>
        <w:spacing w:line="480" w:lineRule="auto"/>
        <w:rPr>
          <w:bCs/>
          <w:lang w:val="en-US"/>
        </w:rPr>
      </w:pPr>
      <w:r>
        <w:rPr>
          <w:bCs/>
          <w:lang w:val="en-US"/>
        </w:rPr>
        <w:t xml:space="preserve">The required sample size to ensure adequate statistical power of our analysis was calculated a priori using the software G*Power </w:t>
      </w:r>
      <w:r>
        <w:rPr>
          <w:bCs/>
          <w:lang w:val="en-US"/>
        </w:rPr>
        <w:fldChar w:fldCharType="begin" w:fldLock="1"/>
      </w:r>
      <w:r w:rsidR="00D42293">
        <w:rPr>
          <w:bCs/>
          <w:lang w:val="en-US"/>
        </w:rPr>
        <w:instrText>ADDIN CSL_CITATION {"citationItems":[{"id":"ITEM-1","itemData":{"DOI":"10.3758/BF03193146","ISSN":"1554351X","PMID":"17695343","abstract":"G*Power (Erdfelder, Faul, &amp; Buchner, 1996) was designed as a general stand-alone power analysis program for statistical tests commonly used in social and behavioral research. G*Power 3 is a major extension of, and improvement over, the previous versions. It runs on widely used computer platforms (i.e., Windows XP, Windows Vista, and Mac OS X 10.4) and covers many different statistical tests of the t, F, and χ2 test families. In addition, it includes power analyses for z tests and some exact tests. G*Power 3 provides improved effect size calculators and graphic options, supports both distribution-based and design-based input modes, and offers all types of power analyses in which users might be interested. Like its predecessors, G*Power 3 is free. Copyright 2007 Psychonomic Society, Inc.","author":[{"dropping-particle":"","family":"Faul","given":"Franz","non-dropping-particle":"","parse-names":false,"suffix":""},{"dropping-particle":"","family":"Erdfelder","given":"Edgar","non-dropping-particle":"","parse-names":false,"suffix":""},{"dropping-particle":"","family":"Lang","given":"Albert Georg","non-dropping-particle":"","parse-names":false,"suffix":""},{"dropping-particle":"","family":"Buchner","given":"Axel","non-dropping-particle":"","parse-names":false,"suffix":""}],"container-title":"Behavior Research Methods","id":"ITEM-1","issue":"2","issued":{"date-parts":[["2007"]]},"page":"175-191","publisher":"Psychonomic Society Inc.","title":"G*Power 3: A flexible statistical power analysis program for the social, behavioral, and biomedical sciences","type":"paper-conference","volume":"39"},"uris":["http://www.mendeley.com/documents/?uuid=b1a0db5f-c588-34b5-8ca5-b0f2d779fcc6"]}],"mendeley":{"formattedCitation":"[3]","plainTextFormattedCitation":"[3]","previouslyFormattedCitation":"[3]"},"properties":{"noteIndex":0},"schema":"https://github.com/citation-style-language/schema/raw/master/csl-citation.json"}</w:instrText>
      </w:r>
      <w:r>
        <w:rPr>
          <w:bCs/>
          <w:lang w:val="en-US"/>
        </w:rPr>
        <w:fldChar w:fldCharType="separate"/>
      </w:r>
      <w:r w:rsidR="00515ADE" w:rsidRPr="00515ADE">
        <w:rPr>
          <w:bCs/>
          <w:noProof/>
          <w:lang w:val="en-US"/>
        </w:rPr>
        <w:t>[3]</w:t>
      </w:r>
      <w:r>
        <w:rPr>
          <w:bCs/>
          <w:lang w:val="en-US"/>
        </w:rPr>
        <w:fldChar w:fldCharType="end"/>
      </w:r>
      <w:r>
        <w:rPr>
          <w:bCs/>
          <w:lang w:val="en-US"/>
        </w:rPr>
        <w:t>. Input parameters for sample size estimation were set as follows:</w:t>
      </w:r>
    </w:p>
    <w:p w14:paraId="30113FB0" w14:textId="2EEF86CA" w:rsidR="0085612C" w:rsidRDefault="0085612C" w:rsidP="00D42293">
      <w:pPr>
        <w:spacing w:line="480" w:lineRule="auto"/>
        <w:rPr>
          <w:bCs/>
          <w:lang w:val="en-US"/>
        </w:rPr>
      </w:pPr>
      <w:r>
        <w:rPr>
          <w:bCs/>
          <w:lang w:val="en-US"/>
        </w:rPr>
        <w:t xml:space="preserve">1. </w:t>
      </w:r>
      <w:r w:rsidRPr="00517CAA">
        <w:rPr>
          <w:b/>
          <w:lang w:val="en-US"/>
        </w:rPr>
        <w:t>Effect size f² = 0.32</w:t>
      </w:r>
      <w:r>
        <w:rPr>
          <w:bCs/>
          <w:lang w:val="en-US"/>
        </w:rPr>
        <w:t xml:space="preserve"> (“medium to large” effect size, which is based on a reported Pearson’s r=0.49 for prediction of BM infiltration by </w:t>
      </w:r>
      <w:proofErr w:type="spellStart"/>
      <w:r>
        <w:rPr>
          <w:bCs/>
          <w:lang w:val="en-US"/>
        </w:rPr>
        <w:t>VNCa</w:t>
      </w:r>
      <w:proofErr w:type="spellEnd"/>
      <w:r>
        <w:rPr>
          <w:bCs/>
          <w:lang w:val="en-US"/>
        </w:rPr>
        <w:t xml:space="preserve"> data and the formula for calculation of </w:t>
      </w:r>
      <w:r w:rsidRPr="00517CAA">
        <w:rPr>
          <w:bCs/>
          <w:i/>
          <w:iCs/>
          <w:lang w:val="en-US"/>
        </w:rPr>
        <w:t>f² = r²/(1-r²)</w:t>
      </w:r>
      <w:r>
        <w:rPr>
          <w:bCs/>
          <w:lang w:val="en-US"/>
        </w:rPr>
        <w:t xml:space="preserve"> )</w:t>
      </w:r>
      <w:r>
        <w:rPr>
          <w:bCs/>
          <w:lang w:val="en-US"/>
        </w:rPr>
        <w:fldChar w:fldCharType="begin" w:fldLock="1"/>
      </w:r>
      <w:r w:rsidR="00D42293">
        <w:rPr>
          <w:bCs/>
          <w:lang w:val="en-US"/>
        </w:rPr>
        <w:instrText>ADDIN CSL_CITATION {"citationItems":[{"id":"ITEM-1","itemData":{"DOI":"10.1007/s00330-020-07320-8","ISSN":"14321084","abstract":"Objective: To identify textural features on dual-energy CT (DECT)–based bone marrow images in myeloma which correlate with serum markers of myeloma activity and the degree of medullary involvement. Methods: A total of 110 patients (63.0 ± 11.0 years, 51 female) who underwent unenhanced whole-body DECT between September 2015 and February 2019 were retrospectively included, which was approved by our institutional ethics committee with a waiver of the informed consent requirement. All patients had current hematologic laboratory tests. Using DECT post-processing, non-calcium bone marrow images were reconstructed. The vertebral bodies T10–L5 were segmented for quantification of textural features, which were compared with serologic parameters and myeloma stages by the Mann-Whitney U test. In a subgroup of 56/110 patients with current bone marrow biopsies, textural features were correlated with the degree of bone marrow infiltration. Results: First-order features were higher in patients with advanced stage of myeloma (p &lt;.02), whereas the 2nd-order “gray-level co-occurrence matrix (GLCM) cluster prominence” was lower (p &lt;.04). In patients with elevated serum-free light chains (SFLC) or kappa/lambda SFLC ratio above 1.56, the “entropy” and 2nd-order GLCM features were lower (p &lt;.03). The degree of bone marrow infiltration correlated with 1st-order features (e.g., “uniformity”; rP = 0.49; p &lt;.0001), whereas “entropy” and 2nd-order GLCM features were negatively correlated (e.g., “difference entropy”; rP = − 0.54; p &lt;.0001). Conclusions: CT textural features applied on non-calcium bone marrow images correlate well with myeloma-related serologic parameters and histology showing a more uniform tissue structure and higher attenuation with increasing medullary infiltration and could therefore be used as additional imaging biomarkers for non-invasive assessment of medullary involvement. Key Points: • Texture analysis applied on dual-energy reconstructed non-calcium bone marrow images provides information about marrow structure and attenuation. • Myeloma-related serologic parameters and the degree of myeloma cell infiltration correlate with 1st- and 2nd-order features which could be useful as additional imaging biomarkers for non-invasive assessment of medullary involvement.","author":[{"dropping-particle":"","family":"Reinert","given":"Christian Philipp","non-dropping-particle":"","parse-names":false,"suffix":""},{"dropping-particle":"","family":"Krieg","given":"Eva","non-dropping-particle":"","parse-names":false,"suffix":""},{"dropping-particle":"","family":"Esser","given":"Michael","non-dropping-particle":"","parse-names":false,"suffix":""},{"dropping-particle":"","family":"Nikolaou","given":"Konstantin","non-dropping-particle":"","parse-names":false,"suffix":""},{"dropping-particle":"","family":"Bösmüller","given":"Hans","non-dropping-particle":"","parse-names":false,"suffix":""},{"dropping-particle":"","family":"Horger","given":"Marius","non-dropping-particle":"","parse-names":false,"suffix":""}],"container-title":"European Radiology","id":"ITEM-1","issued":{"date-parts":[["2020","10","3"]]},"page":"1-11","publisher":"Springer Science and Business Media Deutschland GmbH","title":"Role of computed tomography texture analysis using dual-energy-based bone marrow imaging for multiple myeloma characterization: comparison with histology and established serologic parameters","type":"article-journal"},"uris":["http://www.mendeley.com/documents/?uuid=d5db0ba0-1433-3afc-972f-d7dcc7639b67"]}],"mendeley":{"formattedCitation":"[4]","plainTextFormattedCitation":"[4]","previouslyFormattedCitation":"[4]"},"properties":{"noteIndex":0},"schema":"https://github.com/citation-style-language/schema/raw/master/csl-citation.json"}</w:instrText>
      </w:r>
      <w:r>
        <w:rPr>
          <w:bCs/>
          <w:lang w:val="en-US"/>
        </w:rPr>
        <w:fldChar w:fldCharType="separate"/>
      </w:r>
      <w:r w:rsidR="00515ADE" w:rsidRPr="00515ADE">
        <w:rPr>
          <w:bCs/>
          <w:noProof/>
          <w:lang w:val="en-US"/>
        </w:rPr>
        <w:t>[4]</w:t>
      </w:r>
      <w:r>
        <w:rPr>
          <w:bCs/>
          <w:lang w:val="en-US"/>
        </w:rPr>
        <w:fldChar w:fldCharType="end"/>
      </w:r>
      <w:r>
        <w:rPr>
          <w:bCs/>
          <w:lang w:val="en-US"/>
        </w:rPr>
        <w:t>.</w:t>
      </w:r>
      <w:r>
        <w:rPr>
          <w:bCs/>
          <w:lang w:val="en-US"/>
        </w:rPr>
        <w:br/>
      </w:r>
      <w:r>
        <w:rPr>
          <w:bCs/>
          <w:lang w:val="en-US"/>
        </w:rPr>
        <w:lastRenderedPageBreak/>
        <w:t xml:space="preserve">2. </w:t>
      </w:r>
      <w:r w:rsidRPr="00517CAA">
        <w:rPr>
          <w:b/>
          <w:lang w:val="en-US"/>
        </w:rPr>
        <w:t>Alpha error probability = 0.05</w:t>
      </w:r>
      <w:r>
        <w:rPr>
          <w:bCs/>
          <w:lang w:val="en-US"/>
        </w:rPr>
        <w:t xml:space="preserve"> (required significance level)</w:t>
      </w:r>
      <w:r>
        <w:rPr>
          <w:bCs/>
          <w:lang w:val="en-US"/>
        </w:rPr>
        <w:br/>
        <w:t xml:space="preserve">3. </w:t>
      </w:r>
      <w:r w:rsidRPr="00C118B9">
        <w:rPr>
          <w:b/>
          <w:lang w:val="en-US"/>
        </w:rPr>
        <w:t>Power = 0.80</w:t>
      </w:r>
      <w:r>
        <w:rPr>
          <w:bCs/>
          <w:lang w:val="en-US"/>
        </w:rPr>
        <w:t xml:space="preserve"> (typically desired power level)</w:t>
      </w:r>
      <w:r>
        <w:rPr>
          <w:bCs/>
          <w:lang w:val="en-US"/>
        </w:rPr>
        <w:br/>
        <w:t xml:space="preserve">4. </w:t>
      </w:r>
      <w:r w:rsidRPr="00C118B9">
        <w:rPr>
          <w:b/>
          <w:lang w:val="en-US"/>
        </w:rPr>
        <w:t>Number of predictors = 2</w:t>
      </w:r>
      <w:r>
        <w:rPr>
          <w:bCs/>
          <w:lang w:val="en-US"/>
        </w:rPr>
        <w:t xml:space="preserve"> (the multivariate regression model includes the main independent variable and BMD as a control variable)</w:t>
      </w:r>
    </w:p>
    <w:p w14:paraId="20C51F7A" w14:textId="77777777" w:rsidR="0085612C" w:rsidRDefault="0085612C" w:rsidP="00D42293">
      <w:pPr>
        <w:spacing w:line="480" w:lineRule="auto"/>
        <w:rPr>
          <w:bCs/>
          <w:lang w:val="en-US"/>
        </w:rPr>
      </w:pPr>
      <w:r>
        <w:rPr>
          <w:bCs/>
          <w:lang w:val="en-US"/>
        </w:rPr>
        <w:t>The required sample size was estimated as n = 34 patients (supplementary figure 1).</w:t>
      </w:r>
    </w:p>
    <w:p w14:paraId="45554B4F" w14:textId="77777777" w:rsidR="0085612C" w:rsidRPr="00517CAA" w:rsidRDefault="0085612C" w:rsidP="00D42293">
      <w:pPr>
        <w:spacing w:line="480" w:lineRule="auto"/>
        <w:rPr>
          <w:bCs/>
          <w:lang w:val="en-US"/>
        </w:rPr>
      </w:pPr>
      <w:r>
        <w:rPr>
          <w:bCs/>
          <w:noProof/>
          <w:lang w:val="en-US"/>
        </w:rPr>
        <w:drawing>
          <wp:inline distT="0" distB="0" distL="0" distR="0" wp14:anchorId="42D32772" wp14:editId="399D25F1">
            <wp:extent cx="5760000" cy="6624000"/>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7">
                      <a:extLst>
                        <a:ext uri="{28A0092B-C50C-407E-A947-70E740481C1C}">
                          <a14:useLocalDpi xmlns:a14="http://schemas.microsoft.com/office/drawing/2010/main" val="0"/>
                        </a:ext>
                      </a:extLst>
                    </a:blip>
                    <a:srcRect l="1006" r="1293" b="1013"/>
                    <a:stretch/>
                  </pic:blipFill>
                  <pic:spPr bwMode="auto">
                    <a:xfrm>
                      <a:off x="0" y="0"/>
                      <a:ext cx="5760000" cy="6624000"/>
                    </a:xfrm>
                    <a:prstGeom prst="rect">
                      <a:avLst/>
                    </a:prstGeom>
                    <a:ln>
                      <a:noFill/>
                    </a:ln>
                    <a:extLst>
                      <a:ext uri="{53640926-AAD7-44D8-BBD7-CCE9431645EC}">
                        <a14:shadowObscured xmlns:a14="http://schemas.microsoft.com/office/drawing/2010/main"/>
                      </a:ext>
                    </a:extLst>
                  </pic:spPr>
                </pic:pic>
              </a:graphicData>
            </a:graphic>
          </wp:inline>
        </w:drawing>
      </w:r>
    </w:p>
    <w:p w14:paraId="7436F42E" w14:textId="77777777" w:rsidR="0085612C" w:rsidRPr="00C118B9" w:rsidRDefault="0085612C" w:rsidP="00D42293">
      <w:pPr>
        <w:spacing w:line="480" w:lineRule="auto"/>
        <w:rPr>
          <w:b/>
          <w:lang w:val="en-US"/>
        </w:rPr>
      </w:pPr>
      <w:r w:rsidRPr="00C118B9">
        <w:rPr>
          <w:b/>
          <w:lang w:val="en-US"/>
        </w:rPr>
        <w:t>Supplementary Fig. 1: Sample size estimation in G*Power.</w:t>
      </w:r>
    </w:p>
    <w:p w14:paraId="00C22B26" w14:textId="21DEE88A" w:rsidR="00380FBF" w:rsidRPr="00D42293" w:rsidRDefault="00380FBF" w:rsidP="00D42293">
      <w:pPr>
        <w:spacing w:line="480" w:lineRule="auto"/>
        <w:rPr>
          <w:b/>
          <w:lang w:val="en-US"/>
        </w:rPr>
      </w:pPr>
      <w:r w:rsidRPr="00D42293">
        <w:rPr>
          <w:b/>
          <w:lang w:val="en-US"/>
        </w:rPr>
        <w:lastRenderedPageBreak/>
        <w:t>References</w:t>
      </w:r>
    </w:p>
    <w:p w14:paraId="69E192CF" w14:textId="72B4AAB5" w:rsidR="00D42293" w:rsidRPr="009A05AD" w:rsidRDefault="00E06196" w:rsidP="00D42293">
      <w:pPr>
        <w:widowControl w:val="0"/>
        <w:autoSpaceDE w:val="0"/>
        <w:autoSpaceDN w:val="0"/>
        <w:adjustRightInd w:val="0"/>
        <w:spacing w:line="480" w:lineRule="auto"/>
        <w:ind w:left="640" w:hanging="640"/>
        <w:rPr>
          <w:rFonts w:ascii="Calibri" w:hAnsi="Calibri" w:cs="Calibri"/>
          <w:noProof/>
          <w:szCs w:val="24"/>
          <w:lang w:val="en-US"/>
        </w:rPr>
      </w:pPr>
      <w:r>
        <w:rPr>
          <w:bCs/>
          <w:lang w:val="en-US"/>
        </w:rPr>
        <w:fldChar w:fldCharType="begin" w:fldLock="1"/>
      </w:r>
      <w:r>
        <w:rPr>
          <w:bCs/>
          <w:lang w:val="en-US"/>
        </w:rPr>
        <w:instrText xml:space="preserve">ADDIN Mendeley Bibliography CSL_BIBLIOGRAPHY </w:instrText>
      </w:r>
      <w:r>
        <w:rPr>
          <w:bCs/>
          <w:lang w:val="en-US"/>
        </w:rPr>
        <w:fldChar w:fldCharType="separate"/>
      </w:r>
      <w:r w:rsidR="00D42293" w:rsidRPr="009A05AD">
        <w:rPr>
          <w:rFonts w:ascii="Calibri" w:hAnsi="Calibri" w:cs="Calibri"/>
          <w:noProof/>
          <w:szCs w:val="24"/>
          <w:lang w:val="en-US"/>
        </w:rPr>
        <w:t xml:space="preserve">1. </w:t>
      </w:r>
      <w:r w:rsidR="00D42293" w:rsidRPr="009A05AD">
        <w:rPr>
          <w:rFonts w:ascii="Calibri" w:hAnsi="Calibri" w:cs="Calibri"/>
          <w:noProof/>
          <w:szCs w:val="24"/>
          <w:lang w:val="en-US"/>
        </w:rPr>
        <w:tab/>
        <w:t>Koo TK, Li MY (2016) A Guideline of Selecting and Reporting Intraclass Correlation Coefficients for Reliability Research. J Chiropr Med 15:155–163. https://doi.org/10.1016/j.jcm.2016.02.012</w:t>
      </w:r>
    </w:p>
    <w:p w14:paraId="0DC9F8B4" w14:textId="77777777" w:rsidR="00D42293" w:rsidRPr="009A05AD" w:rsidRDefault="00D42293" w:rsidP="00D42293">
      <w:pPr>
        <w:widowControl w:val="0"/>
        <w:autoSpaceDE w:val="0"/>
        <w:autoSpaceDN w:val="0"/>
        <w:adjustRightInd w:val="0"/>
        <w:spacing w:line="480" w:lineRule="auto"/>
        <w:ind w:left="640" w:hanging="640"/>
        <w:rPr>
          <w:rFonts w:ascii="Calibri" w:hAnsi="Calibri" w:cs="Calibri"/>
          <w:noProof/>
          <w:szCs w:val="24"/>
          <w:lang w:val="en-US"/>
        </w:rPr>
      </w:pPr>
      <w:r w:rsidRPr="009A05AD">
        <w:rPr>
          <w:rFonts w:ascii="Calibri" w:hAnsi="Calibri" w:cs="Calibri"/>
          <w:noProof/>
          <w:szCs w:val="24"/>
          <w:lang w:val="en-US"/>
        </w:rPr>
        <w:t xml:space="preserve">2. </w:t>
      </w:r>
      <w:r w:rsidRPr="009A05AD">
        <w:rPr>
          <w:rFonts w:ascii="Calibri" w:hAnsi="Calibri" w:cs="Calibri"/>
          <w:noProof/>
          <w:szCs w:val="24"/>
          <w:lang w:val="en-US"/>
        </w:rPr>
        <w:tab/>
        <w:t>Matthias Gamer A, Matthias Gamer M (2019) Package “irr” Title Various Coefficients of Interrater Reliability and Agreement</w:t>
      </w:r>
    </w:p>
    <w:p w14:paraId="1856BB47" w14:textId="77777777" w:rsidR="00D42293" w:rsidRPr="009A05AD" w:rsidRDefault="00D42293" w:rsidP="00D42293">
      <w:pPr>
        <w:widowControl w:val="0"/>
        <w:autoSpaceDE w:val="0"/>
        <w:autoSpaceDN w:val="0"/>
        <w:adjustRightInd w:val="0"/>
        <w:spacing w:line="480" w:lineRule="auto"/>
        <w:ind w:left="640" w:hanging="640"/>
        <w:rPr>
          <w:rFonts w:ascii="Calibri" w:hAnsi="Calibri" w:cs="Calibri"/>
          <w:noProof/>
          <w:szCs w:val="24"/>
          <w:lang w:val="en-US"/>
        </w:rPr>
      </w:pPr>
      <w:r w:rsidRPr="009A05AD">
        <w:rPr>
          <w:rFonts w:ascii="Calibri" w:hAnsi="Calibri" w:cs="Calibri"/>
          <w:noProof/>
          <w:szCs w:val="24"/>
          <w:lang w:val="en-US"/>
        </w:rPr>
        <w:t xml:space="preserve">3. </w:t>
      </w:r>
      <w:r w:rsidRPr="009A05AD">
        <w:rPr>
          <w:rFonts w:ascii="Calibri" w:hAnsi="Calibri" w:cs="Calibri"/>
          <w:noProof/>
          <w:szCs w:val="24"/>
          <w:lang w:val="en-US"/>
        </w:rPr>
        <w:tab/>
        <w:t>Faul F, Erdfelder E, Lang AG, Buchner A (2007) G*Power 3: A flexible statistical power analysis program for the social, behavioral, and biomedical sciences. In: Behavior Research Methods. Psychonomic Society Inc., pp 175–191</w:t>
      </w:r>
    </w:p>
    <w:p w14:paraId="525B5AE0" w14:textId="77777777" w:rsidR="00D42293" w:rsidRPr="009A05AD" w:rsidRDefault="00D42293" w:rsidP="00D42293">
      <w:pPr>
        <w:widowControl w:val="0"/>
        <w:autoSpaceDE w:val="0"/>
        <w:autoSpaceDN w:val="0"/>
        <w:adjustRightInd w:val="0"/>
        <w:spacing w:line="480" w:lineRule="auto"/>
        <w:ind w:left="640" w:hanging="640"/>
        <w:rPr>
          <w:rFonts w:ascii="Calibri" w:hAnsi="Calibri" w:cs="Calibri"/>
          <w:noProof/>
          <w:szCs w:val="24"/>
          <w:lang w:val="en-US"/>
        </w:rPr>
      </w:pPr>
      <w:r w:rsidRPr="009A05AD">
        <w:rPr>
          <w:rFonts w:ascii="Calibri" w:hAnsi="Calibri" w:cs="Calibri"/>
          <w:noProof/>
          <w:szCs w:val="24"/>
          <w:lang w:val="en-US"/>
        </w:rPr>
        <w:t xml:space="preserve">4. </w:t>
      </w:r>
      <w:r w:rsidRPr="009A05AD">
        <w:rPr>
          <w:rFonts w:ascii="Calibri" w:hAnsi="Calibri" w:cs="Calibri"/>
          <w:noProof/>
          <w:szCs w:val="24"/>
          <w:lang w:val="en-US"/>
        </w:rPr>
        <w:tab/>
        <w:t>Reinert CP, Krieg E, Esser M, et al (2020) Role of computed tomography texture analysis using dual-energy-based bone marrow imaging for multiple myeloma characterization: comparison with histology and established serologic parameters. Eur Radiol 1–11. https://doi.org/10.1007/s00330-020-07320-8</w:t>
      </w:r>
    </w:p>
    <w:p w14:paraId="15BA132D" w14:textId="77777777" w:rsidR="00D42293" w:rsidRPr="00D42293" w:rsidRDefault="00D42293" w:rsidP="00D42293">
      <w:pPr>
        <w:widowControl w:val="0"/>
        <w:autoSpaceDE w:val="0"/>
        <w:autoSpaceDN w:val="0"/>
        <w:adjustRightInd w:val="0"/>
        <w:spacing w:line="480" w:lineRule="auto"/>
        <w:ind w:left="640" w:hanging="640"/>
        <w:rPr>
          <w:rFonts w:ascii="Calibri" w:hAnsi="Calibri" w:cs="Calibri"/>
          <w:noProof/>
        </w:rPr>
      </w:pPr>
      <w:r w:rsidRPr="009A05AD">
        <w:rPr>
          <w:rFonts w:ascii="Calibri" w:hAnsi="Calibri" w:cs="Calibri"/>
          <w:noProof/>
          <w:szCs w:val="24"/>
          <w:lang w:val="en-US"/>
        </w:rPr>
        <w:t xml:space="preserve">5. </w:t>
      </w:r>
      <w:r w:rsidRPr="009A05AD">
        <w:rPr>
          <w:rFonts w:ascii="Calibri" w:hAnsi="Calibri" w:cs="Calibri"/>
          <w:noProof/>
          <w:szCs w:val="24"/>
          <w:lang w:val="en-US"/>
        </w:rPr>
        <w:tab/>
        <w:t xml:space="preserve">Van Griethuysen JJM, Fedorov A, Parmar C, et al (2017) Computational radiomics system to decode the radiographic phenotype. </w:t>
      </w:r>
      <w:r w:rsidRPr="00D42293">
        <w:rPr>
          <w:rFonts w:ascii="Calibri" w:hAnsi="Calibri" w:cs="Calibri"/>
          <w:noProof/>
          <w:szCs w:val="24"/>
        </w:rPr>
        <w:t>Cancer Res 77:e104–e107. https://doi.org/10.1158/0008-5472.CAN-17-0339</w:t>
      </w:r>
    </w:p>
    <w:p w14:paraId="77317D8A" w14:textId="11A8E710" w:rsidR="001B4CE1" w:rsidRPr="00380FBF" w:rsidRDefault="00E06196" w:rsidP="00D42293">
      <w:pPr>
        <w:spacing w:line="480" w:lineRule="auto"/>
        <w:rPr>
          <w:bCs/>
          <w:lang w:val="en-US"/>
        </w:rPr>
      </w:pPr>
      <w:r>
        <w:rPr>
          <w:bCs/>
          <w:lang w:val="en-US"/>
        </w:rPr>
        <w:fldChar w:fldCharType="end"/>
      </w:r>
    </w:p>
    <w:sectPr w:rsidR="001B4CE1" w:rsidRPr="00380FBF">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00B99" w14:textId="77777777" w:rsidR="00FB73C8" w:rsidRDefault="00FB73C8">
      <w:pPr>
        <w:spacing w:after="0" w:line="240" w:lineRule="auto"/>
      </w:pPr>
      <w:r>
        <w:separator/>
      </w:r>
    </w:p>
  </w:endnote>
  <w:endnote w:type="continuationSeparator" w:id="0">
    <w:p w14:paraId="0A93B90E" w14:textId="77777777" w:rsidR="00FB73C8" w:rsidRDefault="00FB7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067A4" w14:textId="117C6E58" w:rsidR="009A05AD" w:rsidRPr="009A05AD" w:rsidRDefault="009A05AD">
    <w:pPr>
      <w:pStyle w:val="Footer"/>
      <w:rPr>
        <w:lang w:val="en-US"/>
      </w:rPr>
    </w:pPr>
    <w:r w:rsidRPr="009A05AD">
      <w:rPr>
        <w:lang w:val="en-US"/>
      </w:rPr>
      <w:t xml:space="preserve">Eur </w:t>
    </w:r>
    <w:proofErr w:type="spellStart"/>
    <w:r w:rsidRPr="009A05AD">
      <w:rPr>
        <w:lang w:val="en-US"/>
      </w:rPr>
      <w:t>Radiol</w:t>
    </w:r>
    <w:proofErr w:type="spellEnd"/>
    <w:r w:rsidRPr="009A05AD">
      <w:rPr>
        <w:lang w:val="en-US"/>
      </w:rPr>
      <w:t xml:space="preserve"> (2021) </w:t>
    </w:r>
    <w:proofErr w:type="spellStart"/>
    <w:r w:rsidRPr="009A05AD">
      <w:rPr>
        <w:lang w:val="en-US"/>
      </w:rPr>
      <w:t>Fervers</w:t>
    </w:r>
    <w:proofErr w:type="spellEnd"/>
    <w:r w:rsidRPr="009A05AD">
      <w:rPr>
        <w:lang w:val="en-US"/>
      </w:rPr>
      <w:t xml:space="preserve"> P, </w:t>
    </w:r>
    <w:proofErr w:type="spellStart"/>
    <w:r w:rsidRPr="009A05AD">
      <w:rPr>
        <w:lang w:val="en-US"/>
      </w:rPr>
      <w:t>F</w:t>
    </w:r>
    <w:r>
      <w:rPr>
        <w:lang w:val="en-US"/>
      </w:rPr>
      <w:t>ervers</w:t>
    </w:r>
    <w:proofErr w:type="spellEnd"/>
    <w:r>
      <w:rPr>
        <w:lang w:val="en-US"/>
      </w:rPr>
      <w:t xml:space="preserve"> F, </w:t>
    </w:r>
    <w:proofErr w:type="spellStart"/>
    <w:r>
      <w:rPr>
        <w:lang w:val="en-US"/>
      </w:rPr>
      <w:t>Kottlors</w:t>
    </w:r>
    <w:proofErr w:type="spellEnd"/>
    <w:r>
      <w:rPr>
        <w:lang w:val="en-US"/>
      </w:rPr>
      <w:t xml:space="preserve"> J et al</w:t>
    </w:r>
  </w:p>
  <w:p w14:paraId="2B92A565" w14:textId="77777777" w:rsidR="001312A4" w:rsidRPr="009A05AD" w:rsidRDefault="00FB73C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9AD80" w14:textId="77777777" w:rsidR="00FB73C8" w:rsidRDefault="00FB73C8">
      <w:pPr>
        <w:spacing w:after="0" w:line="240" w:lineRule="auto"/>
      </w:pPr>
      <w:r>
        <w:separator/>
      </w:r>
    </w:p>
  </w:footnote>
  <w:footnote w:type="continuationSeparator" w:id="0">
    <w:p w14:paraId="620A7B15" w14:textId="77777777" w:rsidR="00FB73C8" w:rsidRDefault="00FB73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95"/>
    <w:rsid w:val="00142371"/>
    <w:rsid w:val="001B4CE1"/>
    <w:rsid w:val="00302901"/>
    <w:rsid w:val="00380FBF"/>
    <w:rsid w:val="00515ADE"/>
    <w:rsid w:val="00517CAA"/>
    <w:rsid w:val="00582003"/>
    <w:rsid w:val="00615172"/>
    <w:rsid w:val="007439AC"/>
    <w:rsid w:val="0082745F"/>
    <w:rsid w:val="0085612C"/>
    <w:rsid w:val="009A05AD"/>
    <w:rsid w:val="00A95595"/>
    <w:rsid w:val="00A9639F"/>
    <w:rsid w:val="00C118B9"/>
    <w:rsid w:val="00D02E09"/>
    <w:rsid w:val="00D42293"/>
    <w:rsid w:val="00DA3B5B"/>
    <w:rsid w:val="00DD7389"/>
    <w:rsid w:val="00E06196"/>
    <w:rsid w:val="00FB73C8"/>
    <w:rsid w:val="00FE40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594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FBF"/>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80FB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0FBF"/>
  </w:style>
  <w:style w:type="paragraph" w:styleId="ListParagraph">
    <w:name w:val="List Paragraph"/>
    <w:basedOn w:val="Normal"/>
    <w:uiPriority w:val="34"/>
    <w:qFormat/>
    <w:rsid w:val="00517CAA"/>
    <w:pPr>
      <w:ind w:left="720"/>
      <w:contextualSpacing/>
    </w:pPr>
  </w:style>
  <w:style w:type="paragraph" w:styleId="Header">
    <w:name w:val="header"/>
    <w:basedOn w:val="Normal"/>
    <w:link w:val="HeaderChar"/>
    <w:uiPriority w:val="99"/>
    <w:unhideWhenUsed/>
    <w:rsid w:val="009A05AD"/>
    <w:pPr>
      <w:tabs>
        <w:tab w:val="center" w:pos="4703"/>
        <w:tab w:val="right" w:pos="9406"/>
      </w:tabs>
      <w:spacing w:after="0" w:line="240" w:lineRule="auto"/>
    </w:pPr>
  </w:style>
  <w:style w:type="character" w:customStyle="1" w:styleId="HeaderChar">
    <w:name w:val="Header Char"/>
    <w:basedOn w:val="DefaultParagraphFont"/>
    <w:link w:val="Header"/>
    <w:uiPriority w:val="99"/>
    <w:rsid w:val="009A0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21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4E405-7865-48BA-9BC2-F9D16160A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1950</Words>
  <Characters>11120</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2021-11-09T14:47:00Z</dcterms:created>
  <dcterms:modified xsi:type="dcterms:W3CDTF">2021-11-09T14:47:00Z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http://www.zotero.org/styles/european-radiology</vt:lpwstr>
  </property>
  <property fmtid="{D5CDD505-2E9C-101B-9397-08002B2CF9AE}" pid="9" name="Mendeley Recent Style Name 3_1">
    <vt:lpwstr>European Radiology</vt:lpwstr>
  </property>
  <property fmtid="{D5CDD505-2E9C-101B-9397-08002B2CF9AE}" pid="10" name="Mendeley Recent Style Id 4_1">
    <vt:lpwstr>http://www.zotero.org/styles/frontiers-in-oncology</vt:lpwstr>
  </property>
  <property fmtid="{D5CDD505-2E9C-101B-9397-08002B2CF9AE}" pid="11" name="Mendeley Recent Style Name 4_1">
    <vt:lpwstr>Frontiers in Oncology</vt:lpwstr>
  </property>
  <property fmtid="{D5CDD505-2E9C-101B-9397-08002B2CF9AE}" pid="12" name="Mendeley Recent Style Id 5_1">
    <vt:lpwstr>http://www.zotero.org/styles/frontiers</vt:lpwstr>
  </property>
  <property fmtid="{D5CDD505-2E9C-101B-9397-08002B2CF9AE}" pid="13" name="Mendeley Recent Style Name 5_1">
    <vt:lpwstr>Frontiers journals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http://www.zotero.org/styles/jama</vt:lpwstr>
  </property>
  <property fmtid="{D5CDD505-2E9C-101B-9397-08002B2CF9AE}" pid="17" name="Mendeley Recent Style Name 7_1">
    <vt:lpwstr>JAMA (The Journal of the American Medical Association)</vt:lpwstr>
  </property>
  <property fmtid="{D5CDD505-2E9C-101B-9397-08002B2CF9AE}" pid="18" name="Mendeley Recent Style Id 8_1">
    <vt:lpwstr>http://www.zotero.org/styles/plos-one</vt:lpwstr>
  </property>
  <property fmtid="{D5CDD505-2E9C-101B-9397-08002B2CF9AE}" pid="19" name="Mendeley Recent Style Name 8_1">
    <vt:lpwstr>PLOS ONE</vt:lpwstr>
  </property>
  <property fmtid="{D5CDD505-2E9C-101B-9397-08002B2CF9AE}" pid="20" name="Mendeley Recent Style Id 9_1">
    <vt:lpwstr>http://csl.mendeley.com/styles/470022481/vancouver-journal-of-thoracic-imaging5</vt:lpwstr>
  </property>
  <property fmtid="{D5CDD505-2E9C-101B-9397-08002B2CF9AE}" pid="21" name="Mendeley Recent Style Name 9_1">
    <vt:lpwstr>Vancouver - journal of thoracic imaging</vt:lpwstr>
  </property>
  <property fmtid="{D5CDD505-2E9C-101B-9397-08002B2CF9AE}" pid="22" name="Mendeley Document_1">
    <vt:lpwstr>True</vt:lpwstr>
  </property>
  <property fmtid="{D5CDD505-2E9C-101B-9397-08002B2CF9AE}" pid="23" name="Mendeley Unique User Id_1">
    <vt:lpwstr>21e92a6b-2f27-309e-a55e-fd45264568a9</vt:lpwstr>
  </property>
  <property fmtid="{D5CDD505-2E9C-101B-9397-08002B2CF9AE}" pid="24" name="Mendeley Citation Style_1">
    <vt:lpwstr>http://www.zotero.org/styles/european-radiology</vt:lpwstr>
  </property>
</Properties>
</file>