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37211" w14:textId="77777777" w:rsidR="005D6980" w:rsidRDefault="005D6980" w:rsidP="005D6980">
      <w:pPr>
        <w:rPr>
          <w:rFonts w:cstheme="minorHAnsi"/>
          <w:b/>
          <w:bCs/>
        </w:rPr>
      </w:pPr>
    </w:p>
    <w:p w14:paraId="09B181F5" w14:textId="3778C1BB" w:rsidR="005D6980" w:rsidRDefault="005D6980" w:rsidP="005D6980">
      <w:pPr>
        <w:rPr>
          <w:rFonts w:cstheme="minorHAnsi"/>
          <w:b/>
          <w:bCs/>
        </w:rPr>
      </w:pPr>
      <w:r>
        <w:rPr>
          <w:rFonts w:cstheme="minorHAnsi"/>
          <w:b/>
          <w:bCs/>
        </w:rPr>
        <w:t>Appendix 4: Characteristics, risk of bias assessment and level of evidence of included studies.</w:t>
      </w:r>
    </w:p>
    <w:p w14:paraId="509C6ED3" w14:textId="51D115C7" w:rsidR="006C04C6" w:rsidRDefault="006C04C6" w:rsidP="00A6111E">
      <w:pPr>
        <w:rPr>
          <w:rFonts w:cstheme="minorHAnsi"/>
          <w:b/>
          <w:bCs/>
        </w:rPr>
      </w:pPr>
    </w:p>
    <w:tbl>
      <w:tblPr>
        <w:tblStyle w:val="TableGrid"/>
        <w:tblW w:w="14454" w:type="dxa"/>
        <w:tblLayout w:type="fixed"/>
        <w:tblLook w:val="04A0" w:firstRow="1" w:lastRow="0" w:firstColumn="1" w:lastColumn="0" w:noHBand="0" w:noVBand="1"/>
      </w:tblPr>
      <w:tblGrid>
        <w:gridCol w:w="2972"/>
        <w:gridCol w:w="1701"/>
        <w:gridCol w:w="1701"/>
        <w:gridCol w:w="1985"/>
        <w:gridCol w:w="3969"/>
        <w:gridCol w:w="992"/>
        <w:gridCol w:w="1134"/>
      </w:tblGrid>
      <w:tr w:rsidR="002C6B67" w14:paraId="6DC319A3" w14:textId="77777777" w:rsidTr="00CF3643">
        <w:tc>
          <w:tcPr>
            <w:tcW w:w="2972" w:type="dxa"/>
          </w:tcPr>
          <w:p w14:paraId="1562D067" w14:textId="77777777" w:rsidR="002C6B67" w:rsidRDefault="002C6B67" w:rsidP="00CF3643">
            <w:pPr>
              <w:rPr>
                <w:rFonts w:cstheme="minorHAnsi"/>
                <w:b/>
                <w:bCs/>
              </w:rPr>
            </w:pPr>
            <w:r>
              <w:rPr>
                <w:rFonts w:cstheme="minorHAnsi"/>
                <w:b/>
                <w:bCs/>
              </w:rPr>
              <w:t>Study, year</w:t>
            </w:r>
          </w:p>
        </w:tc>
        <w:tc>
          <w:tcPr>
            <w:tcW w:w="1701" w:type="dxa"/>
          </w:tcPr>
          <w:p w14:paraId="0AE1C6D4" w14:textId="77777777" w:rsidR="002C6B67" w:rsidRDefault="002C6B67" w:rsidP="00CF3643">
            <w:pPr>
              <w:rPr>
                <w:rFonts w:cstheme="minorHAnsi"/>
                <w:b/>
                <w:bCs/>
              </w:rPr>
            </w:pPr>
            <w:r>
              <w:rPr>
                <w:rFonts w:cstheme="minorHAnsi"/>
                <w:b/>
                <w:bCs/>
              </w:rPr>
              <w:t>Study design</w:t>
            </w:r>
          </w:p>
        </w:tc>
        <w:tc>
          <w:tcPr>
            <w:tcW w:w="1701" w:type="dxa"/>
          </w:tcPr>
          <w:p w14:paraId="12956A77" w14:textId="77777777" w:rsidR="002C6B67" w:rsidRDefault="002C6B67" w:rsidP="00CF3643">
            <w:pPr>
              <w:rPr>
                <w:rFonts w:cstheme="minorHAnsi"/>
                <w:b/>
                <w:bCs/>
              </w:rPr>
            </w:pPr>
            <w:r>
              <w:rPr>
                <w:rFonts w:cstheme="minorHAnsi"/>
                <w:b/>
                <w:bCs/>
              </w:rPr>
              <w:t>Population</w:t>
            </w:r>
          </w:p>
        </w:tc>
        <w:tc>
          <w:tcPr>
            <w:tcW w:w="1985" w:type="dxa"/>
          </w:tcPr>
          <w:p w14:paraId="09221A98" w14:textId="77777777" w:rsidR="002C6B67" w:rsidRDefault="002C6B67" w:rsidP="00CF3643">
            <w:pPr>
              <w:rPr>
                <w:rFonts w:cstheme="minorHAnsi"/>
                <w:b/>
                <w:bCs/>
              </w:rPr>
            </w:pPr>
            <w:r>
              <w:rPr>
                <w:rFonts w:cstheme="minorHAnsi"/>
                <w:b/>
                <w:bCs/>
              </w:rPr>
              <w:t>Number of CMEX events/Total number of injections (%)</w:t>
            </w:r>
          </w:p>
        </w:tc>
        <w:tc>
          <w:tcPr>
            <w:tcW w:w="3969" w:type="dxa"/>
          </w:tcPr>
          <w:p w14:paraId="7C62F801" w14:textId="77777777" w:rsidR="002C6B67" w:rsidRDefault="002C6B67" w:rsidP="00CF3643">
            <w:pPr>
              <w:rPr>
                <w:rFonts w:cstheme="minorHAnsi"/>
                <w:b/>
                <w:bCs/>
              </w:rPr>
            </w:pPr>
            <w:r>
              <w:rPr>
                <w:rFonts w:cstheme="minorHAnsi"/>
                <w:b/>
                <w:bCs/>
              </w:rPr>
              <w:t>Variables studied and outcomes reported</w:t>
            </w:r>
          </w:p>
        </w:tc>
        <w:tc>
          <w:tcPr>
            <w:tcW w:w="992" w:type="dxa"/>
          </w:tcPr>
          <w:p w14:paraId="7BD146CE" w14:textId="77777777" w:rsidR="002C6B67" w:rsidRDefault="002C6B67" w:rsidP="00CF3643">
            <w:pPr>
              <w:rPr>
                <w:rFonts w:cstheme="minorHAnsi"/>
                <w:b/>
                <w:bCs/>
              </w:rPr>
            </w:pPr>
            <w:r>
              <w:rPr>
                <w:rFonts w:cstheme="minorHAnsi"/>
                <w:b/>
                <w:bCs/>
              </w:rPr>
              <w:t>Overall quality rating*</w:t>
            </w:r>
          </w:p>
        </w:tc>
        <w:tc>
          <w:tcPr>
            <w:tcW w:w="1134" w:type="dxa"/>
          </w:tcPr>
          <w:p w14:paraId="26964433" w14:textId="77777777" w:rsidR="002C6B67" w:rsidRDefault="002C6B67" w:rsidP="00CF3643">
            <w:pPr>
              <w:rPr>
                <w:rFonts w:cstheme="minorHAnsi"/>
                <w:b/>
                <w:bCs/>
              </w:rPr>
            </w:pPr>
            <w:r>
              <w:rPr>
                <w:rFonts w:cstheme="minorHAnsi"/>
                <w:b/>
                <w:bCs/>
              </w:rPr>
              <w:t>Level of evidence**</w:t>
            </w:r>
          </w:p>
        </w:tc>
      </w:tr>
      <w:tr w:rsidR="002C6B67" w14:paraId="6DA0CB29" w14:textId="77777777" w:rsidTr="00CF3643">
        <w:tc>
          <w:tcPr>
            <w:tcW w:w="2972" w:type="dxa"/>
          </w:tcPr>
          <w:p w14:paraId="70BB7C7F" w14:textId="2B7A5DE8" w:rsidR="002C6B67" w:rsidRPr="00707F4C" w:rsidRDefault="002C6B67" w:rsidP="00CF3643">
            <w:pPr>
              <w:rPr>
                <w:rFonts w:cstheme="minorHAnsi"/>
              </w:rPr>
            </w:pPr>
            <w:r>
              <w:rPr>
                <w:rFonts w:cstheme="minorHAnsi"/>
              </w:rPr>
              <w:t>Miles et al, 1990</w:t>
            </w:r>
            <w:r w:rsidR="00731981">
              <w:rPr>
                <w:rFonts w:cstheme="minorHAnsi"/>
              </w:rPr>
              <w:fldChar w:fldCharType="begin"/>
            </w:r>
            <w:r w:rsidR="00731981">
              <w:rPr>
                <w:rFonts w:cstheme="minorHAnsi"/>
              </w:rPr>
              <w:instrText xml:space="preserve"> ADDIN ZOTERO_ITEM CSL_CITATION {"citationID":"IS4phUqv","properties":{"formattedCitation":"[1]","plainCitation":"[1]","noteIndex":0},"citationItems":[{"id":214,"uris":["http://zotero.org/users/2960325/items/BBDV39J8"],"uri":["http://zotero.org/users/2960325/items/BBDV39J8"],"itemData":{"id":214,"type":"article-journal","abstract":"Use of a power injector to deliver contrast material intravenously for computed tomography is a safe alternative to a bolus or drip infusion technique. The authors performed 5,280 injections at rates of 0.5-5.0 mL/sec. Six extravasations occurred, and none resulted in long-term sequelae. This complication rate is 0.1%.","container-title":"Radiology","DOI":"10.1148/radiology.176.1.2353114","ISSN":"0033-8419","issue":"1","journalAbbreviation":"Radiology","language":"eng","note":"PMID: 2353114","page":"69-70","source":"PubMed","title":"Safe use of an intravenous power injector for CT: experience and protocol","title-short":"Safe use of an intravenous power injector for CT","volume":"176","author":[{"family":"Miles","given":"S. G."},{"family":"Rasmussen","given":"J. F."},{"family":"Litwiller","given":"T."},{"family":"Osik","given":"A."}],"issued":{"date-parts":[["1990",7]]}}}],"schema":"https://github.com/citation-style-language/schema/raw/master/csl-citation.json"} </w:instrText>
            </w:r>
            <w:r w:rsidR="00731981">
              <w:rPr>
                <w:rFonts w:cstheme="minorHAnsi"/>
              </w:rPr>
              <w:fldChar w:fldCharType="separate"/>
            </w:r>
            <w:r w:rsidR="00731981">
              <w:rPr>
                <w:rFonts w:cstheme="minorHAnsi"/>
                <w:noProof/>
              </w:rPr>
              <w:t>[1]</w:t>
            </w:r>
            <w:r w:rsidR="00731981">
              <w:rPr>
                <w:rFonts w:cstheme="minorHAnsi"/>
              </w:rPr>
              <w:fldChar w:fldCharType="end"/>
            </w:r>
          </w:p>
        </w:tc>
        <w:tc>
          <w:tcPr>
            <w:tcW w:w="1701" w:type="dxa"/>
          </w:tcPr>
          <w:p w14:paraId="63A3FEC2" w14:textId="77777777" w:rsidR="002C6B67" w:rsidRPr="0094000E" w:rsidRDefault="002C6B67" w:rsidP="00CF3643">
            <w:pPr>
              <w:rPr>
                <w:rFonts w:cstheme="minorHAnsi"/>
              </w:rPr>
            </w:pPr>
            <w:r w:rsidRPr="0094000E">
              <w:rPr>
                <w:rFonts w:cstheme="minorHAnsi"/>
              </w:rPr>
              <w:t>Observational</w:t>
            </w:r>
          </w:p>
        </w:tc>
        <w:tc>
          <w:tcPr>
            <w:tcW w:w="1701" w:type="dxa"/>
          </w:tcPr>
          <w:p w14:paraId="2571449A" w14:textId="77777777" w:rsidR="002C6B67" w:rsidRPr="0094000E" w:rsidRDefault="002C6B67" w:rsidP="00CF3643">
            <w:pPr>
              <w:rPr>
                <w:rFonts w:cstheme="minorHAnsi"/>
              </w:rPr>
            </w:pPr>
            <w:r w:rsidRPr="0094000E">
              <w:rPr>
                <w:rFonts w:cstheme="minorHAnsi"/>
              </w:rPr>
              <w:t>Adult and children &gt;12 years</w:t>
            </w:r>
          </w:p>
        </w:tc>
        <w:tc>
          <w:tcPr>
            <w:tcW w:w="1985" w:type="dxa"/>
          </w:tcPr>
          <w:p w14:paraId="05617F8C" w14:textId="77777777" w:rsidR="002C6B67" w:rsidRPr="0094000E" w:rsidRDefault="002C6B67" w:rsidP="00CF3643">
            <w:pPr>
              <w:rPr>
                <w:rFonts w:cstheme="minorHAnsi"/>
              </w:rPr>
            </w:pPr>
            <w:r w:rsidRPr="0094000E">
              <w:rPr>
                <w:rFonts w:cstheme="minorHAnsi"/>
              </w:rPr>
              <w:t>6 / 5280 (0.11)</w:t>
            </w:r>
          </w:p>
        </w:tc>
        <w:tc>
          <w:tcPr>
            <w:tcW w:w="3969" w:type="dxa"/>
          </w:tcPr>
          <w:p w14:paraId="0866C8CC" w14:textId="77777777" w:rsidR="002C6B67" w:rsidRPr="0094000E" w:rsidRDefault="002C6B67" w:rsidP="00CF3643">
            <w:pPr>
              <w:rPr>
                <w:rFonts w:cstheme="minorHAnsi"/>
              </w:rPr>
            </w:pPr>
            <w:r w:rsidRPr="0094000E">
              <w:rPr>
                <w:rFonts w:cstheme="minorHAnsi"/>
              </w:rPr>
              <w:t>CME</w:t>
            </w:r>
            <w:r>
              <w:rPr>
                <w:rFonts w:cstheme="minorHAnsi"/>
              </w:rPr>
              <w:t>X</w:t>
            </w:r>
            <w:r w:rsidRPr="0094000E">
              <w:rPr>
                <w:rFonts w:cstheme="minorHAnsi"/>
              </w:rPr>
              <w:t xml:space="preserve"> events</w:t>
            </w:r>
          </w:p>
        </w:tc>
        <w:tc>
          <w:tcPr>
            <w:tcW w:w="992" w:type="dxa"/>
          </w:tcPr>
          <w:p w14:paraId="6A31F0A8" w14:textId="77777777" w:rsidR="002C6B67" w:rsidRPr="0094000E" w:rsidRDefault="002C6B67" w:rsidP="00CF3643">
            <w:pPr>
              <w:rPr>
                <w:rFonts w:cstheme="minorHAnsi"/>
              </w:rPr>
            </w:pPr>
            <w:r>
              <w:rPr>
                <w:rFonts w:cstheme="minorHAnsi"/>
              </w:rPr>
              <w:t>Good</w:t>
            </w:r>
          </w:p>
        </w:tc>
        <w:tc>
          <w:tcPr>
            <w:tcW w:w="1134" w:type="dxa"/>
          </w:tcPr>
          <w:p w14:paraId="18EA3FDD" w14:textId="77777777" w:rsidR="002C6B67" w:rsidRPr="0094000E" w:rsidRDefault="002C6B67" w:rsidP="00CF3643">
            <w:pPr>
              <w:rPr>
                <w:rFonts w:cstheme="minorHAnsi"/>
              </w:rPr>
            </w:pPr>
            <w:r w:rsidRPr="0094000E">
              <w:rPr>
                <w:rFonts w:cstheme="minorHAnsi"/>
              </w:rPr>
              <w:t>4</w:t>
            </w:r>
          </w:p>
        </w:tc>
      </w:tr>
      <w:tr w:rsidR="002C6B67" w14:paraId="1B721D34" w14:textId="77777777" w:rsidTr="00CF3643">
        <w:tc>
          <w:tcPr>
            <w:tcW w:w="2972" w:type="dxa"/>
          </w:tcPr>
          <w:p w14:paraId="4C9EE7D8" w14:textId="5B2C36FB" w:rsidR="002C6B67" w:rsidRPr="00707F4C" w:rsidRDefault="002C6B67" w:rsidP="00CF3643">
            <w:pPr>
              <w:rPr>
                <w:rFonts w:cstheme="minorHAnsi"/>
              </w:rPr>
            </w:pPr>
            <w:r>
              <w:rPr>
                <w:rFonts w:cstheme="minorHAnsi"/>
              </w:rPr>
              <w:t>Hastings-Tolsma et al, 1993</w:t>
            </w:r>
            <w:r>
              <w:rPr>
                <w:rFonts w:cstheme="minorHAnsi"/>
              </w:rPr>
              <w:fldChar w:fldCharType="begin"/>
            </w:r>
            <w:r w:rsidR="00731981">
              <w:rPr>
                <w:rFonts w:cstheme="minorHAnsi"/>
              </w:rPr>
              <w:instrText xml:space="preserve"> ADDIN ZOTERO_ITEM CSL_CITATION {"citationID":"TEpYkaKg","properties":{"formattedCitation":"[2]","plainCitation":"[2]","noteIndex":0},"citationItems":[{"id":179,"uris":["http://zotero.org/users/2960325/items/H6GCJFQX"],"uri":["http://zotero.org/users/2960325/items/H6GCJFQX"],"itemData":{"id":179,"type":"article-journal","abstract":"Differences in pain intensity, surface area measurements of induration and erythema, and interstitial fluid volume when warm versus cold applications were randomly made to an intentional intravenous infiltrate of 5 mL of a designated solution were examined. Three solutions were used: 1/2 saline (154 mOsm), normal saline (308 mOsm), and 3% saline (1027 mOsm). Differences in volume were determined by magnetic resonance imaging (MRI) at three intervals postinfiltration. The sample was 18 healthy adults between 20 and 45 years. There was no difference in remaining infiltrate when 1/2 saline or normal saline were used, but a significant (p &lt; .001) difference was found with 3% saline. For all solutions there was a significant (p &lt; .001) difference in the volume of infiltrate remaining when warmth was applied and this effect held across MRI readings and solutions. Pain intensity did not differ by treatment but a significant (p &lt; .005) difference was found by solution, with 3% saline producing the greatest difference. Erythema was absent with all solutions. Surface induration was affected by solution and decreased over time (p = .001). There was no effect of warmth or cold on surface area induration.","container-title":"Research in Nursing &amp; Health","ISSN":"0160-6891","issue":"3","journalAbbreviation":"Res Nurs Health","language":"eng","note":"PMID: 8497669","page":"171-178","source":"PubMed","title":"Effect of warm and cold applications on the resolution of i.v. infiltrations","volume":"16","author":[{"family":"Hastings-Tolsma","given":"M. T."},{"family":"Yucha","given":"C. B."},{"family":"Tompkins","given":"J."},{"family":"Robson","given":"L."},{"family":"Szeverenyi","given":"N."}],"issued":{"date-parts":[["1993",6]]}}}],"schema":"https://github.com/citation-style-language/schema/raw/master/csl-citation.json"} </w:instrText>
            </w:r>
            <w:r>
              <w:rPr>
                <w:rFonts w:cstheme="minorHAnsi"/>
              </w:rPr>
              <w:fldChar w:fldCharType="separate"/>
            </w:r>
            <w:r w:rsidR="00731981">
              <w:rPr>
                <w:rFonts w:cstheme="minorHAnsi"/>
                <w:noProof/>
              </w:rPr>
              <w:t>[2]</w:t>
            </w:r>
            <w:r>
              <w:rPr>
                <w:rFonts w:cstheme="minorHAnsi"/>
              </w:rPr>
              <w:fldChar w:fldCharType="end"/>
            </w:r>
          </w:p>
        </w:tc>
        <w:tc>
          <w:tcPr>
            <w:tcW w:w="1701" w:type="dxa"/>
          </w:tcPr>
          <w:p w14:paraId="07311E5E" w14:textId="77777777" w:rsidR="002C6B67" w:rsidRPr="00A8555F" w:rsidRDefault="002C6B67" w:rsidP="00CF3643">
            <w:pPr>
              <w:rPr>
                <w:rFonts w:cstheme="minorHAnsi"/>
              </w:rPr>
            </w:pPr>
            <w:r w:rsidRPr="00A8555F">
              <w:rPr>
                <w:rFonts w:cstheme="minorHAnsi"/>
              </w:rPr>
              <w:t>Randomized controlled trial</w:t>
            </w:r>
          </w:p>
        </w:tc>
        <w:tc>
          <w:tcPr>
            <w:tcW w:w="1701" w:type="dxa"/>
          </w:tcPr>
          <w:p w14:paraId="0266A7E9" w14:textId="77777777" w:rsidR="002C6B67" w:rsidRPr="00A8555F" w:rsidRDefault="002C6B67" w:rsidP="00CF3643">
            <w:pPr>
              <w:rPr>
                <w:rFonts w:cstheme="minorHAnsi"/>
              </w:rPr>
            </w:pPr>
            <w:r w:rsidRPr="00A8555F">
              <w:rPr>
                <w:rFonts w:cstheme="minorHAnsi"/>
              </w:rPr>
              <w:t>Adults</w:t>
            </w:r>
          </w:p>
        </w:tc>
        <w:tc>
          <w:tcPr>
            <w:tcW w:w="1985" w:type="dxa"/>
          </w:tcPr>
          <w:p w14:paraId="37444C1E" w14:textId="77777777" w:rsidR="002C6B67" w:rsidRPr="00A8555F" w:rsidRDefault="002C6B67" w:rsidP="00CF3643">
            <w:pPr>
              <w:rPr>
                <w:rFonts w:cstheme="minorHAnsi"/>
              </w:rPr>
            </w:pPr>
            <w:r w:rsidRPr="00A8555F">
              <w:rPr>
                <w:rFonts w:cstheme="minorHAnsi"/>
              </w:rPr>
              <w:t>18 / 18 (100.00)</w:t>
            </w:r>
          </w:p>
        </w:tc>
        <w:tc>
          <w:tcPr>
            <w:tcW w:w="3969" w:type="dxa"/>
          </w:tcPr>
          <w:p w14:paraId="5228F6C3" w14:textId="77777777" w:rsidR="002C6B67" w:rsidRPr="00A8555F" w:rsidRDefault="002C6B67" w:rsidP="00CF3643">
            <w:pPr>
              <w:rPr>
                <w:rFonts w:cstheme="minorHAnsi"/>
              </w:rPr>
            </w:pPr>
            <w:r w:rsidRPr="00A8555F">
              <w:rPr>
                <w:rFonts w:cstheme="minorHAnsi"/>
              </w:rPr>
              <w:t>Pain intensity, surface area of induration and erythema, and interstitial fluid volume</w:t>
            </w:r>
          </w:p>
        </w:tc>
        <w:tc>
          <w:tcPr>
            <w:tcW w:w="992" w:type="dxa"/>
          </w:tcPr>
          <w:p w14:paraId="088F7BD9" w14:textId="77777777" w:rsidR="002C6B67" w:rsidRPr="00A8555F" w:rsidRDefault="002C6B67" w:rsidP="00CF3643">
            <w:pPr>
              <w:rPr>
                <w:rFonts w:cstheme="minorHAnsi"/>
              </w:rPr>
            </w:pPr>
            <w:r w:rsidRPr="00A8555F">
              <w:rPr>
                <w:rFonts w:cstheme="minorHAnsi"/>
              </w:rPr>
              <w:t>Poor</w:t>
            </w:r>
          </w:p>
        </w:tc>
        <w:tc>
          <w:tcPr>
            <w:tcW w:w="1134" w:type="dxa"/>
          </w:tcPr>
          <w:p w14:paraId="038EE19E" w14:textId="77777777" w:rsidR="002C6B67" w:rsidRPr="00A8555F" w:rsidRDefault="002C6B67" w:rsidP="00CF3643">
            <w:pPr>
              <w:rPr>
                <w:rFonts w:cstheme="minorHAnsi"/>
              </w:rPr>
            </w:pPr>
            <w:r w:rsidRPr="00A8555F">
              <w:rPr>
                <w:rFonts w:cstheme="minorHAnsi"/>
              </w:rPr>
              <w:t>2b</w:t>
            </w:r>
          </w:p>
        </w:tc>
      </w:tr>
      <w:tr w:rsidR="002C6B67" w14:paraId="2841517D" w14:textId="77777777" w:rsidTr="00CF3643">
        <w:tc>
          <w:tcPr>
            <w:tcW w:w="2972" w:type="dxa"/>
          </w:tcPr>
          <w:p w14:paraId="03D70D37" w14:textId="0EE2428F" w:rsidR="002C6B67" w:rsidRDefault="002C6B67" w:rsidP="00CF3643">
            <w:pPr>
              <w:rPr>
                <w:rFonts w:cstheme="minorHAnsi"/>
              </w:rPr>
            </w:pPr>
            <w:r w:rsidRPr="00707F4C">
              <w:rPr>
                <w:rFonts w:cstheme="minorHAnsi"/>
              </w:rPr>
              <w:t>Cohan</w:t>
            </w:r>
            <w:r>
              <w:rPr>
                <w:rFonts w:cstheme="minorHAnsi"/>
              </w:rPr>
              <w:t xml:space="preserve"> et al, 1996</w:t>
            </w:r>
            <w:r>
              <w:rPr>
                <w:rFonts w:cstheme="minorHAnsi"/>
              </w:rPr>
              <w:fldChar w:fldCharType="begin"/>
            </w:r>
            <w:r w:rsidR="00731981">
              <w:rPr>
                <w:rFonts w:cstheme="minorHAnsi"/>
              </w:rPr>
              <w:instrText xml:space="preserve"> ADDIN ZOTERO_ITEM CSL_CITATION {"citationID":"Sxggxbdo","properties":{"formattedCitation":"[3]","plainCitation":"[3]","noteIndex":0},"citationItems":[{"id":"cDllE2GP/Z00d0BkU","uris":["http://zotero.org/users/2960325/items/5FLLRXLS"],"uri":["http://zotero.org/users/2960325/items/5FLLRXLS"],"itemData":{"id":"p8rjXBfz/cBagjzOW","type":"article-journal","abstract":"RATIONALE AND OBJECTIVES: The authors assessed the frequency, sequelae, and risk factors of extravasation of intravenously administered iodinated contrast media.\nMATERIALS AND METHODS: All patients with local reactions after intravenous injection of contrast media between November 1994 and December 1996 were studied. Comparison was made with data obtained from a control group of 100 patients with no local reactions who underwent contrast material-enhanced computed tomography (CT).\nRESULTS: Local reactions were reported in 56 (0.25%) of 22,254 patients who received intravenous injections of iodinated contrast media. Fifty-one patients experienced extravasation, and five patients experienced local irritation in the absence of clinically detectable extravasation. Extravasation occurred during CT (n = 46), urography (n = 4), and venography (n = 1). Contrast material was nonionic in 37 cases and conventional ionic in 14 cases of extravasation. Extravasated volumes exceeded 30 mL in 22 patients and 100 mL in six patients. Forty-five (80%) of 56 patients with local reactions had complete resolution of symptoms within 24 hours. Only four patients had symptoms for more than 48 hours. No surgery was required. Compared with the control group, patients with extravasation were significantly more likely to have been injected with small-bore catheters (21 or 22 gauge) and to have been injected at low or high rates.\nCONCLUSION: Symptoms of contrast medium extravasation usually resolve quickly. In patients with extravasation, injections are more likely to have been performed with techniques that vary from normal practice.","container-title":"Academic Radiology","ISSN":"1076-6332","issue":"11","journalAbbreviation":"Acad Radiol","language":"eng","note":"PMID: 9365749","page":"711-718","source":"PubMed","title":"Local reactions after injection of iodinated contrast material: detection, management, and outcome","title-short":"Local reactions after injection of iodinated contrast material","volume":"4","author":[{"family":"Cohan","given":"R. H."},{"family":"Bullard","given":"M. A."},{"family":"Ellis","given":"J. H."},{"family":"Jan","given":"S. C."},{"family":"Francis","given":"I. R."},{"family":"Garner","given":"W. L."},{"family":"Dunnick","given":"N. R."}],"issued":{"date-parts":[["1997",11]]}}}],"schema":"https://github.com/citation-style-language/schema/raw/master/csl-citation.json"} </w:instrText>
            </w:r>
            <w:r>
              <w:rPr>
                <w:rFonts w:cstheme="minorHAnsi"/>
              </w:rPr>
              <w:fldChar w:fldCharType="separate"/>
            </w:r>
            <w:r w:rsidR="00731981">
              <w:rPr>
                <w:rFonts w:cstheme="minorHAnsi"/>
                <w:noProof/>
              </w:rPr>
              <w:t>[3]</w:t>
            </w:r>
            <w:r>
              <w:rPr>
                <w:rFonts w:cstheme="minorHAnsi"/>
              </w:rPr>
              <w:fldChar w:fldCharType="end"/>
            </w:r>
          </w:p>
        </w:tc>
        <w:tc>
          <w:tcPr>
            <w:tcW w:w="1701" w:type="dxa"/>
          </w:tcPr>
          <w:p w14:paraId="6C22A8BB" w14:textId="77777777" w:rsidR="002C6B67" w:rsidRPr="00A8555F" w:rsidRDefault="002C6B67" w:rsidP="00CF3643">
            <w:pPr>
              <w:rPr>
                <w:rFonts w:cstheme="minorHAnsi"/>
              </w:rPr>
            </w:pPr>
            <w:r>
              <w:rPr>
                <w:rFonts w:cstheme="minorHAnsi"/>
              </w:rPr>
              <w:t>Review article</w:t>
            </w:r>
          </w:p>
        </w:tc>
        <w:tc>
          <w:tcPr>
            <w:tcW w:w="1701" w:type="dxa"/>
          </w:tcPr>
          <w:p w14:paraId="08AFFF27" w14:textId="77777777" w:rsidR="002C6B67" w:rsidRPr="00A8555F" w:rsidRDefault="002C6B67" w:rsidP="00CF3643">
            <w:pPr>
              <w:rPr>
                <w:rFonts w:cstheme="minorHAnsi"/>
              </w:rPr>
            </w:pPr>
            <w:r>
              <w:rPr>
                <w:rFonts w:cstheme="minorHAnsi"/>
              </w:rPr>
              <w:t>Not applicable</w:t>
            </w:r>
          </w:p>
        </w:tc>
        <w:tc>
          <w:tcPr>
            <w:tcW w:w="1985" w:type="dxa"/>
          </w:tcPr>
          <w:p w14:paraId="62DC4053" w14:textId="77777777" w:rsidR="002C6B67" w:rsidRPr="00A8555F" w:rsidRDefault="002C6B67" w:rsidP="00CF3643">
            <w:pPr>
              <w:rPr>
                <w:rFonts w:cstheme="minorHAnsi"/>
              </w:rPr>
            </w:pPr>
            <w:r>
              <w:rPr>
                <w:rFonts w:cstheme="minorHAnsi"/>
              </w:rPr>
              <w:t>Not applicable</w:t>
            </w:r>
          </w:p>
        </w:tc>
        <w:tc>
          <w:tcPr>
            <w:tcW w:w="3969" w:type="dxa"/>
          </w:tcPr>
          <w:p w14:paraId="369CA318" w14:textId="77777777" w:rsidR="002C6B67" w:rsidRPr="00A8555F" w:rsidRDefault="002C6B67" w:rsidP="00CF3643">
            <w:pPr>
              <w:rPr>
                <w:rFonts w:cstheme="minorHAnsi"/>
              </w:rPr>
            </w:pPr>
            <w:r>
              <w:rPr>
                <w:rFonts w:cstheme="minorHAnsi"/>
              </w:rPr>
              <w:t>Not applicable</w:t>
            </w:r>
          </w:p>
        </w:tc>
        <w:tc>
          <w:tcPr>
            <w:tcW w:w="992" w:type="dxa"/>
          </w:tcPr>
          <w:p w14:paraId="32299B9F" w14:textId="77777777" w:rsidR="002C6B67" w:rsidRPr="00A8555F" w:rsidRDefault="002C6B67" w:rsidP="00CF3643">
            <w:pPr>
              <w:rPr>
                <w:rFonts w:cstheme="minorHAnsi"/>
              </w:rPr>
            </w:pPr>
            <w:r>
              <w:rPr>
                <w:rFonts w:cstheme="minorHAnsi"/>
              </w:rPr>
              <w:t>Fair</w:t>
            </w:r>
          </w:p>
        </w:tc>
        <w:tc>
          <w:tcPr>
            <w:tcW w:w="1134" w:type="dxa"/>
          </w:tcPr>
          <w:p w14:paraId="0143FCAE" w14:textId="77777777" w:rsidR="002C6B67" w:rsidRPr="00A8555F" w:rsidRDefault="002C6B67" w:rsidP="00CF3643">
            <w:pPr>
              <w:rPr>
                <w:rFonts w:cstheme="minorHAnsi"/>
              </w:rPr>
            </w:pPr>
            <w:r>
              <w:rPr>
                <w:rFonts w:cstheme="minorHAnsi"/>
              </w:rPr>
              <w:t>5</w:t>
            </w:r>
          </w:p>
        </w:tc>
      </w:tr>
      <w:tr w:rsidR="002C6B67" w14:paraId="1FD0847E" w14:textId="77777777" w:rsidTr="00CF3643">
        <w:tc>
          <w:tcPr>
            <w:tcW w:w="2972" w:type="dxa"/>
          </w:tcPr>
          <w:p w14:paraId="6CDFFDAD" w14:textId="4C0B6A19" w:rsidR="002C6B67" w:rsidRPr="00707F4C" w:rsidRDefault="002C6B67" w:rsidP="00CF3643">
            <w:pPr>
              <w:rPr>
                <w:rFonts w:cstheme="minorHAnsi"/>
              </w:rPr>
            </w:pPr>
            <w:r>
              <w:rPr>
                <w:rFonts w:cstheme="minorHAnsi"/>
              </w:rPr>
              <w:t>Federle et al, 1998</w:t>
            </w:r>
            <w:r>
              <w:rPr>
                <w:rFonts w:cstheme="minorHAnsi"/>
              </w:rPr>
              <w:fldChar w:fldCharType="begin"/>
            </w:r>
            <w:r w:rsidR="00731981">
              <w:rPr>
                <w:rFonts w:cstheme="minorHAnsi"/>
              </w:rPr>
              <w:instrText xml:space="preserve"> ADDIN ZOTERO_ITEM CSL_CITATION {"citationID":"P5pBDMAZ","properties":{"formattedCitation":"[4]","plainCitation":"[4]","noteIndex":0},"citationItems":[{"id":24,"uris":["http://zotero.org/users/2960325/items/P2BWSV6G"],"uri":["http://zotero.org/users/2960325/items/P2BWSV6G"],"itemData":{"id":24,"type":"article-journal","abstract":"PURPOSE: To determine the frequency and clinical effects of extravasation related to rapid bolus infusion of ionic and nonionic contrast media.\nMATERIALS AND METHODS: Records of 5,106 computed tomographic studies in adult patients who underwent mechanical bolus injection of contrast medium through a plastic cannula in an upper extremity were retrospectively reviewed.\nRESULTS: Mean infusion rate was 2.8 mL/sec (range, 1-5 mL/sec). Extravasation occurred in 48 (0.9%) patients, including in four of 928 patients who received the median injection rate (2.5 mL/sec). Injection rate was not correlated with frequency or amount of extravasation. Average age and use of ionic versus nonionic contrast medium were identical in patients with and in those without extravasation. There was no sex difference. Thirty-one patients had extravasation of ionic contrast medium; nine of these had extravasation of at least 50 mL. Seventeen patients had extravasation of nonionic contrast medium; seven of these had extravasation of at least 50 mL. Hyaluronidase infiltration was often used as treatment for larger extravasations (in 10 patients each with extravasation of ionic or nonionic medium). No patient required surgical intervention, and none had severe or permanent long-term effects.\nCONCLUSION: The frequency of extravasation of contrast medium after mechanical bolus injection is higher than that reported for hand-injection or drip-infusion techniques, but there is no correlation between injection rate and extravasation frequency.","container-title":"Radiology","DOI":"10.1148/radiology.206.3.9494479","ISSN":"0033-8419","issue":"3","journalAbbreviation":"Radiology","language":"eng","note":"PMID: 9494479","page":"637-640","source":"PubMed","title":"Frequency and effects of extravasation of ionic and nonionic CT contrast media during rapid bolus injection","volume":"206","author":[{"family":"Federle","given":"M. P."},{"family":"Chang","given":"P. J."},{"family":"Confer","given":"S."},{"family":"Ozgun","given":"B."}],"issued":{"date-parts":[["1998",3]]}}}],"schema":"https://github.com/citation-style-language/schema/raw/master/csl-citation.json"} </w:instrText>
            </w:r>
            <w:r>
              <w:rPr>
                <w:rFonts w:cstheme="minorHAnsi"/>
              </w:rPr>
              <w:fldChar w:fldCharType="separate"/>
            </w:r>
            <w:r w:rsidR="00731981">
              <w:rPr>
                <w:rFonts w:cstheme="minorHAnsi"/>
                <w:noProof/>
              </w:rPr>
              <w:t>[4]</w:t>
            </w:r>
            <w:r>
              <w:rPr>
                <w:rFonts w:cstheme="minorHAnsi"/>
              </w:rPr>
              <w:fldChar w:fldCharType="end"/>
            </w:r>
          </w:p>
        </w:tc>
        <w:tc>
          <w:tcPr>
            <w:tcW w:w="1701" w:type="dxa"/>
          </w:tcPr>
          <w:p w14:paraId="6813D64F" w14:textId="77777777" w:rsidR="002C6B67" w:rsidRPr="00A8555F" w:rsidRDefault="002C6B67" w:rsidP="00CF3643">
            <w:pPr>
              <w:rPr>
                <w:rFonts w:cstheme="minorHAnsi"/>
              </w:rPr>
            </w:pPr>
            <w:r>
              <w:rPr>
                <w:rFonts w:cstheme="minorHAnsi"/>
              </w:rPr>
              <w:t>Cohort</w:t>
            </w:r>
          </w:p>
        </w:tc>
        <w:tc>
          <w:tcPr>
            <w:tcW w:w="1701" w:type="dxa"/>
          </w:tcPr>
          <w:p w14:paraId="5C11920E" w14:textId="77777777" w:rsidR="002C6B67" w:rsidRPr="00A8555F" w:rsidRDefault="002C6B67" w:rsidP="00CF3643">
            <w:pPr>
              <w:rPr>
                <w:rFonts w:cstheme="minorHAnsi"/>
              </w:rPr>
            </w:pPr>
            <w:r>
              <w:rPr>
                <w:rFonts w:cstheme="minorHAnsi"/>
              </w:rPr>
              <w:t>Adults</w:t>
            </w:r>
          </w:p>
        </w:tc>
        <w:tc>
          <w:tcPr>
            <w:tcW w:w="1985" w:type="dxa"/>
          </w:tcPr>
          <w:p w14:paraId="291CF882" w14:textId="77777777" w:rsidR="002C6B67" w:rsidRPr="00A8555F" w:rsidRDefault="002C6B67" w:rsidP="00CF3643">
            <w:pPr>
              <w:rPr>
                <w:rFonts w:cstheme="minorHAnsi"/>
              </w:rPr>
            </w:pPr>
            <w:r>
              <w:rPr>
                <w:rFonts w:cstheme="minorHAnsi"/>
              </w:rPr>
              <w:t>48 / 5106 (0.90)</w:t>
            </w:r>
          </w:p>
        </w:tc>
        <w:tc>
          <w:tcPr>
            <w:tcW w:w="3969" w:type="dxa"/>
          </w:tcPr>
          <w:p w14:paraId="57764966" w14:textId="77777777" w:rsidR="002C6B67" w:rsidRPr="00A8555F" w:rsidRDefault="002C6B67" w:rsidP="00CF3643">
            <w:pPr>
              <w:rPr>
                <w:rFonts w:cstheme="minorHAnsi"/>
              </w:rPr>
            </w:pPr>
            <w:r>
              <w:rPr>
                <w:rFonts w:cstheme="minorHAnsi"/>
              </w:rPr>
              <w:t>Injection rates, CMEX events, management</w:t>
            </w:r>
          </w:p>
        </w:tc>
        <w:tc>
          <w:tcPr>
            <w:tcW w:w="992" w:type="dxa"/>
          </w:tcPr>
          <w:p w14:paraId="6FEAB467" w14:textId="77777777" w:rsidR="002C6B67" w:rsidRPr="00A8555F" w:rsidRDefault="002C6B67" w:rsidP="00CF3643">
            <w:pPr>
              <w:rPr>
                <w:rFonts w:cstheme="minorHAnsi"/>
              </w:rPr>
            </w:pPr>
            <w:r>
              <w:rPr>
                <w:rFonts w:cstheme="minorHAnsi"/>
              </w:rPr>
              <w:t>Fair</w:t>
            </w:r>
          </w:p>
        </w:tc>
        <w:tc>
          <w:tcPr>
            <w:tcW w:w="1134" w:type="dxa"/>
          </w:tcPr>
          <w:p w14:paraId="1A17D845" w14:textId="77777777" w:rsidR="002C6B67" w:rsidRPr="00A8555F" w:rsidRDefault="002C6B67" w:rsidP="00CF3643">
            <w:pPr>
              <w:rPr>
                <w:rFonts w:cstheme="minorHAnsi"/>
              </w:rPr>
            </w:pPr>
            <w:r>
              <w:rPr>
                <w:rFonts w:cstheme="minorHAnsi"/>
              </w:rPr>
              <w:t>4</w:t>
            </w:r>
          </w:p>
        </w:tc>
      </w:tr>
      <w:tr w:rsidR="002C6B67" w14:paraId="0F147C97" w14:textId="77777777" w:rsidTr="00CF3643">
        <w:tc>
          <w:tcPr>
            <w:tcW w:w="2972" w:type="dxa"/>
          </w:tcPr>
          <w:p w14:paraId="1D779CCF" w14:textId="76FCE39D" w:rsidR="002C6B67" w:rsidRPr="00707F4C" w:rsidRDefault="002C6B67" w:rsidP="00CF3643">
            <w:pPr>
              <w:rPr>
                <w:rFonts w:cstheme="minorHAnsi"/>
              </w:rPr>
            </w:pPr>
            <w:r w:rsidRPr="009301DD">
              <w:rPr>
                <w:rFonts w:cstheme="minorHAnsi"/>
              </w:rPr>
              <w:t>Jacobs et al</w:t>
            </w:r>
            <w:r>
              <w:rPr>
                <w:rFonts w:cstheme="minorHAnsi"/>
              </w:rPr>
              <w:t>,</w:t>
            </w:r>
            <w:r w:rsidRPr="009301DD">
              <w:rPr>
                <w:rFonts w:cstheme="minorHAnsi"/>
              </w:rPr>
              <w:t xml:space="preserve"> 1998</w:t>
            </w:r>
            <w:r>
              <w:rPr>
                <w:rFonts w:cstheme="minorHAnsi"/>
              </w:rPr>
              <w:fldChar w:fldCharType="begin"/>
            </w:r>
            <w:r w:rsidR="00731981">
              <w:rPr>
                <w:rFonts w:cstheme="minorHAnsi"/>
              </w:rPr>
              <w:instrText xml:space="preserve"> ADDIN ZOTERO_ITEM CSL_CITATION {"citationID":"BRue9RLY","properties":{"formattedCitation":"[5]","plainCitation":"[5]","noteIndex":0},"citationItems":[{"id":13,"uris":["http://zotero.org/users/2960325/items/9827QDVV"],"uri":["http://zotero.org/users/2960325/items/9827QDVV"],"itemData":{"id":13,"type":"article-journal","abstract":"PURPOSE: To evaluate the belief that the frequencies of contrast material extravasation and minor, nonidiosyncratic contrast material reactions correlate with intravenous injection rates.\nMATERIALS AND METHODS: Complications of 6,660 consecutive injections of contrast material for computed tomography were prospectively recorded. Ionic (n = 4,851) or nonionic (n = 1,809) contrast material was injected at 0.5-4.0 mL/sec. The injection rate was 1.9 mL/sec or less in group 1 (n = 2,899), 2.0-2.9 mL/sec in group 2 (n = 2,475), and 3.0-4.0 mL/sec in group 3 (n = 1,286).\nRESULTS: The extravasation rate (0.6%) did not differ significantly between the groups. The reaction rate (8.4%) also did not differ significantly between the groups. The rate of minor reactions (8.0%) was higher with ionic (9.9%) than nonionic (2.9%) contrast material (relative risk = 3.4). The rate of major reactions (0.4%) did not vary significantly with type of contrast material. The rate of nausea or vomiting (3.8%) did not differ significantly between the groups but was higher with ionic (4.9%) than nonionic (1.1%) contrast material (relative risk = 4.5). The rate of severe warmth (2.1%) was significantly higher in group 3 (2.8%) than group 1 (2.0%) or 2 (1.8%).\nCONCLUSION: No correlations exist between injection rate and extravasation rate or overall reaction rate.","container-title":"Radiology","DOI":"10.1148/radiology.209.2.9807567","ISSN":"0033-8419","issue":"2","journalAbbreviation":"Radiology","language":"eng","note":"PMID: 9807567","page":"411-416","source":"PubMed","title":"Contrast media reactions and extravasation: relationship to intravenous injection rates","title-short":"Contrast media reactions and extravasation","volume":"209","author":[{"family":"Jacobs","given":"J. E."},{"family":"Birnbaum","given":"B. A."},{"family":"Langlotz","given":"C. P."}],"issued":{"date-parts":[["1998",11]]}}}],"schema":"https://github.com/citation-style-language/schema/raw/master/csl-citation.json"} </w:instrText>
            </w:r>
            <w:r>
              <w:rPr>
                <w:rFonts w:cstheme="minorHAnsi"/>
              </w:rPr>
              <w:fldChar w:fldCharType="separate"/>
            </w:r>
            <w:r w:rsidR="00731981">
              <w:rPr>
                <w:rFonts w:cstheme="minorHAnsi"/>
                <w:noProof/>
              </w:rPr>
              <w:t>[5]</w:t>
            </w:r>
            <w:r>
              <w:rPr>
                <w:rFonts w:cstheme="minorHAnsi"/>
              </w:rPr>
              <w:fldChar w:fldCharType="end"/>
            </w:r>
          </w:p>
        </w:tc>
        <w:tc>
          <w:tcPr>
            <w:tcW w:w="1701" w:type="dxa"/>
          </w:tcPr>
          <w:p w14:paraId="10C76C2C" w14:textId="77777777" w:rsidR="002C6B67" w:rsidRPr="00A8555F" w:rsidRDefault="002C6B67" w:rsidP="00CF3643">
            <w:pPr>
              <w:rPr>
                <w:rFonts w:cstheme="minorHAnsi"/>
              </w:rPr>
            </w:pPr>
            <w:r>
              <w:rPr>
                <w:rFonts w:cstheme="minorHAnsi"/>
              </w:rPr>
              <w:t>Prospective</w:t>
            </w:r>
          </w:p>
        </w:tc>
        <w:tc>
          <w:tcPr>
            <w:tcW w:w="1701" w:type="dxa"/>
          </w:tcPr>
          <w:p w14:paraId="4D8D8596" w14:textId="77777777" w:rsidR="002C6B67" w:rsidRPr="00A8555F" w:rsidRDefault="002C6B67" w:rsidP="00CF3643">
            <w:pPr>
              <w:rPr>
                <w:rFonts w:cstheme="minorHAnsi"/>
              </w:rPr>
            </w:pPr>
            <w:r>
              <w:rPr>
                <w:rFonts w:cstheme="minorHAnsi"/>
              </w:rPr>
              <w:t>Adults</w:t>
            </w:r>
          </w:p>
        </w:tc>
        <w:tc>
          <w:tcPr>
            <w:tcW w:w="1985" w:type="dxa"/>
          </w:tcPr>
          <w:p w14:paraId="494AAEC6" w14:textId="77777777" w:rsidR="002C6B67" w:rsidRPr="00A8555F" w:rsidRDefault="002C6B67" w:rsidP="00CF3643">
            <w:pPr>
              <w:rPr>
                <w:rFonts w:cstheme="minorHAnsi"/>
              </w:rPr>
            </w:pPr>
            <w:r>
              <w:rPr>
                <w:rFonts w:cstheme="minorHAnsi"/>
              </w:rPr>
              <w:t>41 / 6660 (0.62)</w:t>
            </w:r>
          </w:p>
        </w:tc>
        <w:tc>
          <w:tcPr>
            <w:tcW w:w="3969" w:type="dxa"/>
          </w:tcPr>
          <w:p w14:paraId="511FAF41" w14:textId="77777777" w:rsidR="002C6B67" w:rsidRPr="00A8555F" w:rsidRDefault="002C6B67" w:rsidP="00CF3643">
            <w:pPr>
              <w:rPr>
                <w:rFonts w:cstheme="minorHAnsi"/>
              </w:rPr>
            </w:pPr>
            <w:r>
              <w:rPr>
                <w:rFonts w:cstheme="minorHAnsi"/>
              </w:rPr>
              <w:t>Extravasation rates, site of cannulation, type of CM used, catheter size and injection rates.</w:t>
            </w:r>
          </w:p>
        </w:tc>
        <w:tc>
          <w:tcPr>
            <w:tcW w:w="992" w:type="dxa"/>
          </w:tcPr>
          <w:p w14:paraId="47933BD6" w14:textId="77777777" w:rsidR="002C6B67" w:rsidRPr="00A8555F" w:rsidRDefault="002C6B67" w:rsidP="00CF3643">
            <w:pPr>
              <w:rPr>
                <w:rFonts w:cstheme="minorHAnsi"/>
              </w:rPr>
            </w:pPr>
            <w:r>
              <w:rPr>
                <w:rFonts w:cstheme="minorHAnsi"/>
              </w:rPr>
              <w:t>Fair</w:t>
            </w:r>
          </w:p>
        </w:tc>
        <w:tc>
          <w:tcPr>
            <w:tcW w:w="1134" w:type="dxa"/>
          </w:tcPr>
          <w:p w14:paraId="766B57CE" w14:textId="77777777" w:rsidR="002C6B67" w:rsidRPr="00A8555F" w:rsidRDefault="002C6B67" w:rsidP="00CF3643">
            <w:pPr>
              <w:rPr>
                <w:rFonts w:cstheme="minorHAnsi"/>
              </w:rPr>
            </w:pPr>
            <w:r>
              <w:rPr>
                <w:rFonts w:cstheme="minorHAnsi"/>
              </w:rPr>
              <w:t>4</w:t>
            </w:r>
          </w:p>
        </w:tc>
      </w:tr>
      <w:tr w:rsidR="002C6B67" w14:paraId="5BC426C3" w14:textId="77777777" w:rsidTr="00CF3643">
        <w:tc>
          <w:tcPr>
            <w:tcW w:w="2972" w:type="dxa"/>
          </w:tcPr>
          <w:p w14:paraId="1FFC5EFC" w14:textId="218717C8" w:rsidR="002C6B67" w:rsidRPr="009301DD" w:rsidRDefault="002C6B67" w:rsidP="00CF3643">
            <w:pPr>
              <w:rPr>
                <w:rFonts w:cstheme="minorHAnsi"/>
              </w:rPr>
            </w:pPr>
            <w:r>
              <w:rPr>
                <w:rFonts w:cstheme="minorHAnsi"/>
              </w:rPr>
              <w:t>Nelson et al, 1998</w:t>
            </w:r>
            <w:r>
              <w:rPr>
                <w:rFonts w:cstheme="minorHAnsi"/>
              </w:rPr>
              <w:fldChar w:fldCharType="begin"/>
            </w:r>
            <w:r w:rsidR="00731981">
              <w:rPr>
                <w:rFonts w:cstheme="minorHAnsi"/>
              </w:rPr>
              <w:instrText xml:space="preserve"> ADDIN ZOTERO_ITEM CSL_CITATION {"citationID":"d4DDIc2e","properties":{"formattedCitation":"[6]","plainCitation":"[6]","noteIndex":0},"citationItems":[{"id":216,"uris":["http://zotero.org/users/2960325/items/HFEZ6K9Q"],"uri":["http://zotero.org/users/2960325/items/HFEZ6K9Q"],"itemData":{"id":216,"type":"article-journal","abstract":"To detect extravasation of contrast media during mechanical power injection at dynamic computed tomography, a 5 x 8-cm pliable adhesive patch was applied to the skin over the intravenous cannula and connected to the power injector with a cable to monitor electrical skin impedance. If the rate of change or the slope of impedance over time indicated an extravasation event, the power injector was set into a pause mode. In animal and human studies, monitoring with the device was successful. Extravasation of ionic contrast agents decreased impedance and that of nonionic agents increased impedance.","container-title":"Radiology","DOI":"10.1148/radiology.209.3.9844684","ISSN":"0033-8419","issue":"3","journalAbbreviation":"Radiology","note":"publisher: Radiological Society of North America","page":"837-843","source":"pubs.rsna.org (Atypon)","title":"Contrast media extravasation during dynamic CT: detection with an extravasation detection accessory.","title-short":"Contrast media extravasation during dynamic CT","volume":"209","author":[{"family":"Nelson","given":"R C"},{"family":"Anderson","given":"F A"},{"family":"Birnbaum","given":"B A"},{"family":"Chezmar","given":"J L"},{"family":"Glick","given":"S N"}],"issued":{"date-parts":[["1998",12,1]]}}}],"schema":"https://github.com/citation-style-language/schema/raw/master/csl-citation.json"} </w:instrText>
            </w:r>
            <w:r>
              <w:rPr>
                <w:rFonts w:cstheme="minorHAnsi"/>
              </w:rPr>
              <w:fldChar w:fldCharType="separate"/>
            </w:r>
            <w:r w:rsidR="00731981">
              <w:rPr>
                <w:rFonts w:cstheme="minorHAnsi"/>
                <w:noProof/>
              </w:rPr>
              <w:t>[6]</w:t>
            </w:r>
            <w:r>
              <w:rPr>
                <w:rFonts w:cstheme="minorHAnsi"/>
              </w:rPr>
              <w:fldChar w:fldCharType="end"/>
            </w:r>
          </w:p>
        </w:tc>
        <w:tc>
          <w:tcPr>
            <w:tcW w:w="1701" w:type="dxa"/>
          </w:tcPr>
          <w:p w14:paraId="2FD4B0E1" w14:textId="77777777" w:rsidR="002C6B67" w:rsidRPr="00A8555F" w:rsidRDefault="002C6B67" w:rsidP="00CF3643">
            <w:pPr>
              <w:rPr>
                <w:rFonts w:cstheme="minorHAnsi"/>
              </w:rPr>
            </w:pPr>
            <w:r>
              <w:rPr>
                <w:rFonts w:cstheme="minorHAnsi"/>
              </w:rPr>
              <w:t>Observational study</w:t>
            </w:r>
          </w:p>
        </w:tc>
        <w:tc>
          <w:tcPr>
            <w:tcW w:w="1701" w:type="dxa"/>
          </w:tcPr>
          <w:p w14:paraId="0D927E95" w14:textId="77777777" w:rsidR="002C6B67" w:rsidRPr="00A8555F" w:rsidRDefault="002C6B67" w:rsidP="00CF3643">
            <w:pPr>
              <w:rPr>
                <w:rFonts w:cstheme="minorHAnsi"/>
              </w:rPr>
            </w:pPr>
            <w:r>
              <w:rPr>
                <w:rFonts w:cstheme="minorHAnsi"/>
              </w:rPr>
              <w:t>Adults</w:t>
            </w:r>
          </w:p>
        </w:tc>
        <w:tc>
          <w:tcPr>
            <w:tcW w:w="1985" w:type="dxa"/>
          </w:tcPr>
          <w:p w14:paraId="480EE19C" w14:textId="77777777" w:rsidR="002C6B67" w:rsidRPr="00A8555F" w:rsidRDefault="002C6B67" w:rsidP="00CF3643">
            <w:pPr>
              <w:rPr>
                <w:rFonts w:cstheme="minorHAnsi"/>
              </w:rPr>
            </w:pPr>
            <w:r>
              <w:rPr>
                <w:rFonts w:cstheme="minorHAnsi"/>
              </w:rPr>
              <w:t>Not applicable</w:t>
            </w:r>
          </w:p>
        </w:tc>
        <w:tc>
          <w:tcPr>
            <w:tcW w:w="3969" w:type="dxa"/>
          </w:tcPr>
          <w:p w14:paraId="7DF20272" w14:textId="77777777" w:rsidR="002C6B67" w:rsidRPr="00A8555F" w:rsidRDefault="002C6B67" w:rsidP="00CF3643">
            <w:pPr>
              <w:rPr>
                <w:rFonts w:cstheme="minorHAnsi"/>
              </w:rPr>
            </w:pPr>
            <w:r>
              <w:rPr>
                <w:rFonts w:cstheme="minorHAnsi"/>
              </w:rPr>
              <w:t>Skin impedance</w:t>
            </w:r>
          </w:p>
        </w:tc>
        <w:tc>
          <w:tcPr>
            <w:tcW w:w="992" w:type="dxa"/>
          </w:tcPr>
          <w:p w14:paraId="4854DB61" w14:textId="77777777" w:rsidR="002C6B67" w:rsidRPr="00A8555F" w:rsidRDefault="002C6B67" w:rsidP="00CF3643">
            <w:pPr>
              <w:rPr>
                <w:rFonts w:cstheme="minorHAnsi"/>
              </w:rPr>
            </w:pPr>
            <w:r>
              <w:rPr>
                <w:rFonts w:cstheme="minorHAnsi"/>
              </w:rPr>
              <w:t>Poor</w:t>
            </w:r>
          </w:p>
        </w:tc>
        <w:tc>
          <w:tcPr>
            <w:tcW w:w="1134" w:type="dxa"/>
          </w:tcPr>
          <w:p w14:paraId="7A70FDC3" w14:textId="77777777" w:rsidR="002C6B67" w:rsidRPr="00A8555F" w:rsidRDefault="002C6B67" w:rsidP="00CF3643">
            <w:pPr>
              <w:rPr>
                <w:rFonts w:cstheme="minorHAnsi"/>
              </w:rPr>
            </w:pPr>
            <w:r>
              <w:rPr>
                <w:rFonts w:cstheme="minorHAnsi"/>
              </w:rPr>
              <w:t>5</w:t>
            </w:r>
          </w:p>
        </w:tc>
      </w:tr>
      <w:tr w:rsidR="002C6B67" w14:paraId="678D33D2" w14:textId="77777777" w:rsidTr="00CF3643">
        <w:tc>
          <w:tcPr>
            <w:tcW w:w="2972" w:type="dxa"/>
          </w:tcPr>
          <w:p w14:paraId="0F0FE9AC" w14:textId="31C3A71C" w:rsidR="002C6B67" w:rsidRPr="009301DD" w:rsidRDefault="002C6B67" w:rsidP="00CF3643">
            <w:pPr>
              <w:rPr>
                <w:rFonts w:cstheme="minorHAnsi"/>
              </w:rPr>
            </w:pPr>
            <w:r>
              <w:rPr>
                <w:rFonts w:cstheme="minorHAnsi"/>
              </w:rPr>
              <w:t>Birnbaum et al, 1999</w:t>
            </w:r>
            <w:r>
              <w:rPr>
                <w:rFonts w:cstheme="minorHAnsi"/>
              </w:rPr>
              <w:fldChar w:fldCharType="begin"/>
            </w:r>
            <w:r w:rsidR="00731981">
              <w:rPr>
                <w:rFonts w:cstheme="minorHAnsi"/>
              </w:rPr>
              <w:instrText xml:space="preserve"> ADDIN ZOTERO_ITEM CSL_CITATION {"citationID":"c6KmALmA","properties":{"formattedCitation":"[7]","plainCitation":"[7]","noteIndex":0},"citationItems":[{"id":168,"uris":["http://zotero.org/users/2960325/items/SZTKUZ2S"],"uri":["http://zotero.org/users/2960325/items/SZTKUZ2S"],"itemData":{"id":168,"type":"article-journal","abstract":"PURPOSE: To assess the ability of an extravasation detection accessory (EDA) to detect clinically important (&gt; or = 10 mL) extravascular injection of iodinated contrast material delivered with an automated power injector.\nMATERIALS AND METHODS: Five hundred patients referred for contrast material-enhanced body computed tomography (CT) participated in a prospective, multi-institutional, observational study in which the EDA was used to identify and interrupt any injection associated with clinically important extravasation. The presence or absence of extravasation was definitively established with helical CT at the injection site (injection rate, from 1.0 to 5.0 mL/sec; mean, 2.9 mL/sec; median, 3.0 mL/sec).\nRESULTS: There were four true-positive (extravasation volumes, 13-18 mL), 484 true-negative, 12 false-positive, and no false-negative cases. The prevalence of overall and clinically important (&gt; or = 10 mL) extravasation was 3.6% (18 of 500 cases) and 0.8% (four of 500 cases), respectively. The EDA had a sensitivity of 100% (four of four cases; 95% CI: 51%, 100%) and a specificity of 98% (484 of 496 cases; 95% CI: 96%, 99%) in the detection of clinically important extravasation.\nCONCLUSION: The EDA is easy to use, safe, and accurate in the monitoring of intravenous injections for extravasation, which could prove especially useful in high-flow-rate CT applications.","container-title":"Radiology","DOI":"10.1148/radiology.212.2.r99au14431","ISSN":"0033-8419","issue":"2","journalAbbreviation":"Radiology","language":"eng","note":"PMID: 10429700","page":"431-438","source":"PubMed","title":"Extravasation detection accessory: clinical evaluation in 500 patients","title-short":"Extravasation detection accessory","volume":"212","author":[{"family":"Birnbaum","given":"B. A."},{"family":"Nelson","given":"R. C."},{"family":"Chezmar","given":"J. L."},{"family":"Glick","given":"S. N."}],"issued":{"date-parts":[["1999",8]]}}}],"schema":"https://github.com/citation-style-language/schema/raw/master/csl-citation.json"} </w:instrText>
            </w:r>
            <w:r>
              <w:rPr>
                <w:rFonts w:cstheme="minorHAnsi"/>
              </w:rPr>
              <w:fldChar w:fldCharType="separate"/>
            </w:r>
            <w:r w:rsidR="00731981">
              <w:rPr>
                <w:rFonts w:cstheme="minorHAnsi"/>
                <w:noProof/>
              </w:rPr>
              <w:t>[7]</w:t>
            </w:r>
            <w:r>
              <w:rPr>
                <w:rFonts w:cstheme="minorHAnsi"/>
              </w:rPr>
              <w:fldChar w:fldCharType="end"/>
            </w:r>
          </w:p>
        </w:tc>
        <w:tc>
          <w:tcPr>
            <w:tcW w:w="1701" w:type="dxa"/>
          </w:tcPr>
          <w:p w14:paraId="7084355C" w14:textId="77777777" w:rsidR="002C6B67" w:rsidRPr="00A8555F" w:rsidRDefault="002C6B67" w:rsidP="00CF3643">
            <w:pPr>
              <w:rPr>
                <w:rFonts w:cstheme="minorHAnsi"/>
              </w:rPr>
            </w:pPr>
            <w:r>
              <w:rPr>
                <w:rFonts w:cstheme="minorHAnsi"/>
              </w:rPr>
              <w:t>Prospective, non-blinded</w:t>
            </w:r>
          </w:p>
        </w:tc>
        <w:tc>
          <w:tcPr>
            <w:tcW w:w="1701" w:type="dxa"/>
          </w:tcPr>
          <w:p w14:paraId="1B000E60" w14:textId="77777777" w:rsidR="002C6B67" w:rsidRPr="00A8555F" w:rsidRDefault="002C6B67" w:rsidP="00CF3643">
            <w:pPr>
              <w:rPr>
                <w:rFonts w:cstheme="minorHAnsi"/>
              </w:rPr>
            </w:pPr>
            <w:r>
              <w:rPr>
                <w:rFonts w:cstheme="minorHAnsi"/>
              </w:rPr>
              <w:t>Adults</w:t>
            </w:r>
          </w:p>
        </w:tc>
        <w:tc>
          <w:tcPr>
            <w:tcW w:w="1985" w:type="dxa"/>
          </w:tcPr>
          <w:p w14:paraId="6C342767" w14:textId="77777777" w:rsidR="002C6B67" w:rsidRPr="00A8555F" w:rsidRDefault="002C6B67" w:rsidP="00CF3643">
            <w:pPr>
              <w:rPr>
                <w:rFonts w:cstheme="minorHAnsi"/>
              </w:rPr>
            </w:pPr>
            <w:r>
              <w:rPr>
                <w:rFonts w:cstheme="minorHAnsi"/>
              </w:rPr>
              <w:t>4 / 500 (0.8)</w:t>
            </w:r>
          </w:p>
        </w:tc>
        <w:tc>
          <w:tcPr>
            <w:tcW w:w="3969" w:type="dxa"/>
          </w:tcPr>
          <w:p w14:paraId="27D892E8" w14:textId="77777777" w:rsidR="002C6B67" w:rsidRPr="00A8555F" w:rsidRDefault="002C6B67" w:rsidP="00CF3643">
            <w:pPr>
              <w:rPr>
                <w:rFonts w:cstheme="minorHAnsi"/>
              </w:rPr>
            </w:pPr>
            <w:r>
              <w:rPr>
                <w:rFonts w:cstheme="minorHAnsi"/>
              </w:rPr>
              <w:t>Types of CM used, Use of EDA in preventing CMEX</w:t>
            </w:r>
          </w:p>
        </w:tc>
        <w:tc>
          <w:tcPr>
            <w:tcW w:w="992" w:type="dxa"/>
          </w:tcPr>
          <w:p w14:paraId="3A8884C1" w14:textId="77777777" w:rsidR="002C6B67" w:rsidRPr="00A8555F" w:rsidRDefault="002C6B67" w:rsidP="00CF3643">
            <w:pPr>
              <w:rPr>
                <w:rFonts w:cstheme="minorHAnsi"/>
              </w:rPr>
            </w:pPr>
            <w:r>
              <w:rPr>
                <w:rFonts w:cstheme="minorHAnsi"/>
              </w:rPr>
              <w:t>Fair</w:t>
            </w:r>
          </w:p>
        </w:tc>
        <w:tc>
          <w:tcPr>
            <w:tcW w:w="1134" w:type="dxa"/>
          </w:tcPr>
          <w:p w14:paraId="2259BBFA" w14:textId="77777777" w:rsidR="002C6B67" w:rsidRPr="00A8555F" w:rsidRDefault="002C6B67" w:rsidP="00CF3643">
            <w:pPr>
              <w:rPr>
                <w:rFonts w:cstheme="minorHAnsi"/>
              </w:rPr>
            </w:pPr>
            <w:r>
              <w:rPr>
                <w:rFonts w:cstheme="minorHAnsi"/>
              </w:rPr>
              <w:t>4</w:t>
            </w:r>
          </w:p>
        </w:tc>
      </w:tr>
      <w:tr w:rsidR="002C6B67" w14:paraId="4B047186" w14:textId="77777777" w:rsidTr="00CF3643">
        <w:tc>
          <w:tcPr>
            <w:tcW w:w="2972" w:type="dxa"/>
          </w:tcPr>
          <w:p w14:paraId="2F09DC80" w14:textId="2B7B932B" w:rsidR="002C6B67" w:rsidRPr="009301DD" w:rsidRDefault="002C6B67" w:rsidP="00CF3643">
            <w:pPr>
              <w:rPr>
                <w:rFonts w:cstheme="minorHAnsi"/>
              </w:rPr>
            </w:pPr>
            <w:r>
              <w:rPr>
                <w:rFonts w:cstheme="minorHAnsi"/>
              </w:rPr>
              <w:t>Powell et al, 2000</w:t>
            </w:r>
            <w:r>
              <w:rPr>
                <w:rFonts w:cstheme="minorHAnsi"/>
              </w:rPr>
              <w:fldChar w:fldCharType="begin"/>
            </w:r>
            <w:r w:rsidR="00731981">
              <w:rPr>
                <w:rFonts w:cstheme="minorHAnsi"/>
              </w:rPr>
              <w:instrText xml:space="preserve"> ADDIN ZOTERO_ITEM CSL_CITATION {"citationID":"9AQwqjXO","properties":{"formattedCitation":"[8]","plainCitation":"[8]","noteIndex":0},"citationItems":[{"id":170,"uris":["http://zotero.org/users/2960325/items/EWX3YJG3"],"uri":["http://zotero.org/users/2960325/items/EWX3YJG3"],"itemData":{"id":170,"type":"article-journal","abstract":"Choose\n                    Top of pageABSTRACT &lt;&lt;IntroductionMaterials and MethodsResultsDiscussionReferencesCITING ARTICLESOBJECTIVE. The extravasation detection accessory (EDA) is designed  for use during contrast-enhanced CT studies performed with a power injector.  The EDA detects the changes in soft-tissue impedance that occur with enhanced  extravasation and halts the further infusion of contrast material via a  feedback circuit to the injector. We tested the sensitivity of this device in  a model of contrast extravasation.MATERIALS AND METHODS. Study subjects had an extravasation of 5%  dextrose in water (nonionic contrast equivalent) in one arm and 0.9% sodium  chloride solution (ionic contrast equivalent) in the other. An EDA was placed  over the site of infusion and connected to a power injector. Injections were  performed at 0.25 ml/sec (n = 40), 2.5 ml/sec (n = 62), or 5  ml/sec (n = 20).RESULTS. At infusion rates of 2.5 and 5 ml/sec, the device halted  the injector in every subject after an average volume of 12.5 ± 1.6 ml  was delivered. At 0.25 ml/sec, the device failed to halt the injector in 11 of  20 events. After reprogramming the algorithm, 10 more subjects were tested at  the lowest injection rate. The device halted 18 of 20 extravasation events  with an average volume of 3.7 ± 0.5 ml.CONCLUSION. In our model of contrast extravasation, the EDA halted a  power injector with reliability and reproducibility before a large volume of  contrast material was delivered. The sensitivity of the device approached, but  did not reach, 100%. This device may serve to diminish the morbidity of  extravasation events.","container-title":"American Journal of Roentgenology","DOI":"10.2214/ajr.174.2.1740315","ISSN":"0361-803X","issue":"2","journalAbbreviation":"American Journal of Roentgenology","page":"315-318","source":"ajronline.org (Atypon)","title":"A New Device to Limit Extravasation During Contrast-Enhanced CT","volume":"174","author":[{"family":"Powell","given":"Craig C."},{"family":"Li","given":"Jian","dropping-particle":"ming"},{"family":"Rodino","given":"Louis"},{"family":"Anderson","given":"Frederick A."}],"issued":{"date-parts":[["2000",2,1]]}}}],"schema":"https://github.com/citation-style-language/schema/raw/master/csl-citation.json"} </w:instrText>
            </w:r>
            <w:r>
              <w:rPr>
                <w:rFonts w:cstheme="minorHAnsi"/>
              </w:rPr>
              <w:fldChar w:fldCharType="separate"/>
            </w:r>
            <w:r w:rsidR="00731981">
              <w:rPr>
                <w:rFonts w:cstheme="minorHAnsi"/>
                <w:noProof/>
              </w:rPr>
              <w:t>[8]</w:t>
            </w:r>
            <w:r>
              <w:rPr>
                <w:rFonts w:cstheme="minorHAnsi"/>
              </w:rPr>
              <w:fldChar w:fldCharType="end"/>
            </w:r>
          </w:p>
        </w:tc>
        <w:tc>
          <w:tcPr>
            <w:tcW w:w="1701" w:type="dxa"/>
          </w:tcPr>
          <w:p w14:paraId="285CF2D8" w14:textId="77777777" w:rsidR="002C6B67" w:rsidRPr="00A8555F" w:rsidRDefault="002C6B67" w:rsidP="00CF3643">
            <w:pPr>
              <w:rPr>
                <w:rFonts w:cstheme="minorHAnsi"/>
              </w:rPr>
            </w:pPr>
            <w:r>
              <w:rPr>
                <w:rFonts w:cstheme="minorHAnsi"/>
              </w:rPr>
              <w:t>Prospective</w:t>
            </w:r>
          </w:p>
        </w:tc>
        <w:tc>
          <w:tcPr>
            <w:tcW w:w="1701" w:type="dxa"/>
          </w:tcPr>
          <w:p w14:paraId="10DD01DE" w14:textId="77777777" w:rsidR="002C6B67" w:rsidRPr="00A8555F" w:rsidRDefault="002C6B67" w:rsidP="00CF3643">
            <w:pPr>
              <w:rPr>
                <w:rFonts w:cstheme="minorHAnsi"/>
              </w:rPr>
            </w:pPr>
            <w:r>
              <w:rPr>
                <w:rFonts w:cstheme="minorHAnsi"/>
              </w:rPr>
              <w:t>Adults</w:t>
            </w:r>
          </w:p>
        </w:tc>
        <w:tc>
          <w:tcPr>
            <w:tcW w:w="1985" w:type="dxa"/>
          </w:tcPr>
          <w:p w14:paraId="099D5A5F" w14:textId="77777777" w:rsidR="002C6B67" w:rsidRPr="00A8555F" w:rsidRDefault="002C6B67" w:rsidP="00CF3643">
            <w:pPr>
              <w:rPr>
                <w:rFonts w:cstheme="minorHAnsi"/>
              </w:rPr>
            </w:pPr>
            <w:r>
              <w:rPr>
                <w:rFonts w:cstheme="minorHAnsi"/>
              </w:rPr>
              <w:t>Not applicable</w:t>
            </w:r>
          </w:p>
        </w:tc>
        <w:tc>
          <w:tcPr>
            <w:tcW w:w="3969" w:type="dxa"/>
          </w:tcPr>
          <w:p w14:paraId="74A0B53E" w14:textId="77777777" w:rsidR="002C6B67" w:rsidRPr="00A8555F" w:rsidRDefault="002C6B67" w:rsidP="00CF3643">
            <w:pPr>
              <w:rPr>
                <w:rFonts w:cstheme="minorHAnsi"/>
              </w:rPr>
            </w:pPr>
            <w:r>
              <w:rPr>
                <w:rFonts w:cstheme="minorHAnsi"/>
              </w:rPr>
              <w:t>Sensitivity of using of EDA to detect CMEX</w:t>
            </w:r>
          </w:p>
        </w:tc>
        <w:tc>
          <w:tcPr>
            <w:tcW w:w="992" w:type="dxa"/>
          </w:tcPr>
          <w:p w14:paraId="5455F758" w14:textId="77777777" w:rsidR="002C6B67" w:rsidRPr="00A8555F" w:rsidRDefault="002C6B67" w:rsidP="00CF3643">
            <w:pPr>
              <w:rPr>
                <w:rFonts w:cstheme="minorHAnsi"/>
              </w:rPr>
            </w:pPr>
            <w:r>
              <w:rPr>
                <w:rFonts w:cstheme="minorHAnsi"/>
              </w:rPr>
              <w:t>Poor</w:t>
            </w:r>
          </w:p>
        </w:tc>
        <w:tc>
          <w:tcPr>
            <w:tcW w:w="1134" w:type="dxa"/>
          </w:tcPr>
          <w:p w14:paraId="00FED37F" w14:textId="77777777" w:rsidR="002C6B67" w:rsidRPr="00A8555F" w:rsidRDefault="002C6B67" w:rsidP="00CF3643">
            <w:pPr>
              <w:rPr>
                <w:rFonts w:cstheme="minorHAnsi"/>
              </w:rPr>
            </w:pPr>
            <w:r>
              <w:rPr>
                <w:rFonts w:cstheme="minorHAnsi"/>
              </w:rPr>
              <w:t>4</w:t>
            </w:r>
          </w:p>
        </w:tc>
      </w:tr>
      <w:tr w:rsidR="002C6B67" w14:paraId="1D800AC5" w14:textId="77777777" w:rsidTr="00CF3643">
        <w:tc>
          <w:tcPr>
            <w:tcW w:w="2972" w:type="dxa"/>
          </w:tcPr>
          <w:p w14:paraId="0483F8FA" w14:textId="47D1E86A" w:rsidR="002C6B67" w:rsidRDefault="002C6B67" w:rsidP="00CF3643">
            <w:pPr>
              <w:rPr>
                <w:rFonts w:cstheme="minorHAnsi"/>
              </w:rPr>
            </w:pPr>
            <w:r w:rsidRPr="009301DD">
              <w:rPr>
                <w:rFonts w:cstheme="minorHAnsi"/>
              </w:rPr>
              <w:t>Vandeweyer et al</w:t>
            </w:r>
            <w:r>
              <w:rPr>
                <w:rFonts w:cstheme="minorHAnsi"/>
              </w:rPr>
              <w:t xml:space="preserve">, </w:t>
            </w:r>
            <w:r w:rsidRPr="009301DD">
              <w:rPr>
                <w:rFonts w:cstheme="minorHAnsi"/>
              </w:rPr>
              <w:t>2000</w:t>
            </w:r>
            <w:r>
              <w:rPr>
                <w:rFonts w:cstheme="minorHAnsi"/>
              </w:rPr>
              <w:fldChar w:fldCharType="begin"/>
            </w:r>
            <w:r w:rsidR="00731981">
              <w:rPr>
                <w:rFonts w:cstheme="minorHAnsi"/>
              </w:rPr>
              <w:instrText xml:space="preserve"> ADDIN ZOTERO_ITEM CSL_CITATION {"citationID":"D2h6TvrR","properties":{"formattedCitation":"[9]","plainCitation":"[9]","noteIndex":0},"citationItems":[{"id":25,"uris":["http://zotero.org/users/2960325/items/J74FRLX6"],"uri":["http://zotero.org/users/2960325/items/J74FRLX6"],"itemData":{"id":25,"type":"article-journal","abstract":"To evaluate the efficiency of emergency suction in extravasation injuries of contrast medium, records of 11 patients treated for extravasation injuries with a combination of suction and saline washout were reviewed. All of the patients were treated in the first 2 hours after injury. The mean extravasated volume was 55 cc. There were no surgery-related complications, and all the patients experienced a relief of their preoperative pain. Except for two patients with blisters at admission, none of them suffered skin or soft-tissue necrosis. Mean time to complete healing was 9 days. Emergency suction therapy is safe and effective in preventing the skin and soft-tissue necrosis associated with extravasation injuries of hyperosmolar contrast medium.","container-title":"Plastic and Reconstructive Surgery","DOI":"10.1097/00006534-200001000-00019","ISSN":"0032-1052","issue":"1","journalAbbreviation":"Plast. Reconstr. Surg.","language":"eng","note":"PMID: 10626979","page":"109-110","source":"PubMed","title":"Extravasation injuries and emergency suction as treatment","volume":"105","author":[{"family":"Vandeweyer","given":"E."},{"family":"Heymans","given":"O."},{"family":"Deraemaecker","given":"R."}],"issued":{"date-parts":[["2000",1]]}}}],"schema":"https://github.com/citation-style-language/schema/raw/master/csl-citation.json"} </w:instrText>
            </w:r>
            <w:r>
              <w:rPr>
                <w:rFonts w:cstheme="minorHAnsi"/>
              </w:rPr>
              <w:fldChar w:fldCharType="separate"/>
            </w:r>
            <w:r w:rsidR="00731981">
              <w:rPr>
                <w:rFonts w:cstheme="minorHAnsi"/>
                <w:noProof/>
              </w:rPr>
              <w:t>[9]</w:t>
            </w:r>
            <w:r>
              <w:rPr>
                <w:rFonts w:cstheme="minorHAnsi"/>
              </w:rPr>
              <w:fldChar w:fldCharType="end"/>
            </w:r>
          </w:p>
        </w:tc>
        <w:tc>
          <w:tcPr>
            <w:tcW w:w="1701" w:type="dxa"/>
          </w:tcPr>
          <w:p w14:paraId="55F33ED9" w14:textId="77777777" w:rsidR="002C6B67" w:rsidRDefault="002C6B67" w:rsidP="00CF3643">
            <w:pPr>
              <w:rPr>
                <w:rFonts w:cstheme="minorHAnsi"/>
              </w:rPr>
            </w:pPr>
            <w:r>
              <w:rPr>
                <w:rFonts w:cstheme="minorHAnsi"/>
              </w:rPr>
              <w:t>Case-series</w:t>
            </w:r>
          </w:p>
        </w:tc>
        <w:tc>
          <w:tcPr>
            <w:tcW w:w="1701" w:type="dxa"/>
          </w:tcPr>
          <w:p w14:paraId="6FBEF53A" w14:textId="77777777" w:rsidR="002C6B67" w:rsidRDefault="002C6B67" w:rsidP="00CF3643">
            <w:pPr>
              <w:rPr>
                <w:rFonts w:cstheme="minorHAnsi"/>
              </w:rPr>
            </w:pPr>
            <w:r>
              <w:rPr>
                <w:rFonts w:cstheme="minorHAnsi"/>
              </w:rPr>
              <w:t>Adults</w:t>
            </w:r>
          </w:p>
        </w:tc>
        <w:tc>
          <w:tcPr>
            <w:tcW w:w="1985" w:type="dxa"/>
          </w:tcPr>
          <w:p w14:paraId="0BD2AF94" w14:textId="77777777" w:rsidR="002C6B67" w:rsidRDefault="002C6B67" w:rsidP="00CF3643">
            <w:pPr>
              <w:rPr>
                <w:rFonts w:cstheme="minorHAnsi"/>
              </w:rPr>
            </w:pPr>
            <w:r>
              <w:rPr>
                <w:rFonts w:cstheme="minorHAnsi"/>
              </w:rPr>
              <w:t>Not applicable</w:t>
            </w:r>
          </w:p>
        </w:tc>
        <w:tc>
          <w:tcPr>
            <w:tcW w:w="3969" w:type="dxa"/>
          </w:tcPr>
          <w:p w14:paraId="2CA67DD5" w14:textId="77777777" w:rsidR="002C6B67" w:rsidRDefault="002C6B67" w:rsidP="00CF3643">
            <w:pPr>
              <w:rPr>
                <w:rFonts w:cstheme="minorHAnsi"/>
              </w:rPr>
            </w:pPr>
            <w:r>
              <w:rPr>
                <w:rFonts w:cstheme="minorHAnsi"/>
              </w:rPr>
              <w:t>Outcomes of emergency suction in CMEX</w:t>
            </w:r>
          </w:p>
        </w:tc>
        <w:tc>
          <w:tcPr>
            <w:tcW w:w="992" w:type="dxa"/>
          </w:tcPr>
          <w:p w14:paraId="0A362FA5" w14:textId="77777777" w:rsidR="002C6B67" w:rsidRDefault="002C6B67" w:rsidP="00CF3643">
            <w:pPr>
              <w:rPr>
                <w:rFonts w:cstheme="minorHAnsi"/>
              </w:rPr>
            </w:pPr>
            <w:r>
              <w:rPr>
                <w:rFonts w:cstheme="minorHAnsi"/>
              </w:rPr>
              <w:t>Fair</w:t>
            </w:r>
          </w:p>
        </w:tc>
        <w:tc>
          <w:tcPr>
            <w:tcW w:w="1134" w:type="dxa"/>
          </w:tcPr>
          <w:p w14:paraId="5BCE898F" w14:textId="77777777" w:rsidR="002C6B67" w:rsidRDefault="002C6B67" w:rsidP="00CF3643">
            <w:pPr>
              <w:rPr>
                <w:rFonts w:cstheme="minorHAnsi"/>
              </w:rPr>
            </w:pPr>
            <w:r>
              <w:rPr>
                <w:rFonts w:cstheme="minorHAnsi"/>
              </w:rPr>
              <w:t>4</w:t>
            </w:r>
          </w:p>
        </w:tc>
      </w:tr>
      <w:tr w:rsidR="002C6B67" w14:paraId="4B116CD0" w14:textId="77777777" w:rsidTr="00CF3643">
        <w:tc>
          <w:tcPr>
            <w:tcW w:w="2972" w:type="dxa"/>
          </w:tcPr>
          <w:p w14:paraId="5429D68C" w14:textId="1980AB49" w:rsidR="002C6B67" w:rsidRPr="009301DD" w:rsidRDefault="002C6B67" w:rsidP="00CF3643">
            <w:pPr>
              <w:rPr>
                <w:rFonts w:cstheme="minorHAnsi"/>
              </w:rPr>
            </w:pPr>
            <w:r>
              <w:rPr>
                <w:rFonts w:cstheme="minorHAnsi"/>
              </w:rPr>
              <w:t>Bellin et al, 2002</w:t>
            </w:r>
            <w:r>
              <w:rPr>
                <w:rFonts w:cstheme="minorHAnsi"/>
              </w:rPr>
              <w:fldChar w:fldCharType="begin"/>
            </w:r>
            <w:r w:rsidR="00731981">
              <w:rPr>
                <w:rFonts w:cstheme="minorHAnsi"/>
              </w:rPr>
              <w:instrText xml:space="preserve"> ADDIN ZOTERO_ITEM CSL_CITATION {"citationID":"BiPtcXD7","properties":{"formattedCitation":"[10]","plainCitation":"[10]","noteIndex":0},"citationItems":[{"id":41,"uris":["http://zotero.org/users/2960325/items/PGYR5H78"],"uri":["http://zotero.org/users/2960325/items/PGYR5H78"],"itemData":{"id":41,"type":"article-journal","abstract":"Extravasation of contrast material is a well-recognized complication of contrast-enhanced imaging studies. The management of this complication is contentious; therefore, the Contrast Media Safety Committee of The European Society of Urogenital Radiology decided to review the literature and issue guidelines. A comprehensive literature search was carried out. The resulting report was discussed at the 8th European Symposium on Urogenital Radiology in Genoa, Italy. Automated power injection may result in extravasation of large volumes and may or can lead to severe tissue damage. Infants, young children and unconscious and debilitated patients are particularly at risk of extravasation during contrast media injection. Fortunately, most extravasations result in minimal swelling or erythema, with no long-term sequelae; however, severe skin necrosis and ulceration may occur. Large volumes of high osmolar contrast media are known to induce significant tissue damage. Compartment syndrome may be seen associated with extravasation of large volumes. Conservative management is often adequate, but in serious cases the advice of a plastic surgeon is recommended. Based on the review simple guidelines for prophylaxis and management of contrast medium extravasation injuries are proposed.","container-title":"European Radiology","DOI":"10.1007/s00330-002-1630-9","ISSN":"0938-7994","issue":"11","journalAbbreviation":"Eur Radiol","language":"eng","note":"PMID: 12386778","page":"2807-2812","source":"PubMed","title":"Contrast medium extravasation injury: guidelines for prevention and management","title-short":"Contrast medium extravasation injury","volume":"12","author":[{"family":"Bellin","given":"Marie-France"},{"family":"Jakobsen","given":"Jarl A."},{"family":"Tomassin","given":"Isabelle"},{"family":"Thomsen","given":"Henrik S."},{"family":"Morcos","given":"Sameh K."},{"family":"Thomsen","given":"H. S."},{"family":"Morcos","given":"S. K."},{"family":"Almén","given":"T."},{"family":"Aspelin","given":"P."},{"family":"Bellin","given":"M. F."},{"family":"Clauss","given":"W."},{"family":"Flaten","given":"H."},{"family":"Grenier","given":"N."},{"family":"Ideé","given":"J.-M."},{"family":"Jakobsen","given":"J. A."},{"family":"Krestin","given":"G. P."},{"family":"Stacul","given":"F."},{"family":"Webb","given":"J. a. W."},{"literal":"Contrast Media Safety Committee Of The European Society Of Urogenital Radiology"}],"issued":{"date-parts":[["2002",11]]}}}],"schema":"https://github.com/citation-style-language/schema/raw/master/csl-citation.json"} </w:instrText>
            </w:r>
            <w:r>
              <w:rPr>
                <w:rFonts w:cstheme="minorHAnsi"/>
              </w:rPr>
              <w:fldChar w:fldCharType="separate"/>
            </w:r>
            <w:r w:rsidR="00731981">
              <w:rPr>
                <w:rFonts w:cstheme="minorHAnsi"/>
                <w:noProof/>
              </w:rPr>
              <w:t>[10]</w:t>
            </w:r>
            <w:r>
              <w:rPr>
                <w:rFonts w:cstheme="minorHAnsi"/>
              </w:rPr>
              <w:fldChar w:fldCharType="end"/>
            </w:r>
          </w:p>
        </w:tc>
        <w:tc>
          <w:tcPr>
            <w:tcW w:w="1701" w:type="dxa"/>
          </w:tcPr>
          <w:p w14:paraId="64188E6D" w14:textId="77777777" w:rsidR="002C6B67" w:rsidRDefault="002C6B67" w:rsidP="00CF3643">
            <w:pPr>
              <w:rPr>
                <w:rFonts w:cstheme="minorHAnsi"/>
              </w:rPr>
            </w:pPr>
            <w:r>
              <w:rPr>
                <w:rFonts w:cstheme="minorHAnsi"/>
              </w:rPr>
              <w:t>Review article</w:t>
            </w:r>
          </w:p>
        </w:tc>
        <w:tc>
          <w:tcPr>
            <w:tcW w:w="1701" w:type="dxa"/>
          </w:tcPr>
          <w:p w14:paraId="1D1CD613" w14:textId="77777777" w:rsidR="002C6B67" w:rsidRDefault="002C6B67" w:rsidP="00CF3643">
            <w:pPr>
              <w:rPr>
                <w:rFonts w:cstheme="minorHAnsi"/>
              </w:rPr>
            </w:pPr>
            <w:r>
              <w:rPr>
                <w:rFonts w:cstheme="minorHAnsi"/>
              </w:rPr>
              <w:t>Adults</w:t>
            </w:r>
          </w:p>
        </w:tc>
        <w:tc>
          <w:tcPr>
            <w:tcW w:w="1985" w:type="dxa"/>
          </w:tcPr>
          <w:p w14:paraId="764D4EA5" w14:textId="77777777" w:rsidR="002C6B67" w:rsidRDefault="002C6B67" w:rsidP="00CF3643">
            <w:pPr>
              <w:rPr>
                <w:rFonts w:cstheme="minorHAnsi"/>
              </w:rPr>
            </w:pPr>
            <w:r>
              <w:rPr>
                <w:rFonts w:cstheme="minorHAnsi"/>
              </w:rPr>
              <w:t>Not applicable</w:t>
            </w:r>
          </w:p>
        </w:tc>
        <w:tc>
          <w:tcPr>
            <w:tcW w:w="3969" w:type="dxa"/>
          </w:tcPr>
          <w:p w14:paraId="0ECF158B" w14:textId="77777777" w:rsidR="002C6B67" w:rsidRDefault="002C6B67" w:rsidP="00CF3643">
            <w:pPr>
              <w:rPr>
                <w:rFonts w:cstheme="minorHAnsi"/>
              </w:rPr>
            </w:pPr>
            <w:r>
              <w:rPr>
                <w:rFonts w:cstheme="minorHAnsi"/>
              </w:rPr>
              <w:t>Guidelines on treatment and management</w:t>
            </w:r>
          </w:p>
        </w:tc>
        <w:tc>
          <w:tcPr>
            <w:tcW w:w="992" w:type="dxa"/>
          </w:tcPr>
          <w:p w14:paraId="397A23E1" w14:textId="77777777" w:rsidR="002C6B67" w:rsidRDefault="002C6B67" w:rsidP="00CF3643">
            <w:pPr>
              <w:rPr>
                <w:rFonts w:cstheme="minorHAnsi"/>
              </w:rPr>
            </w:pPr>
            <w:r>
              <w:rPr>
                <w:rFonts w:cstheme="minorHAnsi"/>
              </w:rPr>
              <w:t>Good</w:t>
            </w:r>
          </w:p>
        </w:tc>
        <w:tc>
          <w:tcPr>
            <w:tcW w:w="1134" w:type="dxa"/>
          </w:tcPr>
          <w:p w14:paraId="1DBF32ED" w14:textId="77777777" w:rsidR="002C6B67" w:rsidRDefault="002C6B67" w:rsidP="00CF3643">
            <w:pPr>
              <w:rPr>
                <w:rFonts w:cstheme="minorHAnsi"/>
              </w:rPr>
            </w:pPr>
            <w:r>
              <w:rPr>
                <w:rFonts w:cstheme="minorHAnsi"/>
              </w:rPr>
              <w:t>2a</w:t>
            </w:r>
          </w:p>
        </w:tc>
      </w:tr>
      <w:tr w:rsidR="002C6B67" w14:paraId="163D1275" w14:textId="77777777" w:rsidTr="00CF3643">
        <w:tc>
          <w:tcPr>
            <w:tcW w:w="2972" w:type="dxa"/>
          </w:tcPr>
          <w:p w14:paraId="768842AC" w14:textId="6E5ACD81" w:rsidR="002C6B67" w:rsidRDefault="002C6B67" w:rsidP="00CF3643">
            <w:pPr>
              <w:rPr>
                <w:rFonts w:cstheme="minorHAnsi"/>
              </w:rPr>
            </w:pPr>
            <w:r>
              <w:rPr>
                <w:rFonts w:cstheme="minorHAnsi"/>
              </w:rPr>
              <w:lastRenderedPageBreak/>
              <w:t>Khan and Holmes, 2002</w:t>
            </w:r>
            <w:r>
              <w:rPr>
                <w:rFonts w:cstheme="minorHAnsi"/>
              </w:rPr>
              <w:fldChar w:fldCharType="begin"/>
            </w:r>
            <w:r w:rsidR="00731981">
              <w:rPr>
                <w:rFonts w:cstheme="minorHAnsi"/>
              </w:rPr>
              <w:instrText xml:space="preserve"> ADDIN ZOTERO_ITEM CSL_CITATION {"citationID":"p2R5dkx6","properties":{"formattedCitation":"[11]","plainCitation":"[11]","noteIndex":0},"citationItems":[{"id":177,"uris":["http://zotero.org/users/2960325/items/DK23A3K4"],"uri":["http://zotero.org/users/2960325/items/DK23A3K4"],"itemData":{"id":177,"type":"article-journal","abstract":"Extravasation is defined as the leakage of solutions from the vein. This may cause damage to surrounding tissue during intravenous fluid administration. Extravasation has an incidence of 5% of all cytotoxic drug administrations. In the authors' hospital, a protocol has been set up using the dilution flush-out technique. Extravasation packs containing cannulae, normal saline, hyaluronidase, and instructions on how to manage extravasation injuries, accompanied by an audit sheet to assist follow-up, have been introduced to allow the treatment of extravasation at the ward level in an attempt to reduce morbidity from the injury. Between December 1997 and December 1999, 18 adult patients were identified with extravasation injuries after the administration of cytotoxic medication. Seventeen were treated immediately according to the protocol. One, however, was not. Patients were followed-up for 6 months after injury. The 17 patients treated immediately needed no further surgical intervention, whereas the 1 patient not treated needed a split skin graft to cover the defect. The authors recommend the placement of \"extravasation packs\" on all wards where cytotoxic drugs are prescribed and that all staff members are familiar with this regime. These steps help to reduce the morbidity of a potentially damaging injury.","container-title":"Annals of Plastic Surgery","DOI":"10.1097/00000637-200206000-00011","ISSN":"0148-7043","issue":"6","journalAbbreviation":"Ann Plast Surg","language":"eng","note":"PMID: 12055433","page":"628-632; discussion 632","source":"PubMed","title":"Reducing the morbidity from extravasation injuries","volume":"48","author":[{"family":"Khan","given":"Mansoor S."},{"family":"Holmes","given":"J. D."}],"issued":{"date-parts":[["2002",6]]}}}],"schema":"https://github.com/citation-style-language/schema/raw/master/csl-citation.json"} </w:instrText>
            </w:r>
            <w:r>
              <w:rPr>
                <w:rFonts w:cstheme="minorHAnsi"/>
              </w:rPr>
              <w:fldChar w:fldCharType="separate"/>
            </w:r>
            <w:r w:rsidR="00731981">
              <w:rPr>
                <w:rFonts w:cstheme="minorHAnsi"/>
                <w:noProof/>
              </w:rPr>
              <w:t>[11]</w:t>
            </w:r>
            <w:r>
              <w:rPr>
                <w:rFonts w:cstheme="minorHAnsi"/>
              </w:rPr>
              <w:fldChar w:fldCharType="end"/>
            </w:r>
          </w:p>
        </w:tc>
        <w:tc>
          <w:tcPr>
            <w:tcW w:w="1701" w:type="dxa"/>
          </w:tcPr>
          <w:p w14:paraId="6472BBE4" w14:textId="77777777" w:rsidR="002C6B67" w:rsidRDefault="002C6B67" w:rsidP="00CF3643">
            <w:pPr>
              <w:rPr>
                <w:rFonts w:cstheme="minorHAnsi"/>
              </w:rPr>
            </w:pPr>
            <w:r>
              <w:rPr>
                <w:rFonts w:cstheme="minorHAnsi"/>
              </w:rPr>
              <w:t>Quality improvement project</w:t>
            </w:r>
          </w:p>
        </w:tc>
        <w:tc>
          <w:tcPr>
            <w:tcW w:w="1701" w:type="dxa"/>
          </w:tcPr>
          <w:p w14:paraId="209EF9F7" w14:textId="77777777" w:rsidR="002C6B67" w:rsidRDefault="002C6B67" w:rsidP="00CF3643">
            <w:pPr>
              <w:rPr>
                <w:rFonts w:cstheme="minorHAnsi"/>
              </w:rPr>
            </w:pPr>
            <w:r>
              <w:rPr>
                <w:rFonts w:cstheme="minorHAnsi"/>
              </w:rPr>
              <w:t>Adults</w:t>
            </w:r>
          </w:p>
        </w:tc>
        <w:tc>
          <w:tcPr>
            <w:tcW w:w="1985" w:type="dxa"/>
          </w:tcPr>
          <w:p w14:paraId="0DE82DEF" w14:textId="77777777" w:rsidR="002C6B67" w:rsidRDefault="002C6B67" w:rsidP="00CF3643">
            <w:pPr>
              <w:rPr>
                <w:rFonts w:cstheme="minorHAnsi"/>
              </w:rPr>
            </w:pPr>
            <w:r>
              <w:rPr>
                <w:rFonts w:cstheme="minorHAnsi"/>
              </w:rPr>
              <w:t>Not applicable</w:t>
            </w:r>
          </w:p>
        </w:tc>
        <w:tc>
          <w:tcPr>
            <w:tcW w:w="3969" w:type="dxa"/>
          </w:tcPr>
          <w:p w14:paraId="1F36DBF4" w14:textId="77777777" w:rsidR="002C6B67" w:rsidRDefault="002C6B67" w:rsidP="00CF3643">
            <w:pPr>
              <w:rPr>
                <w:rFonts w:cstheme="minorHAnsi"/>
              </w:rPr>
            </w:pPr>
            <w:r>
              <w:rPr>
                <w:rFonts w:cstheme="minorHAnsi"/>
              </w:rPr>
              <w:t>Use of flush-out technique in management of CMEX.</w:t>
            </w:r>
          </w:p>
        </w:tc>
        <w:tc>
          <w:tcPr>
            <w:tcW w:w="992" w:type="dxa"/>
          </w:tcPr>
          <w:p w14:paraId="16A0E6FA" w14:textId="77777777" w:rsidR="002C6B67" w:rsidRDefault="002C6B67" w:rsidP="00CF3643">
            <w:pPr>
              <w:rPr>
                <w:rFonts w:cstheme="minorHAnsi"/>
              </w:rPr>
            </w:pPr>
            <w:r>
              <w:rPr>
                <w:rFonts w:cstheme="minorHAnsi"/>
              </w:rPr>
              <w:t>Fair</w:t>
            </w:r>
          </w:p>
        </w:tc>
        <w:tc>
          <w:tcPr>
            <w:tcW w:w="1134" w:type="dxa"/>
          </w:tcPr>
          <w:p w14:paraId="35C9B54D" w14:textId="77777777" w:rsidR="002C6B67" w:rsidRDefault="002C6B67" w:rsidP="00CF3643">
            <w:pPr>
              <w:rPr>
                <w:rFonts w:cstheme="minorHAnsi"/>
              </w:rPr>
            </w:pPr>
            <w:r>
              <w:rPr>
                <w:rFonts w:cstheme="minorHAnsi"/>
              </w:rPr>
              <w:t>4</w:t>
            </w:r>
          </w:p>
        </w:tc>
      </w:tr>
      <w:tr w:rsidR="002C6B67" w14:paraId="36E3A657" w14:textId="77777777" w:rsidTr="00CF3643">
        <w:tc>
          <w:tcPr>
            <w:tcW w:w="2972" w:type="dxa"/>
          </w:tcPr>
          <w:p w14:paraId="3FF9D0EB" w14:textId="15CED57C" w:rsidR="002C6B67" w:rsidRDefault="002C6B67" w:rsidP="00CF3643">
            <w:pPr>
              <w:rPr>
                <w:rFonts w:cstheme="minorHAnsi"/>
              </w:rPr>
            </w:pPr>
            <w:r w:rsidRPr="009301DD">
              <w:rPr>
                <w:rFonts w:cstheme="minorHAnsi"/>
              </w:rPr>
              <w:t>Sinan et al</w:t>
            </w:r>
            <w:r>
              <w:rPr>
                <w:rFonts w:cstheme="minorHAnsi"/>
              </w:rPr>
              <w:t xml:space="preserve">, </w:t>
            </w:r>
            <w:r w:rsidRPr="009301DD">
              <w:rPr>
                <w:rFonts w:cstheme="minorHAnsi"/>
              </w:rPr>
              <w:t>2005</w:t>
            </w:r>
            <w:r>
              <w:rPr>
                <w:rFonts w:cstheme="minorHAnsi"/>
              </w:rPr>
              <w:fldChar w:fldCharType="begin"/>
            </w:r>
            <w:r w:rsidR="00731981">
              <w:rPr>
                <w:rFonts w:cstheme="minorHAnsi"/>
              </w:rPr>
              <w:instrText xml:space="preserve"> ADDIN ZOTERO_ITEM CSL_CITATION {"citationID":"iAiR4bMr","properties":{"formattedCitation":"[12]","plainCitation":"[12]","noteIndex":0},"citationItems":[{"id":14,"uris":["http://zotero.org/users/2960325/items/AEUBSCJ5"],"uri":["http://zotero.org/users/2960325/items/AEUBSCJ5"],"itemData":{"id":14,"type":"article-journal","abstract":"OBJECTIVE: To compare the incidence and complications of extravasation of low-osmolar nonionic contrast media, injected manually and by the automatic power injector (API).\nSUBJECTS AND METHODS: Three thousand five hundred and sixty patients underwent contrast-enhanced abdominal and thoracic computerized tomography scan in the Department of Clinical Radiology, Al-Amiri Hospital, Kuwait, between June 1998 and December 2002. These patients were prospectively analyzed for contrast media extravasation, its relation to injection rate, cannula insertion and gauge and its complications. 920 patients were administered low-osmolar nonionic contrast media (Ultravist 300, Omni Paque 240 or 300) intravenously by manual injection and 2,640 patients by automatic power injector.\nRESULTS: Of the 3,560 patients contrast media extravasation occurred in 11 (0.3%). The symptoms were observed in 9 patients (0.3%) in the API group and 2 patients (0.2%) in the manual injection group, respectively. None of the patients had any soft tissue injury.\nCONCLUSION: The incidence of contrast media extravasation is not significantly increased by the use of the API. Low-osmolar nonionic contrast media extravasation resulting from the use of API does not cause any morbidity.","container-title":"Medical Principles and Practice: International Journal of the Kuwait University, Health Science Centre","DOI":"10.1159/000083921","ISSN":"1011-7571","issue":"2","journalAbbreviation":"Med Princ Pract","language":"eng","note":"PMID: 15785103","page":"107-110","source":"PubMed","title":"Contrast media extravasation: manual versus power injector","title-short":"Contrast media extravasation","volume":"14","author":[{"family":"Sinan","given":"Tareq"},{"family":"Al-Khawari","given":"Hanaa"},{"family":"Chishti","given":"Fayaz A."},{"family":"Al Saeed","given":"Osama M."},{"family":"Sheikh","given":"Mehraj"}],"issued":{"date-parts":[["2005",4]]}}}],"schema":"https://github.com/citation-style-language/schema/raw/master/csl-citation.json"} </w:instrText>
            </w:r>
            <w:r>
              <w:rPr>
                <w:rFonts w:cstheme="minorHAnsi"/>
              </w:rPr>
              <w:fldChar w:fldCharType="separate"/>
            </w:r>
            <w:r w:rsidR="00731981">
              <w:rPr>
                <w:rFonts w:cstheme="minorHAnsi"/>
                <w:noProof/>
              </w:rPr>
              <w:t>[12]</w:t>
            </w:r>
            <w:r>
              <w:rPr>
                <w:rFonts w:cstheme="minorHAnsi"/>
              </w:rPr>
              <w:fldChar w:fldCharType="end"/>
            </w:r>
          </w:p>
        </w:tc>
        <w:tc>
          <w:tcPr>
            <w:tcW w:w="1701" w:type="dxa"/>
          </w:tcPr>
          <w:p w14:paraId="6DD0ACF9" w14:textId="77777777" w:rsidR="002C6B67" w:rsidRPr="00A8555F" w:rsidRDefault="002C6B67" w:rsidP="00CF3643">
            <w:pPr>
              <w:rPr>
                <w:rFonts w:cstheme="minorHAnsi"/>
              </w:rPr>
            </w:pPr>
            <w:r>
              <w:rPr>
                <w:rFonts w:cstheme="minorHAnsi"/>
              </w:rPr>
              <w:t>Prospective, non-randomised</w:t>
            </w:r>
          </w:p>
        </w:tc>
        <w:tc>
          <w:tcPr>
            <w:tcW w:w="1701" w:type="dxa"/>
          </w:tcPr>
          <w:p w14:paraId="7988B1FB" w14:textId="77777777" w:rsidR="002C6B67" w:rsidRPr="00A8555F" w:rsidRDefault="002C6B67" w:rsidP="00CF3643">
            <w:pPr>
              <w:rPr>
                <w:rFonts w:cstheme="minorHAnsi"/>
              </w:rPr>
            </w:pPr>
            <w:r>
              <w:rPr>
                <w:rFonts w:cstheme="minorHAnsi"/>
              </w:rPr>
              <w:t>Adults</w:t>
            </w:r>
          </w:p>
        </w:tc>
        <w:tc>
          <w:tcPr>
            <w:tcW w:w="1985" w:type="dxa"/>
          </w:tcPr>
          <w:p w14:paraId="0C20EF2F" w14:textId="77777777" w:rsidR="002C6B67" w:rsidRPr="00A8555F" w:rsidRDefault="002C6B67" w:rsidP="00CF3643">
            <w:pPr>
              <w:rPr>
                <w:rFonts w:cstheme="minorHAnsi"/>
              </w:rPr>
            </w:pPr>
            <w:r>
              <w:rPr>
                <w:rFonts w:cstheme="minorHAnsi"/>
              </w:rPr>
              <w:t>11 / 3560 (0.3)</w:t>
            </w:r>
          </w:p>
        </w:tc>
        <w:tc>
          <w:tcPr>
            <w:tcW w:w="3969" w:type="dxa"/>
          </w:tcPr>
          <w:p w14:paraId="6684A16F" w14:textId="77777777" w:rsidR="002C6B67" w:rsidRPr="00A8555F" w:rsidRDefault="002C6B67" w:rsidP="00CF3643">
            <w:pPr>
              <w:rPr>
                <w:rFonts w:cstheme="minorHAnsi"/>
              </w:rPr>
            </w:pPr>
            <w:r>
              <w:rPr>
                <w:rFonts w:cstheme="minorHAnsi"/>
              </w:rPr>
              <w:t>Non-ionic CM, manual vs. power injector</w:t>
            </w:r>
          </w:p>
        </w:tc>
        <w:tc>
          <w:tcPr>
            <w:tcW w:w="992" w:type="dxa"/>
          </w:tcPr>
          <w:p w14:paraId="0932047B" w14:textId="77777777" w:rsidR="002C6B67" w:rsidRPr="00A8555F" w:rsidRDefault="002C6B67" w:rsidP="00CF3643">
            <w:pPr>
              <w:rPr>
                <w:rFonts w:cstheme="minorHAnsi"/>
              </w:rPr>
            </w:pPr>
            <w:r>
              <w:rPr>
                <w:rFonts w:cstheme="minorHAnsi"/>
              </w:rPr>
              <w:t>Fair</w:t>
            </w:r>
          </w:p>
        </w:tc>
        <w:tc>
          <w:tcPr>
            <w:tcW w:w="1134" w:type="dxa"/>
          </w:tcPr>
          <w:p w14:paraId="5EE29E66" w14:textId="77777777" w:rsidR="002C6B67" w:rsidRPr="00A8555F" w:rsidRDefault="002C6B67" w:rsidP="00CF3643">
            <w:pPr>
              <w:rPr>
                <w:rFonts w:cstheme="minorHAnsi"/>
              </w:rPr>
            </w:pPr>
            <w:r>
              <w:rPr>
                <w:rFonts w:cstheme="minorHAnsi"/>
              </w:rPr>
              <w:t>3b</w:t>
            </w:r>
          </w:p>
        </w:tc>
      </w:tr>
      <w:tr w:rsidR="002C6B67" w14:paraId="27DEDB11" w14:textId="77777777" w:rsidTr="00CF3643">
        <w:tc>
          <w:tcPr>
            <w:tcW w:w="2972" w:type="dxa"/>
          </w:tcPr>
          <w:p w14:paraId="5671380A" w14:textId="600B7F00" w:rsidR="002C6B67" w:rsidRPr="009301DD" w:rsidRDefault="002C6B67" w:rsidP="00CF3643">
            <w:pPr>
              <w:rPr>
                <w:rFonts w:cstheme="minorHAnsi"/>
              </w:rPr>
            </w:pPr>
            <w:r>
              <w:rPr>
                <w:rFonts w:cstheme="minorHAnsi"/>
              </w:rPr>
              <w:t>Amaral et al, 2006</w:t>
            </w:r>
            <w:r>
              <w:rPr>
                <w:rFonts w:cstheme="minorHAnsi"/>
              </w:rPr>
              <w:fldChar w:fldCharType="begin"/>
            </w:r>
            <w:r w:rsidR="00731981">
              <w:rPr>
                <w:rFonts w:cstheme="minorHAnsi"/>
              </w:rPr>
              <w:instrText xml:space="preserve"> ADDIN ZOTERO_ITEM CSL_CITATION {"citationID":"qcMitQC8","properties":{"formattedCitation":"[13]","plainCitation":"[13]","noteIndex":0},"citationItems":[{"id":147,"uris":["http://zotero.org/users/2960325/items/XUPKSHL9"],"uri":["http://zotero.org/users/2960325/items/XUPKSHL9"],"itemData":{"id":147,"type":"article-journal","abstract":"OBJECTIVE: The purpose of this study was to assess the safety of power injector use in peripheral IV injections for CT examinations of children by measuring the incidence of contrast extravasation and to review the management of extravasation as reported in the literature.\nSUBJECTS AND METHODS: At a tertiary pediatric center, we prospectively collected data on 557 children undergoing CT with IV contrast injection by power injector through a peripheral venous line. Data collected included age, weight, angiocatheter size, location of venous access, flow rate, total contrast volume, maximum injector pressure, and incidence of extravasation. Adverse effects such as emesis, sensation of warmth, hives, and allergies and anaphylaxis also were recorded.\nRESULTS: The patients' ages ranged from 13 days to 20 years (mean, 9.8 years). The size of angiocatheter most commonly used was 22 gauge (n = 443). The dorsum of the hand was the most common site of venous access (n = 373). The mean flow rate was 1.48 mL/s. When the patients were divided into groups on the basis of reaction or no reaction, statistical differences between the groups were found with respect to flow rate (p = 0.016) and pressure (p = 0.017) needed for injection. There were two episode of extravasation (0.3%), which were treated conservatively.\nCONCLUSION: The use of power injectors through 18- to 24-gauge angiocatheters in children is safe when meticulous technique is used and personnel are appropriately trained. Our study showed a similar rate of extravasation as has been reported in other studies.","container-title":"AJR. American journal of roentgenology","DOI":"10.2214/AJR.05.0667","ISSN":"1546-3141","issue":"2","journalAbbreviation":"AJR Am J Roentgenol","language":"eng","note":"PMID: 16861567","page":"580-583","source":"PubMed","title":"Safety of power injector use in children as measured by incidence of extravasation","volume":"187","author":[{"family":"Amaral","given":"Joao Guilherme"},{"family":"Traubici","given":"Jeffrey"},{"family":"BenDavid","given":"Guila"},{"family":"Reintamm","given":"Gail"},{"family":"Daneman","given":"Alan"}],"issued":{"date-parts":[["2006",8]]}}}],"schema":"https://github.com/citation-style-language/schema/raw/master/csl-citation.json"} </w:instrText>
            </w:r>
            <w:r>
              <w:rPr>
                <w:rFonts w:cstheme="minorHAnsi"/>
              </w:rPr>
              <w:fldChar w:fldCharType="separate"/>
            </w:r>
            <w:r w:rsidR="00731981">
              <w:rPr>
                <w:rFonts w:cstheme="minorHAnsi"/>
                <w:noProof/>
              </w:rPr>
              <w:t>[13]</w:t>
            </w:r>
            <w:r>
              <w:rPr>
                <w:rFonts w:cstheme="minorHAnsi"/>
              </w:rPr>
              <w:fldChar w:fldCharType="end"/>
            </w:r>
          </w:p>
        </w:tc>
        <w:tc>
          <w:tcPr>
            <w:tcW w:w="1701" w:type="dxa"/>
          </w:tcPr>
          <w:p w14:paraId="507FA8B4" w14:textId="77777777" w:rsidR="002C6B67" w:rsidRDefault="002C6B67" w:rsidP="00CF3643">
            <w:pPr>
              <w:rPr>
                <w:rFonts w:cstheme="minorHAnsi"/>
              </w:rPr>
            </w:pPr>
            <w:r>
              <w:rPr>
                <w:rFonts w:cstheme="minorHAnsi"/>
              </w:rPr>
              <w:t>Prospective</w:t>
            </w:r>
          </w:p>
        </w:tc>
        <w:tc>
          <w:tcPr>
            <w:tcW w:w="1701" w:type="dxa"/>
          </w:tcPr>
          <w:p w14:paraId="4C77EFC2" w14:textId="77777777" w:rsidR="002C6B67" w:rsidRDefault="002C6B67" w:rsidP="00CF3643">
            <w:pPr>
              <w:rPr>
                <w:rFonts w:cstheme="minorHAnsi"/>
              </w:rPr>
            </w:pPr>
            <w:r>
              <w:rPr>
                <w:rFonts w:cstheme="minorHAnsi"/>
              </w:rPr>
              <w:t>Children</w:t>
            </w:r>
          </w:p>
        </w:tc>
        <w:tc>
          <w:tcPr>
            <w:tcW w:w="1985" w:type="dxa"/>
          </w:tcPr>
          <w:p w14:paraId="3035D4AC" w14:textId="77777777" w:rsidR="002C6B67" w:rsidRDefault="002C6B67" w:rsidP="00CF3643">
            <w:pPr>
              <w:rPr>
                <w:rFonts w:cstheme="minorHAnsi"/>
              </w:rPr>
            </w:pPr>
            <w:r>
              <w:rPr>
                <w:rFonts w:cstheme="minorHAnsi"/>
              </w:rPr>
              <w:t>2 / 557 (0.3)</w:t>
            </w:r>
          </w:p>
        </w:tc>
        <w:tc>
          <w:tcPr>
            <w:tcW w:w="3969" w:type="dxa"/>
          </w:tcPr>
          <w:p w14:paraId="1C2C933E" w14:textId="77777777" w:rsidR="002C6B67" w:rsidRDefault="002C6B67" w:rsidP="00CF3643">
            <w:pPr>
              <w:rPr>
                <w:rFonts w:cstheme="minorHAnsi"/>
              </w:rPr>
            </w:pPr>
            <w:r>
              <w:rPr>
                <w:rFonts w:cstheme="minorHAnsi"/>
              </w:rPr>
              <w:t>Age, weight, catheter size, location of venous access, flow rate, CM volume given, maximum injector pressure and incidence of CMEX.</w:t>
            </w:r>
          </w:p>
        </w:tc>
        <w:tc>
          <w:tcPr>
            <w:tcW w:w="992" w:type="dxa"/>
          </w:tcPr>
          <w:p w14:paraId="7519734F" w14:textId="77777777" w:rsidR="002C6B67" w:rsidRDefault="002C6B67" w:rsidP="00CF3643">
            <w:pPr>
              <w:rPr>
                <w:rFonts w:cstheme="minorHAnsi"/>
              </w:rPr>
            </w:pPr>
            <w:r>
              <w:rPr>
                <w:rFonts w:cstheme="minorHAnsi"/>
              </w:rPr>
              <w:t>Good</w:t>
            </w:r>
          </w:p>
        </w:tc>
        <w:tc>
          <w:tcPr>
            <w:tcW w:w="1134" w:type="dxa"/>
          </w:tcPr>
          <w:p w14:paraId="6C6989F8" w14:textId="77777777" w:rsidR="002C6B67" w:rsidRDefault="002C6B67" w:rsidP="00CF3643">
            <w:pPr>
              <w:rPr>
                <w:rFonts w:cstheme="minorHAnsi"/>
              </w:rPr>
            </w:pPr>
            <w:r>
              <w:rPr>
                <w:rFonts w:cstheme="minorHAnsi"/>
              </w:rPr>
              <w:t>4</w:t>
            </w:r>
          </w:p>
        </w:tc>
      </w:tr>
      <w:tr w:rsidR="002C6B67" w14:paraId="20498A1A" w14:textId="77777777" w:rsidTr="00CF3643">
        <w:tc>
          <w:tcPr>
            <w:tcW w:w="2972" w:type="dxa"/>
          </w:tcPr>
          <w:p w14:paraId="2B86EB47" w14:textId="37B2E3C2" w:rsidR="002C6B67" w:rsidRPr="008A5DC0" w:rsidRDefault="002C6B67" w:rsidP="00CF3643">
            <w:pPr>
              <w:rPr>
                <w:rFonts w:cstheme="minorHAnsi"/>
                <w:highlight w:val="yellow"/>
              </w:rPr>
            </w:pPr>
            <w:proofErr w:type="spellStart"/>
            <w:r w:rsidRPr="007E1329">
              <w:rPr>
                <w:rFonts w:cstheme="minorHAnsi"/>
              </w:rPr>
              <w:t>Namasivayam</w:t>
            </w:r>
            <w:proofErr w:type="spellEnd"/>
            <w:r w:rsidRPr="007E1329">
              <w:rPr>
                <w:rFonts w:cstheme="minorHAnsi"/>
              </w:rPr>
              <w:t xml:space="preserve"> et al, 2006</w:t>
            </w:r>
            <w:r w:rsidRPr="007E1329">
              <w:rPr>
                <w:rFonts w:cstheme="minorHAnsi"/>
              </w:rPr>
              <w:fldChar w:fldCharType="begin"/>
            </w:r>
            <w:r w:rsidR="00731981">
              <w:rPr>
                <w:rFonts w:cstheme="minorHAnsi"/>
              </w:rPr>
              <w:instrText xml:space="preserve"> ADDIN ZOTERO_ITEM CSL_CITATION {"citationID":"nv2LdgpZ","properties":{"formattedCitation":"[14]","plainCitation":"[14]","noteIndex":0},"citationItems":[{"id":42,"uris":["http://zotero.org/users/2960325/items/V6ASP33R"],"uri":["http://zotero.org/users/2960325/items/V6ASP33R"],"itemData":{"id":42,"type":"article-journal","abstract":"Assessment of patients before intravenous contrast injection can help in detecting predisposing risk factors for adverse reactions to contrast media. Early recognition and treatment of acute adverse reactions can prevent morbidity and mortality (rare).","container-title":"Current Problems in Diagnostic Radiology","DOI":"10.1067/j.cpradiol.2006.04.001","ISSN":"0363-0188","issue":"4","journalAbbreviation":"Curr Probl Diagn Radiol","language":"eng","note":"PMID: 16814003","page":"164-169","source":"PubMed","title":"Adverse reactions to intravenous iodinated contrast media: an update","title-short":"Adverse reactions to intravenous iodinated contrast media","volume":"35","author":[{"family":"Namasivayam","given":"Saravanan"},{"family":"Kalra","given":"Mannudeep K."},{"family":"Torres","given":"William E."},{"family":"Small","given":"William C."}],"issued":{"date-parts":[["2006",8]]}}}],"schema":"https://github.com/citation-style-language/schema/raw/master/csl-citation.json"} </w:instrText>
            </w:r>
            <w:r w:rsidRPr="007E1329">
              <w:rPr>
                <w:rFonts w:cstheme="minorHAnsi"/>
              </w:rPr>
              <w:fldChar w:fldCharType="separate"/>
            </w:r>
            <w:r w:rsidR="00731981">
              <w:rPr>
                <w:rFonts w:cstheme="minorHAnsi"/>
                <w:noProof/>
              </w:rPr>
              <w:t>[14]</w:t>
            </w:r>
            <w:r w:rsidRPr="007E1329">
              <w:rPr>
                <w:rFonts w:cstheme="minorHAnsi"/>
              </w:rPr>
              <w:fldChar w:fldCharType="end"/>
            </w:r>
          </w:p>
        </w:tc>
        <w:tc>
          <w:tcPr>
            <w:tcW w:w="1701" w:type="dxa"/>
          </w:tcPr>
          <w:p w14:paraId="71FCBCEF" w14:textId="77777777" w:rsidR="002C6B67" w:rsidRDefault="002C6B67" w:rsidP="00CF3643">
            <w:pPr>
              <w:rPr>
                <w:rFonts w:cstheme="minorHAnsi"/>
              </w:rPr>
            </w:pPr>
            <w:r>
              <w:rPr>
                <w:rFonts w:cstheme="minorHAnsi"/>
              </w:rPr>
              <w:t>Review article</w:t>
            </w:r>
          </w:p>
        </w:tc>
        <w:tc>
          <w:tcPr>
            <w:tcW w:w="1701" w:type="dxa"/>
          </w:tcPr>
          <w:p w14:paraId="07E91B3B" w14:textId="77777777" w:rsidR="002C6B67" w:rsidRDefault="002C6B67" w:rsidP="00CF3643">
            <w:pPr>
              <w:rPr>
                <w:rFonts w:cstheme="minorHAnsi"/>
              </w:rPr>
            </w:pPr>
            <w:r>
              <w:rPr>
                <w:rFonts w:cstheme="minorHAnsi"/>
              </w:rPr>
              <w:t>Adults and children</w:t>
            </w:r>
          </w:p>
        </w:tc>
        <w:tc>
          <w:tcPr>
            <w:tcW w:w="1985" w:type="dxa"/>
          </w:tcPr>
          <w:p w14:paraId="14C66A66" w14:textId="77777777" w:rsidR="002C6B67" w:rsidRDefault="002C6B67" w:rsidP="00CF3643">
            <w:pPr>
              <w:rPr>
                <w:rFonts w:cstheme="minorHAnsi"/>
              </w:rPr>
            </w:pPr>
            <w:r>
              <w:rPr>
                <w:rFonts w:cstheme="minorHAnsi"/>
              </w:rPr>
              <w:t>Not applicable</w:t>
            </w:r>
          </w:p>
        </w:tc>
        <w:tc>
          <w:tcPr>
            <w:tcW w:w="3969" w:type="dxa"/>
          </w:tcPr>
          <w:p w14:paraId="1AEC74DE" w14:textId="77777777" w:rsidR="002C6B67" w:rsidRDefault="002C6B67" w:rsidP="00CF3643">
            <w:pPr>
              <w:rPr>
                <w:rFonts w:cstheme="minorHAnsi"/>
              </w:rPr>
            </w:pPr>
            <w:r>
              <w:rPr>
                <w:rFonts w:cstheme="minorHAnsi"/>
              </w:rPr>
              <w:t>Suggested guidelines on diagnosis and management of CMEX</w:t>
            </w:r>
          </w:p>
        </w:tc>
        <w:tc>
          <w:tcPr>
            <w:tcW w:w="992" w:type="dxa"/>
          </w:tcPr>
          <w:p w14:paraId="7C4C29C2" w14:textId="77777777" w:rsidR="002C6B67" w:rsidRDefault="002C6B67" w:rsidP="00CF3643">
            <w:pPr>
              <w:rPr>
                <w:rFonts w:cstheme="minorHAnsi"/>
              </w:rPr>
            </w:pPr>
            <w:r>
              <w:rPr>
                <w:rFonts w:cstheme="minorHAnsi"/>
              </w:rPr>
              <w:t>Poor</w:t>
            </w:r>
          </w:p>
        </w:tc>
        <w:tc>
          <w:tcPr>
            <w:tcW w:w="1134" w:type="dxa"/>
          </w:tcPr>
          <w:p w14:paraId="10EAF1C3" w14:textId="77777777" w:rsidR="002C6B67" w:rsidRDefault="002C6B67" w:rsidP="00CF3643">
            <w:pPr>
              <w:rPr>
                <w:rFonts w:cstheme="minorHAnsi"/>
              </w:rPr>
            </w:pPr>
            <w:r>
              <w:rPr>
                <w:rFonts w:cstheme="minorHAnsi"/>
              </w:rPr>
              <w:t>5</w:t>
            </w:r>
          </w:p>
        </w:tc>
      </w:tr>
      <w:tr w:rsidR="002C6B67" w14:paraId="080E7B15" w14:textId="77777777" w:rsidTr="00CF3643">
        <w:tc>
          <w:tcPr>
            <w:tcW w:w="2972" w:type="dxa"/>
          </w:tcPr>
          <w:p w14:paraId="4043CD21" w14:textId="730E3811" w:rsidR="002C6B67" w:rsidRDefault="002C6B67" w:rsidP="00CF3643">
            <w:pPr>
              <w:rPr>
                <w:rFonts w:cstheme="minorHAnsi"/>
              </w:rPr>
            </w:pPr>
            <w:proofErr w:type="spellStart"/>
            <w:r>
              <w:rPr>
                <w:rFonts w:cstheme="minorHAnsi"/>
              </w:rPr>
              <w:t>Selek</w:t>
            </w:r>
            <w:proofErr w:type="spellEnd"/>
            <w:r>
              <w:rPr>
                <w:rFonts w:cstheme="minorHAnsi"/>
              </w:rPr>
              <w:t xml:space="preserve"> et al, 2007</w:t>
            </w:r>
            <w:r>
              <w:rPr>
                <w:rFonts w:cstheme="minorHAnsi"/>
              </w:rPr>
              <w:fldChar w:fldCharType="begin"/>
            </w:r>
            <w:r w:rsidR="00731981">
              <w:rPr>
                <w:rFonts w:cstheme="minorHAnsi"/>
              </w:rPr>
              <w:instrText xml:space="preserve"> ADDIN ZOTERO_ITEM CSL_CITATION {"citationID":"MMpfOYxj","properties":{"formattedCitation":"[15]","plainCitation":"[15]","noteIndex":0},"citationItems":[{"id":143,"uris":["http://zotero.org/users/2960325/items/Y4CH59QM"],"uri":["http://zotero.org/users/2960325/items/Y4CH59QM"],"itemData":{"id":143,"type":"article-journal","abstract":"Extravasation of contrast material is a well-recognized complication of contrast-enhanced imaging studies. Most extravasations result only in minimal swelling or erythema; however, severe skin necrosis, ulceration and compartment syndrome may occur with extravasation of large volumes. This article presents a patient in whom extravasation developed after computed tomography (CT) contrast material was injected intravenously in the dorsum of the hand. Compartment syndrome was diagnosed, and the patient underwent fasciotomy. In follow-up, the patient regained full use of the hand. Although the use of contrast material has significantly improved the diagnostic accuracy of CT, anaphylaxis and contrast material extravasation are important complications. Selection of non-ionic contrast material, careful evaluation of the intravenous administration site and close monitoring of the patient during contrast material injection may help minimize or prevent extravasation injuries.","container-title":"Archives of Orthopaedic and Trauma Surgery","DOI":"10.1007/s00402-006-0238-y","ISSN":"0936-8051","issue":"6","journalAbbreviation":"Arch Orthop Trauma Surg","language":"eng","note":"PMID: 17021757","page":"425-427","source":"PubMed","title":"Compartment syndrome in the hand due to extravasation of contrast material","volume":"127","author":[{"family":"Selek","given":"Hakan"},{"family":"Ozer","given":"Hamza"},{"family":"Aygencel","given":"Gülbin"},{"family":"Turanli","given":"Sacit"}],"issued":{"date-parts":[["2007",8]]}}}],"schema":"https://github.com/citation-style-language/schema/raw/master/csl-citation.json"} </w:instrText>
            </w:r>
            <w:r>
              <w:rPr>
                <w:rFonts w:cstheme="minorHAnsi"/>
              </w:rPr>
              <w:fldChar w:fldCharType="separate"/>
            </w:r>
            <w:r w:rsidR="00731981">
              <w:rPr>
                <w:rFonts w:cstheme="minorHAnsi"/>
                <w:noProof/>
              </w:rPr>
              <w:t>[15]</w:t>
            </w:r>
            <w:r>
              <w:rPr>
                <w:rFonts w:cstheme="minorHAnsi"/>
              </w:rPr>
              <w:fldChar w:fldCharType="end"/>
            </w:r>
          </w:p>
        </w:tc>
        <w:tc>
          <w:tcPr>
            <w:tcW w:w="1701" w:type="dxa"/>
          </w:tcPr>
          <w:p w14:paraId="042141FC" w14:textId="77777777" w:rsidR="002C6B67" w:rsidRDefault="002C6B67" w:rsidP="00CF3643">
            <w:pPr>
              <w:rPr>
                <w:rFonts w:cstheme="minorHAnsi"/>
              </w:rPr>
            </w:pPr>
            <w:r>
              <w:rPr>
                <w:rFonts w:cstheme="minorHAnsi"/>
              </w:rPr>
              <w:t>Case report</w:t>
            </w:r>
          </w:p>
        </w:tc>
        <w:tc>
          <w:tcPr>
            <w:tcW w:w="1701" w:type="dxa"/>
          </w:tcPr>
          <w:p w14:paraId="0AED0F9B" w14:textId="77777777" w:rsidR="002C6B67" w:rsidRDefault="002C6B67" w:rsidP="00CF3643">
            <w:pPr>
              <w:rPr>
                <w:rFonts w:cstheme="minorHAnsi"/>
              </w:rPr>
            </w:pPr>
            <w:r>
              <w:rPr>
                <w:rFonts w:cstheme="minorHAnsi"/>
              </w:rPr>
              <w:t>Adult</w:t>
            </w:r>
          </w:p>
        </w:tc>
        <w:tc>
          <w:tcPr>
            <w:tcW w:w="1985" w:type="dxa"/>
          </w:tcPr>
          <w:p w14:paraId="437C637B" w14:textId="77777777" w:rsidR="002C6B67" w:rsidRDefault="002C6B67" w:rsidP="00CF3643">
            <w:pPr>
              <w:rPr>
                <w:rFonts w:cstheme="minorHAnsi"/>
              </w:rPr>
            </w:pPr>
            <w:r>
              <w:rPr>
                <w:rFonts w:cstheme="minorHAnsi"/>
              </w:rPr>
              <w:t>Not applicable</w:t>
            </w:r>
          </w:p>
        </w:tc>
        <w:tc>
          <w:tcPr>
            <w:tcW w:w="3969" w:type="dxa"/>
          </w:tcPr>
          <w:p w14:paraId="16014C0A" w14:textId="77777777" w:rsidR="002C6B67" w:rsidRDefault="002C6B67" w:rsidP="00CF3643">
            <w:pPr>
              <w:rPr>
                <w:rFonts w:cstheme="minorHAnsi"/>
              </w:rPr>
            </w:pPr>
            <w:r>
              <w:rPr>
                <w:rFonts w:cstheme="minorHAnsi"/>
              </w:rPr>
              <w:t>Fasciotomy</w:t>
            </w:r>
          </w:p>
        </w:tc>
        <w:tc>
          <w:tcPr>
            <w:tcW w:w="992" w:type="dxa"/>
          </w:tcPr>
          <w:p w14:paraId="4ACED3C1" w14:textId="77777777" w:rsidR="002C6B67" w:rsidRDefault="002C6B67" w:rsidP="00CF3643">
            <w:pPr>
              <w:rPr>
                <w:rFonts w:cstheme="minorHAnsi"/>
              </w:rPr>
            </w:pPr>
            <w:r>
              <w:rPr>
                <w:rFonts w:cstheme="minorHAnsi"/>
              </w:rPr>
              <w:t>Fair</w:t>
            </w:r>
          </w:p>
        </w:tc>
        <w:tc>
          <w:tcPr>
            <w:tcW w:w="1134" w:type="dxa"/>
          </w:tcPr>
          <w:p w14:paraId="7B9E6ED2" w14:textId="77777777" w:rsidR="002C6B67" w:rsidRDefault="002C6B67" w:rsidP="00CF3643">
            <w:pPr>
              <w:rPr>
                <w:rFonts w:cstheme="minorHAnsi"/>
              </w:rPr>
            </w:pPr>
            <w:r>
              <w:rPr>
                <w:rFonts w:cstheme="minorHAnsi"/>
              </w:rPr>
              <w:t>4</w:t>
            </w:r>
          </w:p>
        </w:tc>
      </w:tr>
      <w:tr w:rsidR="002C6B67" w14:paraId="202D0CA1" w14:textId="77777777" w:rsidTr="00CF3643">
        <w:tc>
          <w:tcPr>
            <w:tcW w:w="2972" w:type="dxa"/>
          </w:tcPr>
          <w:p w14:paraId="2E9493CB" w14:textId="49CC782C" w:rsidR="002C6B67" w:rsidRDefault="002C6B67" w:rsidP="00CF3643">
            <w:pPr>
              <w:rPr>
                <w:rFonts w:cstheme="minorHAnsi"/>
              </w:rPr>
            </w:pPr>
            <w:r w:rsidRPr="009301DD">
              <w:rPr>
                <w:rFonts w:cstheme="minorHAnsi"/>
              </w:rPr>
              <w:t>Tsai et al</w:t>
            </w:r>
            <w:r>
              <w:rPr>
                <w:rFonts w:cstheme="minorHAnsi"/>
              </w:rPr>
              <w:t xml:space="preserve">, </w:t>
            </w:r>
            <w:r w:rsidRPr="009301DD">
              <w:rPr>
                <w:rFonts w:cstheme="minorHAnsi"/>
              </w:rPr>
              <w:t>2007</w:t>
            </w:r>
            <w:r>
              <w:rPr>
                <w:rFonts w:cstheme="minorHAnsi"/>
              </w:rPr>
              <w:fldChar w:fldCharType="begin"/>
            </w:r>
            <w:r w:rsidR="00731981">
              <w:rPr>
                <w:rFonts w:cstheme="minorHAnsi"/>
              </w:rPr>
              <w:instrText xml:space="preserve"> ADDIN ZOTERO_ITEM CSL_CITATION {"citationID":"aDnphxow","properties":{"formattedCitation":"[16]","plainCitation":"[16]","noteIndex":0},"citationItems":[{"id":15,"uris":["http://zotero.org/users/2960325/items/BG8BTD87"],"uri":["http://zotero.org/users/2960325/items/BG8BTD87"],"itemData":{"id":15,"type":"article-journal","abstract":"BACKGROUND: Contrast-medium extravasation injuries may be self-limited to catastrophic. Adequate prophylactic measures are enforced when risk factors for extravasation are present, and prompt treatment can avoid serious complications.\nPURPOSE: To describe the squeeze maneuver, an effective method for the treatment of symptomatic contrast-medium extravasation.\nMATERIAL AND METHODS: Over a 3-month period, eight patients with &gt;50 ml contrast-medium extravasation resulting in vascular compromise of the fingers were managed with the squeeze maneuver as follows. The intravenous catheter used for contrast-medium injection was removed, and the skin around the insertion site was cleaned with povidone-iodine. An 18-gauge needle was then used to puncture five to eight openings near the catheter insertion site as deeply as possible. We then began squeezing from the periphery of the swelling toward the needle holes. As the contrast medium drained, it was swabbed away with iodine-soaked cotton swabs.\nRESULTS: In all eight patients, the maneuver was successful with immediate resolution of the vascular compromise.\nCONCLUSION: The squeeze maneuver provides an easy way to manage radiological contrast-medium extravasation and can be performed immediately in the CT suite.","container-title":"Acta Radiologica (Stockholm, Sweden: 1987)","DOI":"10.1080/02841850701324094","ISSN":"0284-1851","issue":"6","journalAbbreviation":"Acta Radiol","language":"eng","note":"PMID: 17611865","page":"605-607","source":"PubMed","title":"Squeeze maneuver: an easy way to manage radiological contrast-medium extravasation","title-short":"Squeeze maneuver","volume":"48","author":[{"family":"Tsai","given":"Y. S."},{"family":"Cheng","given":"S. M."},{"family":"Ng","given":"S. P."},{"family":"Yang","given":"F. S."},{"family":"Shih","given":"S. L."},{"family":"Sheu","given":"C. Y."},{"family":"Huang","given":"J. K."}],"issued":{"date-parts":[["2007",7]]}}}],"schema":"https://github.com/citation-style-language/schema/raw/master/csl-citation.json"} </w:instrText>
            </w:r>
            <w:r>
              <w:rPr>
                <w:rFonts w:cstheme="minorHAnsi"/>
              </w:rPr>
              <w:fldChar w:fldCharType="separate"/>
            </w:r>
            <w:r w:rsidR="00731981">
              <w:rPr>
                <w:rFonts w:cstheme="minorHAnsi"/>
                <w:noProof/>
              </w:rPr>
              <w:t>[16]</w:t>
            </w:r>
            <w:r>
              <w:rPr>
                <w:rFonts w:cstheme="minorHAnsi"/>
              </w:rPr>
              <w:fldChar w:fldCharType="end"/>
            </w:r>
          </w:p>
        </w:tc>
        <w:tc>
          <w:tcPr>
            <w:tcW w:w="1701" w:type="dxa"/>
          </w:tcPr>
          <w:p w14:paraId="14F6B14F" w14:textId="77777777" w:rsidR="002C6B67" w:rsidRDefault="002C6B67" w:rsidP="00CF3643">
            <w:pPr>
              <w:rPr>
                <w:rFonts w:cstheme="minorHAnsi"/>
              </w:rPr>
            </w:pPr>
            <w:r>
              <w:rPr>
                <w:rFonts w:cstheme="minorHAnsi"/>
              </w:rPr>
              <w:t>Case-series</w:t>
            </w:r>
          </w:p>
        </w:tc>
        <w:tc>
          <w:tcPr>
            <w:tcW w:w="1701" w:type="dxa"/>
          </w:tcPr>
          <w:p w14:paraId="56FCE004" w14:textId="77777777" w:rsidR="002C6B67" w:rsidRDefault="002C6B67" w:rsidP="00CF3643">
            <w:pPr>
              <w:rPr>
                <w:rFonts w:cstheme="minorHAnsi"/>
              </w:rPr>
            </w:pPr>
            <w:r>
              <w:rPr>
                <w:rFonts w:cstheme="minorHAnsi"/>
              </w:rPr>
              <w:t>Adults</w:t>
            </w:r>
          </w:p>
        </w:tc>
        <w:tc>
          <w:tcPr>
            <w:tcW w:w="1985" w:type="dxa"/>
          </w:tcPr>
          <w:p w14:paraId="3E2ADBC2" w14:textId="77777777" w:rsidR="002C6B67" w:rsidRDefault="002C6B67" w:rsidP="00CF3643">
            <w:pPr>
              <w:rPr>
                <w:rFonts w:cstheme="minorHAnsi"/>
              </w:rPr>
            </w:pPr>
            <w:r>
              <w:rPr>
                <w:rFonts w:cstheme="minorHAnsi"/>
              </w:rPr>
              <w:t>8/8 (100)</w:t>
            </w:r>
          </w:p>
        </w:tc>
        <w:tc>
          <w:tcPr>
            <w:tcW w:w="3969" w:type="dxa"/>
          </w:tcPr>
          <w:p w14:paraId="0D3D874F" w14:textId="77777777" w:rsidR="002C6B67" w:rsidRDefault="002C6B67" w:rsidP="00CF3643">
            <w:pPr>
              <w:rPr>
                <w:rFonts w:cstheme="minorHAnsi"/>
              </w:rPr>
            </w:pPr>
            <w:r>
              <w:rPr>
                <w:rFonts w:cstheme="minorHAnsi"/>
              </w:rPr>
              <w:t>Squeeze manoeuvre</w:t>
            </w:r>
          </w:p>
        </w:tc>
        <w:tc>
          <w:tcPr>
            <w:tcW w:w="992" w:type="dxa"/>
          </w:tcPr>
          <w:p w14:paraId="0C7C8F69" w14:textId="77777777" w:rsidR="002C6B67" w:rsidRDefault="002C6B67" w:rsidP="00CF3643">
            <w:pPr>
              <w:rPr>
                <w:rFonts w:cstheme="minorHAnsi"/>
              </w:rPr>
            </w:pPr>
            <w:r>
              <w:rPr>
                <w:rFonts w:cstheme="minorHAnsi"/>
              </w:rPr>
              <w:t>Fair</w:t>
            </w:r>
          </w:p>
        </w:tc>
        <w:tc>
          <w:tcPr>
            <w:tcW w:w="1134" w:type="dxa"/>
          </w:tcPr>
          <w:p w14:paraId="21965AFB" w14:textId="77777777" w:rsidR="002C6B67" w:rsidRDefault="002C6B67" w:rsidP="00CF3643">
            <w:pPr>
              <w:rPr>
                <w:rFonts w:cstheme="minorHAnsi"/>
              </w:rPr>
            </w:pPr>
            <w:r>
              <w:rPr>
                <w:rFonts w:cstheme="minorHAnsi"/>
              </w:rPr>
              <w:t>4</w:t>
            </w:r>
          </w:p>
        </w:tc>
      </w:tr>
      <w:tr w:rsidR="002C6B67" w14:paraId="3647FBEE" w14:textId="77777777" w:rsidTr="00CF3643">
        <w:tc>
          <w:tcPr>
            <w:tcW w:w="2972" w:type="dxa"/>
          </w:tcPr>
          <w:p w14:paraId="7B4A2DDD" w14:textId="14F97962" w:rsidR="002C6B67" w:rsidRPr="009301DD" w:rsidRDefault="002C6B67" w:rsidP="00CF3643">
            <w:pPr>
              <w:rPr>
                <w:rFonts w:cstheme="minorHAnsi"/>
              </w:rPr>
            </w:pPr>
            <w:r w:rsidRPr="007E1329">
              <w:rPr>
                <w:rFonts w:cstheme="minorHAnsi"/>
              </w:rPr>
              <w:t>Fallscheer e</w:t>
            </w:r>
            <w:r>
              <w:rPr>
                <w:rFonts w:cstheme="minorHAnsi"/>
              </w:rPr>
              <w:t>t al, 2007</w:t>
            </w:r>
            <w:r>
              <w:rPr>
                <w:rFonts w:cstheme="minorHAnsi"/>
              </w:rPr>
              <w:fldChar w:fldCharType="begin"/>
            </w:r>
            <w:r w:rsidR="00731981">
              <w:rPr>
                <w:rFonts w:cstheme="minorHAnsi"/>
              </w:rPr>
              <w:instrText xml:space="preserve"> ADDIN ZOTERO_ITEM CSL_CITATION {"citationID":"eMbKCn6h","properties":{"formattedCitation":"[17]","plainCitation":"[17]","noteIndex":0},"citationItems":[{"id":193,"uris":["http://zotero.org/users/2960325/items/P3A5T9NX"],"uri":["http://zotero.org/users/2960325/items/P3A5T9NX"],"itemData":{"id":193,"type":"article-journal","abstract":"This retrospective clinical study, over a period of four years, includes 16 patients who had extravasation of iopromidum 623 mg (Ultravist 300) in the upper extremity during computed tomography (CT). Although conservative management is sufficient in most cases, seven patients were operated on. The mean time between extravasation and operation was 155 minutes. The most complicated postoperative course occurred when the operation was delayed 300 minutes after extravasation. When patients were treated early, there was no permanent postoperative impairment. Extravasation of contrast is an increasing cause of potential complications in the forearm as a result of the use of power injectors in CT. Immediate assessment by an experienced plastic surgeon followed by either conservative treatment or quick intervention if necessary may avoid serious damage.","container-title":"Scandinavian Journal of Plastic and Reconstructive Surgery and Hand Surgery","ISSN":"0284-4311","issue":"1","journalAbbreviation":"Scand J Plast Reconstr Surg Hand Surg","language":"eng","note":"PMID: 17484182","page":"26-32","source":"PubMed","title":"Injury to the upper extremity caused by extravasation of contrast medium: a true emergency","title-short":"Injury to the upper extremity caused by extravasation of contrast medium","volume":"41","author":[{"family":"Fallscheer","given":"Philipp"},{"family":"Kammer","given":"Erich"},{"family":"Roeren","given":"Thomas"},{"family":"Meuli-Simmen","given":"Claudia"}],"issued":{"date-parts":[["2007"]]}}}],"schema":"https://github.com/citation-style-language/schema/raw/master/csl-citation.json"} </w:instrText>
            </w:r>
            <w:r>
              <w:rPr>
                <w:rFonts w:cstheme="minorHAnsi"/>
              </w:rPr>
              <w:fldChar w:fldCharType="separate"/>
            </w:r>
            <w:r w:rsidR="00731981">
              <w:rPr>
                <w:rFonts w:cstheme="minorHAnsi"/>
                <w:noProof/>
              </w:rPr>
              <w:t>[17]</w:t>
            </w:r>
            <w:r>
              <w:rPr>
                <w:rFonts w:cstheme="minorHAnsi"/>
              </w:rPr>
              <w:fldChar w:fldCharType="end"/>
            </w:r>
          </w:p>
        </w:tc>
        <w:tc>
          <w:tcPr>
            <w:tcW w:w="1701" w:type="dxa"/>
          </w:tcPr>
          <w:p w14:paraId="67CE6C05" w14:textId="77777777" w:rsidR="002C6B67" w:rsidRDefault="002C6B67" w:rsidP="00CF3643">
            <w:pPr>
              <w:rPr>
                <w:rFonts w:cstheme="minorHAnsi"/>
              </w:rPr>
            </w:pPr>
            <w:r>
              <w:rPr>
                <w:rFonts w:cstheme="minorHAnsi"/>
              </w:rPr>
              <w:t>Retrospective</w:t>
            </w:r>
          </w:p>
        </w:tc>
        <w:tc>
          <w:tcPr>
            <w:tcW w:w="1701" w:type="dxa"/>
          </w:tcPr>
          <w:p w14:paraId="7512FC04" w14:textId="77777777" w:rsidR="002C6B67" w:rsidRDefault="002C6B67" w:rsidP="00CF3643">
            <w:pPr>
              <w:rPr>
                <w:rFonts w:cstheme="minorHAnsi"/>
              </w:rPr>
            </w:pPr>
            <w:r>
              <w:rPr>
                <w:rFonts w:cstheme="minorHAnsi"/>
              </w:rPr>
              <w:t>Adults</w:t>
            </w:r>
          </w:p>
        </w:tc>
        <w:tc>
          <w:tcPr>
            <w:tcW w:w="1985" w:type="dxa"/>
          </w:tcPr>
          <w:p w14:paraId="745B1D7C" w14:textId="77777777" w:rsidR="002C6B67" w:rsidRDefault="002C6B67" w:rsidP="00CF3643">
            <w:pPr>
              <w:rPr>
                <w:rFonts w:cstheme="minorHAnsi"/>
              </w:rPr>
            </w:pPr>
            <w:r>
              <w:rPr>
                <w:rFonts w:cstheme="minorHAnsi"/>
              </w:rPr>
              <w:t>16/25000 (0.06)</w:t>
            </w:r>
          </w:p>
        </w:tc>
        <w:tc>
          <w:tcPr>
            <w:tcW w:w="3969" w:type="dxa"/>
          </w:tcPr>
          <w:p w14:paraId="66871DF3" w14:textId="77777777" w:rsidR="002C6B67" w:rsidRDefault="002C6B67" w:rsidP="00CF3643">
            <w:pPr>
              <w:rPr>
                <w:rFonts w:cstheme="minorHAnsi"/>
              </w:rPr>
            </w:pPr>
            <w:r>
              <w:rPr>
                <w:rFonts w:cstheme="minorHAnsi"/>
              </w:rPr>
              <w:t xml:space="preserve">Reasons, incidence, </w:t>
            </w:r>
            <w:proofErr w:type="gramStart"/>
            <w:r>
              <w:rPr>
                <w:rFonts w:cstheme="minorHAnsi"/>
              </w:rPr>
              <w:t>treatment</w:t>
            </w:r>
            <w:proofErr w:type="gramEnd"/>
            <w:r>
              <w:rPr>
                <w:rFonts w:cstheme="minorHAnsi"/>
              </w:rPr>
              <w:t xml:space="preserve"> and follow-up of CMEX.</w:t>
            </w:r>
          </w:p>
        </w:tc>
        <w:tc>
          <w:tcPr>
            <w:tcW w:w="992" w:type="dxa"/>
          </w:tcPr>
          <w:p w14:paraId="6894CF83" w14:textId="77777777" w:rsidR="002C6B67" w:rsidRDefault="002C6B67" w:rsidP="00CF3643">
            <w:pPr>
              <w:rPr>
                <w:rFonts w:cstheme="minorHAnsi"/>
              </w:rPr>
            </w:pPr>
            <w:r>
              <w:rPr>
                <w:rFonts w:cstheme="minorHAnsi"/>
              </w:rPr>
              <w:t>Good</w:t>
            </w:r>
          </w:p>
        </w:tc>
        <w:tc>
          <w:tcPr>
            <w:tcW w:w="1134" w:type="dxa"/>
          </w:tcPr>
          <w:p w14:paraId="2FE9C56F" w14:textId="77777777" w:rsidR="002C6B67" w:rsidRDefault="002C6B67" w:rsidP="00CF3643">
            <w:pPr>
              <w:rPr>
                <w:rFonts w:cstheme="minorHAnsi"/>
              </w:rPr>
            </w:pPr>
            <w:r>
              <w:rPr>
                <w:rFonts w:cstheme="minorHAnsi"/>
              </w:rPr>
              <w:t>2b</w:t>
            </w:r>
          </w:p>
        </w:tc>
      </w:tr>
      <w:tr w:rsidR="002C6B67" w14:paraId="157C4CB3" w14:textId="77777777" w:rsidTr="00CF3643">
        <w:tc>
          <w:tcPr>
            <w:tcW w:w="2972" w:type="dxa"/>
          </w:tcPr>
          <w:p w14:paraId="0298B3AE" w14:textId="65D47D67" w:rsidR="002C6B67" w:rsidRPr="009301DD" w:rsidRDefault="002C6B67" w:rsidP="00CF3643">
            <w:pPr>
              <w:rPr>
                <w:rFonts w:cstheme="minorHAnsi"/>
              </w:rPr>
            </w:pPr>
            <w:r w:rsidRPr="009301DD">
              <w:rPr>
                <w:rFonts w:cstheme="minorHAnsi"/>
              </w:rPr>
              <w:t>Wang et al</w:t>
            </w:r>
            <w:r>
              <w:rPr>
                <w:rFonts w:cstheme="minorHAnsi"/>
              </w:rPr>
              <w:t xml:space="preserve">, </w:t>
            </w:r>
            <w:r w:rsidRPr="009301DD">
              <w:rPr>
                <w:rFonts w:cstheme="minorHAnsi"/>
              </w:rPr>
              <w:t>2007</w:t>
            </w:r>
            <w:r>
              <w:rPr>
                <w:rFonts w:cstheme="minorHAnsi"/>
              </w:rPr>
              <w:fldChar w:fldCharType="begin"/>
            </w:r>
            <w:r w:rsidR="00731981">
              <w:rPr>
                <w:rFonts w:cstheme="minorHAnsi"/>
              </w:rPr>
              <w:instrText xml:space="preserve"> ADDIN ZOTERO_ITEM CSL_CITATION {"citationID":"kihSvGEc","properties":{"formattedCitation":"[18]","plainCitation":"[18]","noteIndex":0},"citationItems":[{"id":26,"uris":["http://zotero.org/users/2960325/items/ZW6FB2GG"],"uri":["http://zotero.org/users/2960325/items/ZW6FB2GG"],"itemData":{"id":26,"type":"article-journal","abstract":"PURPOSE: To determine retrospectively the frequency, management, and outcomes of extravasations of intravenously injected nonionic iodinated contrast medium.\nMATERIALS AND METHODS: Institutional review board approval was obtained, and the requirement for informed consent was waived. The study was HIPAA compliant. For 69,657 intravenous injections of nonionic iodinated contrast medium for computed tomographic examinations between January 1, 2000, and March 31, 2005, the incident reports, radiology reports, and medical records of patients in whom contrast medium extravasations occurred were reviewed. Data collected included patient age, catheter gauge, injection site, volume extravasated, patient symptoms, severity of injury, treatment, whether or not the plastic surgery service was consulted and any additional treatment that service instituted, and patient outcome.\nRESULTS: Extravasations occurred in 475 (0.7%) of 69 657 patients, and follow-up information was available for 442 adults (280 women, 162 men; mean age, 57 years) and 17 children (nine girls, eight boys; mean age, 6 years). Extravasated volumes ranged from 3 to 150 mL. Symptoms usually consisted of swelling and/or pain. The plastic surgery service was consulted for 38 adults and six children and provided additional treatment in eight patients (seven adults, one child). Among adults, 432 had minimal or no adverse effects, nine had moderate adverse effects, and one had a severe complication (75 mL of contrast material extravasated into the hand, causing compartment syndrome). Only one moderate or severe complication in an adult resulted from an extravasation of less than 50 mL. Fifteen children had minimal or no adverse effects, one had moderate adverse effects, and one had a severe complication (18 mL of contrast material extravasated into the arm, causing brachial plexopathy).\nCONCLUSION: Extravasation of nonionic iodinated contrast medium results only rarely in moderate or severe adverse effects, and these usually occur only when large volumes of contrast medium are involved.","container-title":"Radiology","DOI":"10.1148/radiol.2431060554","ISSN":"0033-8419","issue":"1","journalAbbreviation":"Radiology","language":"eng","note":"PMID: 17392249","page":"80-87","source":"PubMed","title":"Frequency, management, and outcome of extravasation of nonionic iodinated contrast medium in 69,657 intravenous injections","volume":"243","author":[{"family":"Wang","given":"Carolyn L."},{"family":"Cohan","given":"Richard H."},{"family":"Ellis","given":"James H."},{"family":"Adusumilli","given":"Saroja"},{"family":"Dunnick","given":"N. Reed"}],"issued":{"date-parts":[["2007",4]]}}}],"schema":"https://github.com/citation-style-language/schema/raw/master/csl-citation.json"} </w:instrText>
            </w:r>
            <w:r>
              <w:rPr>
                <w:rFonts w:cstheme="minorHAnsi"/>
              </w:rPr>
              <w:fldChar w:fldCharType="separate"/>
            </w:r>
            <w:r w:rsidR="00731981">
              <w:rPr>
                <w:rFonts w:cstheme="minorHAnsi"/>
                <w:noProof/>
              </w:rPr>
              <w:t>[18]</w:t>
            </w:r>
            <w:r>
              <w:rPr>
                <w:rFonts w:cstheme="minorHAnsi"/>
              </w:rPr>
              <w:fldChar w:fldCharType="end"/>
            </w:r>
          </w:p>
        </w:tc>
        <w:tc>
          <w:tcPr>
            <w:tcW w:w="1701" w:type="dxa"/>
          </w:tcPr>
          <w:p w14:paraId="3731C200" w14:textId="77777777" w:rsidR="002C6B67" w:rsidRDefault="002C6B67" w:rsidP="00CF3643">
            <w:pPr>
              <w:rPr>
                <w:rFonts w:cstheme="minorHAnsi"/>
              </w:rPr>
            </w:pPr>
            <w:r>
              <w:rPr>
                <w:rFonts w:cstheme="minorHAnsi"/>
              </w:rPr>
              <w:t xml:space="preserve">Retrospective </w:t>
            </w:r>
          </w:p>
        </w:tc>
        <w:tc>
          <w:tcPr>
            <w:tcW w:w="1701" w:type="dxa"/>
          </w:tcPr>
          <w:p w14:paraId="0AEC3ECA" w14:textId="77777777" w:rsidR="002C6B67" w:rsidRDefault="002C6B67" w:rsidP="00CF3643">
            <w:pPr>
              <w:rPr>
                <w:rFonts w:cstheme="minorHAnsi"/>
              </w:rPr>
            </w:pPr>
            <w:r>
              <w:rPr>
                <w:rFonts w:cstheme="minorHAnsi"/>
              </w:rPr>
              <w:t>Adults and children</w:t>
            </w:r>
          </w:p>
        </w:tc>
        <w:tc>
          <w:tcPr>
            <w:tcW w:w="1985" w:type="dxa"/>
          </w:tcPr>
          <w:p w14:paraId="24318C1F" w14:textId="77777777" w:rsidR="002C6B67" w:rsidRDefault="002C6B67" w:rsidP="00CF3643">
            <w:pPr>
              <w:rPr>
                <w:rFonts w:cstheme="minorHAnsi"/>
              </w:rPr>
            </w:pPr>
            <w:r>
              <w:rPr>
                <w:rFonts w:cstheme="minorHAnsi"/>
              </w:rPr>
              <w:t>475 / 69657 (0.7)</w:t>
            </w:r>
          </w:p>
        </w:tc>
        <w:tc>
          <w:tcPr>
            <w:tcW w:w="3969" w:type="dxa"/>
          </w:tcPr>
          <w:p w14:paraId="1BD958B5" w14:textId="77777777" w:rsidR="002C6B67" w:rsidRDefault="002C6B67" w:rsidP="00CF3643">
            <w:pPr>
              <w:rPr>
                <w:rFonts w:cstheme="minorHAnsi"/>
              </w:rPr>
            </w:pPr>
            <w:r>
              <w:rPr>
                <w:rFonts w:cstheme="minorHAnsi"/>
              </w:rPr>
              <w:t>Non-ionic CM, frequency, injection technique and management</w:t>
            </w:r>
          </w:p>
        </w:tc>
        <w:tc>
          <w:tcPr>
            <w:tcW w:w="992" w:type="dxa"/>
          </w:tcPr>
          <w:p w14:paraId="7C2CCA41" w14:textId="77777777" w:rsidR="002C6B67" w:rsidRDefault="002C6B67" w:rsidP="00CF3643">
            <w:pPr>
              <w:rPr>
                <w:rFonts w:cstheme="minorHAnsi"/>
              </w:rPr>
            </w:pPr>
            <w:r>
              <w:rPr>
                <w:rFonts w:cstheme="minorHAnsi"/>
              </w:rPr>
              <w:t>Good</w:t>
            </w:r>
          </w:p>
        </w:tc>
        <w:tc>
          <w:tcPr>
            <w:tcW w:w="1134" w:type="dxa"/>
          </w:tcPr>
          <w:p w14:paraId="5D5809C9" w14:textId="77777777" w:rsidR="002C6B67" w:rsidRDefault="002C6B67" w:rsidP="00CF3643">
            <w:pPr>
              <w:rPr>
                <w:rFonts w:cstheme="minorHAnsi"/>
              </w:rPr>
            </w:pPr>
            <w:r>
              <w:rPr>
                <w:rFonts w:cstheme="minorHAnsi"/>
              </w:rPr>
              <w:t>4</w:t>
            </w:r>
          </w:p>
        </w:tc>
      </w:tr>
      <w:tr w:rsidR="002C6B67" w14:paraId="42B507C1" w14:textId="77777777" w:rsidTr="00CF3643">
        <w:tc>
          <w:tcPr>
            <w:tcW w:w="2972" w:type="dxa"/>
          </w:tcPr>
          <w:p w14:paraId="5C9718FC" w14:textId="57E25CC2" w:rsidR="002C6B67" w:rsidRPr="009301DD" w:rsidRDefault="002C6B67" w:rsidP="00CF3643">
            <w:pPr>
              <w:rPr>
                <w:rFonts w:cstheme="minorHAnsi"/>
              </w:rPr>
            </w:pPr>
            <w:proofErr w:type="spellStart"/>
            <w:r w:rsidRPr="007E1329">
              <w:rPr>
                <w:rFonts w:cstheme="minorHAnsi"/>
              </w:rPr>
              <w:t>Schaverian</w:t>
            </w:r>
            <w:proofErr w:type="spellEnd"/>
            <w:r w:rsidRPr="00707F4C">
              <w:rPr>
                <w:rFonts w:cstheme="minorHAnsi"/>
              </w:rPr>
              <w:t xml:space="preserve"> et al</w:t>
            </w:r>
            <w:r>
              <w:rPr>
                <w:rFonts w:cstheme="minorHAnsi"/>
              </w:rPr>
              <w:t xml:space="preserve">, </w:t>
            </w:r>
            <w:r w:rsidRPr="00707F4C">
              <w:rPr>
                <w:rFonts w:cstheme="minorHAnsi"/>
              </w:rPr>
              <w:t>2008</w:t>
            </w:r>
            <w:r>
              <w:rPr>
                <w:rFonts w:cstheme="minorHAnsi"/>
              </w:rPr>
              <w:fldChar w:fldCharType="begin"/>
            </w:r>
            <w:r w:rsidR="00731981">
              <w:rPr>
                <w:rFonts w:cstheme="minorHAnsi"/>
              </w:rPr>
              <w:instrText xml:space="preserve"> ADDIN ZOTERO_ITEM CSL_CITATION {"citationID":"1FXGiAQM","properties":{"formattedCitation":"[19]","plainCitation":"[19]","noteIndex":0},"citationItems":[{"id":43,"uris":["http://zotero.org/users/2960325/items/MMV5UR46"],"uri":["http://zotero.org/users/2960325/items/MMV5UR46"],"itemData":{"id":43,"type":"article-journal","abstract":"The incidence of radiographic contrast medium extravasation is on the rise due to the rapid increase in availability of contrast enhanced imaging. There is no consensus, however, regarding its management. There is a wide spectrum of clinical presentations, ranging from localised erythema and oedema to skin necrosis, which is related to the osmolarity and volume of the extravasated contrast medium. It is not possible to predict the degree of final tissue injury at initial examination. The increase in use of automated bolus injection has led to an increase in incidence of large volume extravasation injuries. Here we present a review of the literature regarding clinical presentation, risk factors, and management of contrast extravasation injuries. We also report the management of a large volume computed tomography contrast extravasation injury following mechanical bolus injection using a combination of liposuction and saline washout as described by Gault, and the use of compression by a Rhys-Davies exsanguinator as a technical refinement to achieve immediate resolution of the soft tissue oedema.","container-title":"Journal of plastic, reconstructive &amp; aesthetic surgery: JPRAS","DOI":"10.1016/j.bjps.2007.02.024","ISSN":"1878-0539","issue":"5","journalAbbreviation":"J Plast Reconstr Aesthet Surg","language":"eng","note":"PMID: 17459795","page":"562-565; discussion 565","source":"PubMed","title":"Management of large volume CT contrast medium extravasation injury: technical refinement and literature review","title-short":"Management of large volume CT contrast medium extravasation injury","volume":"61","author":[{"family":"Schaverien","given":"Mark V."},{"family":"Evison","given":"Demetrius"},{"family":"McCulley","given":"Stephen J."}],"issued":{"date-parts":[["2008"]]}}}],"schema":"https://github.com/citation-style-language/schema/raw/master/csl-citation.json"} </w:instrText>
            </w:r>
            <w:r>
              <w:rPr>
                <w:rFonts w:cstheme="minorHAnsi"/>
              </w:rPr>
              <w:fldChar w:fldCharType="separate"/>
            </w:r>
            <w:r w:rsidR="00731981">
              <w:rPr>
                <w:rFonts w:cstheme="minorHAnsi"/>
                <w:noProof/>
              </w:rPr>
              <w:t>[19]</w:t>
            </w:r>
            <w:r>
              <w:rPr>
                <w:rFonts w:cstheme="minorHAnsi"/>
              </w:rPr>
              <w:fldChar w:fldCharType="end"/>
            </w:r>
          </w:p>
        </w:tc>
        <w:tc>
          <w:tcPr>
            <w:tcW w:w="1701" w:type="dxa"/>
          </w:tcPr>
          <w:p w14:paraId="2BA670F6" w14:textId="77777777" w:rsidR="002C6B67" w:rsidRDefault="002C6B67" w:rsidP="00CF3643">
            <w:pPr>
              <w:rPr>
                <w:rFonts w:cstheme="minorHAnsi"/>
              </w:rPr>
            </w:pPr>
            <w:r>
              <w:rPr>
                <w:rFonts w:cstheme="minorHAnsi"/>
              </w:rPr>
              <w:t>Review article</w:t>
            </w:r>
          </w:p>
        </w:tc>
        <w:tc>
          <w:tcPr>
            <w:tcW w:w="1701" w:type="dxa"/>
          </w:tcPr>
          <w:p w14:paraId="2B48590C" w14:textId="77777777" w:rsidR="002C6B67" w:rsidRDefault="002C6B67" w:rsidP="00CF3643">
            <w:pPr>
              <w:rPr>
                <w:rFonts w:cstheme="minorHAnsi"/>
              </w:rPr>
            </w:pPr>
            <w:r>
              <w:rPr>
                <w:rFonts w:cstheme="minorHAnsi"/>
              </w:rPr>
              <w:t>Adults and children</w:t>
            </w:r>
          </w:p>
        </w:tc>
        <w:tc>
          <w:tcPr>
            <w:tcW w:w="1985" w:type="dxa"/>
          </w:tcPr>
          <w:p w14:paraId="118CE65F" w14:textId="77777777" w:rsidR="002C6B67" w:rsidRDefault="002C6B67" w:rsidP="00CF3643">
            <w:pPr>
              <w:rPr>
                <w:rFonts w:cstheme="minorHAnsi"/>
              </w:rPr>
            </w:pPr>
            <w:r>
              <w:rPr>
                <w:rFonts w:cstheme="minorHAnsi"/>
              </w:rPr>
              <w:t>Not applicable</w:t>
            </w:r>
          </w:p>
        </w:tc>
        <w:tc>
          <w:tcPr>
            <w:tcW w:w="3969" w:type="dxa"/>
          </w:tcPr>
          <w:p w14:paraId="656E8926" w14:textId="77777777" w:rsidR="002C6B67" w:rsidRDefault="002C6B67" w:rsidP="00CF3643">
            <w:pPr>
              <w:rPr>
                <w:rFonts w:cstheme="minorHAnsi"/>
              </w:rPr>
            </w:pPr>
            <w:r>
              <w:rPr>
                <w:rFonts w:cstheme="minorHAnsi"/>
              </w:rPr>
              <w:t>Clinical presentation, risk factors and management of CMEX.</w:t>
            </w:r>
          </w:p>
        </w:tc>
        <w:tc>
          <w:tcPr>
            <w:tcW w:w="992" w:type="dxa"/>
          </w:tcPr>
          <w:p w14:paraId="5C907150" w14:textId="77777777" w:rsidR="002C6B67" w:rsidRDefault="002C6B67" w:rsidP="00CF3643">
            <w:pPr>
              <w:rPr>
                <w:rFonts w:cstheme="minorHAnsi"/>
              </w:rPr>
            </w:pPr>
            <w:r>
              <w:rPr>
                <w:rFonts w:cstheme="minorHAnsi"/>
              </w:rPr>
              <w:t>Good</w:t>
            </w:r>
          </w:p>
        </w:tc>
        <w:tc>
          <w:tcPr>
            <w:tcW w:w="1134" w:type="dxa"/>
          </w:tcPr>
          <w:p w14:paraId="2C57E33B" w14:textId="77777777" w:rsidR="002C6B67" w:rsidRDefault="002C6B67" w:rsidP="00CF3643">
            <w:pPr>
              <w:rPr>
                <w:rFonts w:cstheme="minorHAnsi"/>
              </w:rPr>
            </w:pPr>
            <w:r>
              <w:rPr>
                <w:rFonts w:cstheme="minorHAnsi"/>
              </w:rPr>
              <w:t>3a</w:t>
            </w:r>
          </w:p>
        </w:tc>
      </w:tr>
      <w:tr w:rsidR="002C6B67" w14:paraId="22C30EBF" w14:textId="77777777" w:rsidTr="00CF3643">
        <w:tc>
          <w:tcPr>
            <w:tcW w:w="2972" w:type="dxa"/>
          </w:tcPr>
          <w:p w14:paraId="35F74F3B" w14:textId="4E61C57C" w:rsidR="002C6B67" w:rsidRPr="009301DD" w:rsidRDefault="002C6B67" w:rsidP="00CF3643">
            <w:pPr>
              <w:rPr>
                <w:rFonts w:cstheme="minorHAnsi"/>
              </w:rPr>
            </w:pPr>
            <w:r w:rsidRPr="009301DD">
              <w:rPr>
                <w:rFonts w:cstheme="minorHAnsi"/>
              </w:rPr>
              <w:t>Schwab et al</w:t>
            </w:r>
            <w:r>
              <w:rPr>
                <w:rFonts w:cstheme="minorHAnsi"/>
              </w:rPr>
              <w:t xml:space="preserve">, </w:t>
            </w:r>
            <w:r w:rsidRPr="009301DD">
              <w:rPr>
                <w:rFonts w:cstheme="minorHAnsi"/>
              </w:rPr>
              <w:t>2009</w:t>
            </w:r>
            <w:r>
              <w:rPr>
                <w:rFonts w:cstheme="minorHAnsi"/>
              </w:rPr>
              <w:fldChar w:fldCharType="begin"/>
            </w:r>
            <w:r w:rsidR="00731981">
              <w:rPr>
                <w:rFonts w:cstheme="minorHAnsi"/>
              </w:rPr>
              <w:instrText xml:space="preserve"> ADDIN ZOTERO_ITEM CSL_CITATION {"citationID":"eYet4SvQ","properties":{"formattedCitation":"[20]","plainCitation":"[20]","noteIndex":0},"citationItems":[{"id":27,"uris":["http://zotero.org/users/2960325/items/WVM3NA53"],"uri":["http://zotero.org/users/2960325/items/WVM3NA53"],"itemData":{"id":27,"type":"article-journal","abstract":"PURPOSE: Modern examination protocols for computed tomography (CT) often require high injection rates of iodinated contrast media (CM). The purpose of this study was to evaluate the maximum achievable flow rates and stability of different peripheral intravenous catheters (IVC) in vitro and to assess the feasibility of higher injection rates through small IVC in vivo.\nMATERIALS AND METHODS: For in vitro experiments flow measurements followed by high pressure testing of different types of IVC (22, 20, and 18 gauge [G]) were performed. For the in vitro study 91 patients with already inserted 22 or 20G IVC who had been referred for CT received Iopamidol (300 mg iodine/ml) at flow rates between 2 and 5 ml/sec. Complications were documented.\nRESULTS: The maximal achievable flow rate of the tested IVC in vitro ranged from 5 to 8 ml/sec. No damage was observed during in vitro testing. The initially targeted in vivo flow rate was dropped in 33 of 91 (36 %) patients because the IVC could not be flushed adequately with saline before CM injection. Extravasation of CM occurred in 2 cases. In the remaining 58 patients the standard CT protocol was performed with flow rates of 3 ml/sec through 22G IVC and 5 ml/sec through 20G IVC, respectively. In this group, the extravasation of CM was observed twice (p &gt; 0.05).\nCONCLUSION: Even with highly viscous CM, high flow rates can be applied in vitro in 22, 20, and 18G IVC without risking material damage. In vivo power injection of iodinated CM through 22G and 20G IVC seems to be safely achievable in the majority of patients with flow rates of up to 3 ml/sec and 5 ml/sec. Extravasation rates do not differ significantly between patients with high-flow or low-flow injections.","container-title":"RoFo: Fortschritte Auf Dem Gebiete Der Rontgenstrahlen Und Der Nuklearmedizin","DOI":"10.1055/s-0028-1109181","ISSN":"1438-9010","issue":"4","journalAbbreviation":"Rofo","language":"eng","note":"PMID: 19280548","page":"355-361","source":"PubMed","title":"Peripheral intravenous power injection of iodinated contrast media through 22G and 20G cannulas: can high flow rates be achieved safely? A clinical feasibility study","title-short":"Peripheral intravenous power injection of iodinated contrast media through 22G and 20G cannulas","volume":"181","author":[{"family":"Schwab","given":"S. A."},{"family":"Uder","given":"M."},{"family":"Anders","given":"K."},{"family":"Heinrich","given":"M. C."},{"family":"Kuefner","given":"M. A."}],"issued":{"date-parts":[["2009",4]]}}}],"schema":"https://github.com/citation-style-language/schema/raw/master/csl-citation.json"} </w:instrText>
            </w:r>
            <w:r>
              <w:rPr>
                <w:rFonts w:cstheme="minorHAnsi"/>
              </w:rPr>
              <w:fldChar w:fldCharType="separate"/>
            </w:r>
            <w:r w:rsidR="00731981">
              <w:rPr>
                <w:rFonts w:cstheme="minorHAnsi"/>
                <w:noProof/>
              </w:rPr>
              <w:t>[20]</w:t>
            </w:r>
            <w:r>
              <w:rPr>
                <w:rFonts w:cstheme="minorHAnsi"/>
              </w:rPr>
              <w:fldChar w:fldCharType="end"/>
            </w:r>
          </w:p>
        </w:tc>
        <w:tc>
          <w:tcPr>
            <w:tcW w:w="1701" w:type="dxa"/>
          </w:tcPr>
          <w:p w14:paraId="6BA75549" w14:textId="77777777" w:rsidR="002C6B67" w:rsidRDefault="002C6B67" w:rsidP="00CF3643">
            <w:pPr>
              <w:rPr>
                <w:rFonts w:cstheme="minorHAnsi"/>
              </w:rPr>
            </w:pPr>
            <w:r>
              <w:rPr>
                <w:rFonts w:cstheme="minorHAnsi"/>
              </w:rPr>
              <w:t>Prospective</w:t>
            </w:r>
          </w:p>
        </w:tc>
        <w:tc>
          <w:tcPr>
            <w:tcW w:w="1701" w:type="dxa"/>
          </w:tcPr>
          <w:p w14:paraId="0D7FBCF8" w14:textId="77777777" w:rsidR="002C6B67" w:rsidRDefault="002C6B67" w:rsidP="00CF3643">
            <w:pPr>
              <w:rPr>
                <w:rFonts w:cstheme="minorHAnsi"/>
              </w:rPr>
            </w:pPr>
            <w:r>
              <w:rPr>
                <w:rFonts w:cstheme="minorHAnsi"/>
              </w:rPr>
              <w:t>Adults</w:t>
            </w:r>
          </w:p>
          <w:p w14:paraId="78813BD9" w14:textId="77777777" w:rsidR="002C6B67" w:rsidRDefault="002C6B67" w:rsidP="00CF3643">
            <w:pPr>
              <w:rPr>
                <w:rFonts w:cstheme="minorHAnsi"/>
              </w:rPr>
            </w:pPr>
            <w:r>
              <w:rPr>
                <w:rFonts w:cstheme="minorHAnsi"/>
              </w:rPr>
              <w:t>And in-vitro experiment</w:t>
            </w:r>
          </w:p>
        </w:tc>
        <w:tc>
          <w:tcPr>
            <w:tcW w:w="1985" w:type="dxa"/>
          </w:tcPr>
          <w:p w14:paraId="10E1F829" w14:textId="77777777" w:rsidR="002C6B67" w:rsidRDefault="002C6B67" w:rsidP="00CF3643">
            <w:pPr>
              <w:rPr>
                <w:rFonts w:cstheme="minorHAnsi"/>
              </w:rPr>
            </w:pPr>
            <w:r>
              <w:rPr>
                <w:rFonts w:cstheme="minorHAnsi"/>
              </w:rPr>
              <w:t>2 / 58 (3.5)</w:t>
            </w:r>
          </w:p>
        </w:tc>
        <w:tc>
          <w:tcPr>
            <w:tcW w:w="3969" w:type="dxa"/>
          </w:tcPr>
          <w:p w14:paraId="47F9E7FA" w14:textId="77777777" w:rsidR="002C6B67" w:rsidRDefault="002C6B67" w:rsidP="00CF3643">
            <w:pPr>
              <w:rPr>
                <w:rFonts w:cstheme="minorHAnsi"/>
              </w:rPr>
            </w:pPr>
            <w:r>
              <w:rPr>
                <w:rFonts w:cstheme="minorHAnsi"/>
              </w:rPr>
              <w:t>Comparison of catheter gauges on CMEX and flow rates.</w:t>
            </w:r>
          </w:p>
        </w:tc>
        <w:tc>
          <w:tcPr>
            <w:tcW w:w="992" w:type="dxa"/>
          </w:tcPr>
          <w:p w14:paraId="59454CAB" w14:textId="77777777" w:rsidR="002C6B67" w:rsidRDefault="002C6B67" w:rsidP="00CF3643">
            <w:pPr>
              <w:rPr>
                <w:rFonts w:cstheme="minorHAnsi"/>
              </w:rPr>
            </w:pPr>
            <w:r>
              <w:rPr>
                <w:rFonts w:cstheme="minorHAnsi"/>
              </w:rPr>
              <w:t>Fair</w:t>
            </w:r>
          </w:p>
        </w:tc>
        <w:tc>
          <w:tcPr>
            <w:tcW w:w="1134" w:type="dxa"/>
          </w:tcPr>
          <w:p w14:paraId="529B16B5" w14:textId="77777777" w:rsidR="002C6B67" w:rsidRDefault="002C6B67" w:rsidP="00CF3643">
            <w:pPr>
              <w:rPr>
                <w:rFonts w:cstheme="minorHAnsi"/>
              </w:rPr>
            </w:pPr>
            <w:r>
              <w:rPr>
                <w:rFonts w:cstheme="minorHAnsi"/>
              </w:rPr>
              <w:t>4</w:t>
            </w:r>
          </w:p>
        </w:tc>
      </w:tr>
      <w:tr w:rsidR="002C6B67" w14:paraId="6DFDF6D9" w14:textId="77777777" w:rsidTr="00CF3643">
        <w:tc>
          <w:tcPr>
            <w:tcW w:w="2972" w:type="dxa"/>
          </w:tcPr>
          <w:p w14:paraId="30198BEE" w14:textId="7E53702A" w:rsidR="002C6B67" w:rsidRPr="009301DD" w:rsidRDefault="002C6B67" w:rsidP="00CF3643">
            <w:pPr>
              <w:rPr>
                <w:rFonts w:cstheme="minorHAnsi"/>
              </w:rPr>
            </w:pPr>
            <w:r w:rsidRPr="009301DD">
              <w:rPr>
                <w:rFonts w:cstheme="minorHAnsi"/>
              </w:rPr>
              <w:t>Sbitany et al</w:t>
            </w:r>
            <w:r>
              <w:rPr>
                <w:rFonts w:cstheme="minorHAnsi"/>
              </w:rPr>
              <w:t xml:space="preserve">, </w:t>
            </w:r>
            <w:r w:rsidRPr="009301DD">
              <w:rPr>
                <w:rFonts w:cstheme="minorHAnsi"/>
              </w:rPr>
              <w:t>2010</w:t>
            </w:r>
            <w:r>
              <w:rPr>
                <w:rFonts w:cstheme="minorHAnsi"/>
              </w:rPr>
              <w:fldChar w:fldCharType="begin"/>
            </w:r>
            <w:r w:rsidR="00731981">
              <w:rPr>
                <w:rFonts w:cstheme="minorHAnsi"/>
              </w:rPr>
              <w:instrText xml:space="preserve"> ADDIN ZOTERO_ITEM CSL_CITATION {"citationID":"eWCbsgb1","properties":{"formattedCitation":"[21]","plainCitation":"[21]","noteIndex":0},"citationItems":[{"id":28,"uris":["http://zotero.org/users/2960325/items/UQ6MM63X"],"uri":["http://zotero.org/users/2960325/items/UQ6MM63X"],"itemData":{"id":28,"type":"article-journal","abstract":"INTRODUCTION: Extravasation of CT scan contrast media into upper extremity subcutaneous tissue is a relatively frequent complication of injection. Potential sequelae of extravasation include compartment syndrome, skin sloughing, and necrosis. Many institutions institute protocols requiring inpatient plastic surgery consultations immediately following extravasation injury to the upper extremity. We hypothesize that conversion to non-ionic contrast media for contrast CT studies has greatly reduced the incidence of severe extravasation injuries, and may alleviate the need for routine hand surgery consultations.\nMETHODS: Records from 102 consecutive CT contrast media extravasation injuries were identified. Data acquired from a single institution included type and amount of contrast extravasated, anatomic location, post-procedural clinical symptoms, whether consult was obtained, and final recommendations and outcome.\nRESULTS: In 102 consecutive cases, immediate surgical therapy was necessary in 0. Non-ionic medium was used in 94% of these cases, and ionic dye was used in 6%. Extravasation of less than 100 cc occurred in 90%, and only 10% were greater. Plastic surgery consultation was immediately obtained in 42% of cases. Factors prompting consultation included extravasation &gt;30 cc, and the presence of erythema or induration. Trends for consultation remained without discernable pattern when patients were stratified by age, amount of extravasate, or anatomic location. Conservative management was recommended in all cases. This included elevation of the extremity, frequent pulse and sensation exams, local message, and temporary splinting. There were no secondary complications requiring surgical intervention.\nCONCLUSIONS: Extravasation of non-ionic CT contrast media appears to be innocuous and can be treated with conservative therapy. Plastic surgery consultation should be obtained when there are obvious signs of skin and soft tissue compromise or symptoms of compartment syndrome.","container-title":"International Journal of Surgery (London, England)","DOI":"10.1016/j.ijsu.2010.06.002","ISSN":"1743-9159","issue":"5","journalAbbreviation":"Int J Surg","language":"eng","note":"PMID: 20541631","page":"384-386","source":"PubMed","title":"CT contrast extravasation in the upper extremity: strategies for management","title-short":"CT contrast extravasation in the upper extremity","volume":"8","author":[{"family":"Sbitany","given":"Hani"},{"family":"Koltz","given":"Peter F."},{"family":"Mays","given":"Chester"},{"family":"Girotto","given":"John A."},{"family":"Langstein","given":"Howard N."}],"issued":{"date-parts":[["2010"]]}}}],"schema":"https://github.com/citation-style-language/schema/raw/master/csl-citation.json"} </w:instrText>
            </w:r>
            <w:r>
              <w:rPr>
                <w:rFonts w:cstheme="minorHAnsi"/>
              </w:rPr>
              <w:fldChar w:fldCharType="separate"/>
            </w:r>
            <w:r w:rsidR="00731981">
              <w:rPr>
                <w:rFonts w:cstheme="minorHAnsi"/>
                <w:noProof/>
              </w:rPr>
              <w:t>[21]</w:t>
            </w:r>
            <w:r>
              <w:rPr>
                <w:rFonts w:cstheme="minorHAnsi"/>
              </w:rPr>
              <w:fldChar w:fldCharType="end"/>
            </w:r>
          </w:p>
        </w:tc>
        <w:tc>
          <w:tcPr>
            <w:tcW w:w="1701" w:type="dxa"/>
          </w:tcPr>
          <w:p w14:paraId="5F19FB6E" w14:textId="77777777" w:rsidR="002C6B67" w:rsidRDefault="002C6B67" w:rsidP="00CF3643">
            <w:pPr>
              <w:rPr>
                <w:rFonts w:cstheme="minorHAnsi"/>
              </w:rPr>
            </w:pPr>
            <w:r>
              <w:rPr>
                <w:rFonts w:cstheme="minorHAnsi"/>
              </w:rPr>
              <w:t>Retrospective</w:t>
            </w:r>
          </w:p>
        </w:tc>
        <w:tc>
          <w:tcPr>
            <w:tcW w:w="1701" w:type="dxa"/>
          </w:tcPr>
          <w:p w14:paraId="02CFA03A" w14:textId="77777777" w:rsidR="002C6B67" w:rsidRDefault="002C6B67" w:rsidP="00CF3643">
            <w:pPr>
              <w:rPr>
                <w:rFonts w:cstheme="minorHAnsi"/>
              </w:rPr>
            </w:pPr>
            <w:r>
              <w:rPr>
                <w:rFonts w:cstheme="minorHAnsi"/>
              </w:rPr>
              <w:t>Adults</w:t>
            </w:r>
          </w:p>
        </w:tc>
        <w:tc>
          <w:tcPr>
            <w:tcW w:w="1985" w:type="dxa"/>
          </w:tcPr>
          <w:p w14:paraId="72428ECF" w14:textId="77777777" w:rsidR="002C6B67" w:rsidRDefault="002C6B67" w:rsidP="00CF3643">
            <w:pPr>
              <w:rPr>
                <w:rFonts w:cstheme="minorHAnsi"/>
              </w:rPr>
            </w:pPr>
            <w:r>
              <w:rPr>
                <w:rFonts w:cstheme="minorHAnsi"/>
              </w:rPr>
              <w:t>Not applicable</w:t>
            </w:r>
          </w:p>
        </w:tc>
        <w:tc>
          <w:tcPr>
            <w:tcW w:w="3969" w:type="dxa"/>
          </w:tcPr>
          <w:p w14:paraId="7E6D8ED0" w14:textId="77777777" w:rsidR="002C6B67" w:rsidRDefault="002C6B67" w:rsidP="00CF3643">
            <w:pPr>
              <w:rPr>
                <w:rFonts w:cstheme="minorHAnsi"/>
              </w:rPr>
            </w:pPr>
            <w:r>
              <w:rPr>
                <w:rFonts w:cstheme="minorHAnsi"/>
              </w:rPr>
              <w:t>Ionic vs. non-ionic CM on incidence and management outcomes of CMEX</w:t>
            </w:r>
          </w:p>
        </w:tc>
        <w:tc>
          <w:tcPr>
            <w:tcW w:w="992" w:type="dxa"/>
          </w:tcPr>
          <w:p w14:paraId="4C0CBCD2" w14:textId="77777777" w:rsidR="002C6B67" w:rsidRDefault="002C6B67" w:rsidP="00CF3643">
            <w:pPr>
              <w:rPr>
                <w:rFonts w:cstheme="minorHAnsi"/>
              </w:rPr>
            </w:pPr>
            <w:r>
              <w:rPr>
                <w:rFonts w:cstheme="minorHAnsi"/>
              </w:rPr>
              <w:t>Fair</w:t>
            </w:r>
          </w:p>
        </w:tc>
        <w:tc>
          <w:tcPr>
            <w:tcW w:w="1134" w:type="dxa"/>
          </w:tcPr>
          <w:p w14:paraId="1FB4967D" w14:textId="77777777" w:rsidR="002C6B67" w:rsidRDefault="002C6B67" w:rsidP="00CF3643">
            <w:pPr>
              <w:rPr>
                <w:rFonts w:cstheme="minorHAnsi"/>
              </w:rPr>
            </w:pPr>
            <w:r>
              <w:rPr>
                <w:rFonts w:cstheme="minorHAnsi"/>
              </w:rPr>
              <w:t>4</w:t>
            </w:r>
          </w:p>
        </w:tc>
      </w:tr>
      <w:tr w:rsidR="002C6B67" w14:paraId="592BBAA7" w14:textId="77777777" w:rsidTr="00CF3643">
        <w:tc>
          <w:tcPr>
            <w:tcW w:w="2972" w:type="dxa"/>
          </w:tcPr>
          <w:p w14:paraId="42F3E0F0" w14:textId="0F87401F" w:rsidR="002C6B67" w:rsidRPr="009301DD" w:rsidRDefault="002C6B67" w:rsidP="00CF3643">
            <w:pPr>
              <w:rPr>
                <w:rFonts w:cstheme="minorHAnsi"/>
              </w:rPr>
            </w:pPr>
            <w:proofErr w:type="spellStart"/>
            <w:r>
              <w:rPr>
                <w:rFonts w:cstheme="minorHAnsi"/>
              </w:rPr>
              <w:t>Schummer</w:t>
            </w:r>
            <w:proofErr w:type="spellEnd"/>
            <w:r>
              <w:rPr>
                <w:rFonts w:cstheme="minorHAnsi"/>
              </w:rPr>
              <w:t xml:space="preserve"> et al, 2010</w:t>
            </w:r>
            <w:r>
              <w:rPr>
                <w:rFonts w:cstheme="minorHAnsi"/>
              </w:rPr>
              <w:fldChar w:fldCharType="begin"/>
            </w:r>
            <w:r w:rsidR="00731981">
              <w:rPr>
                <w:rFonts w:cstheme="minorHAnsi"/>
              </w:rPr>
              <w:instrText xml:space="preserve"> ADDIN ZOTERO_ITEM CSL_CITATION {"citationID":"1i8MDdBL","properties":{"formattedCitation":"[22]","plainCitation":"[22]","noteIndex":0},"citationItems":[{"id":3,"uris":["http://zotero.org/users/2960325/items/I88QSCPG"],"uri":["http://zotero.org/users/2960325/items/I88QSCPG"],"itemData":{"id":3,"type":"article-journal","abstract":"PURPOSE: Multilumen central venous catheters (CVCs) are not commonly used for power injection. However, in critically ill patients, CVCs-- most of which do not have FDA approval for power injection--may be the only available venous access.\nMATERIALS AND METHODS: The pitfalls of multilumen CVCs are illustrated by a case report of a patient in whom extravasation of intravenously administered contrast medium occurred after power injection in a triple-lumen CVC using the lumen with the port furthest from the catheter tip.\nRESULTS: The underlying mechanisms for the displacement of the initially correctly placed right subclavian CVC could include elevation of both arms of the obese patient or the power injection itself. The distances between port openings and catheter tips of various commercially available multilumen CVCs are assessed. We examine the possible caveats of ECG-guided CVC placement for optimal tip position, discuss technical difficulties related to power injection via CVCs, and review commonly used drugs that may cause extravasation injury.\nCONCLUSION: Knowledge of the distances between CVC port openings and the catheter tip are essential for safe intravasal administration of fluids.","container-title":"RoFo: Fortschritte Auf Dem Gebiete Der Rontgenstrahlen Und Der Nuklearmedizin","DOI":"10.1055/s-0028-1109742","ISSN":"1438-9010","issue":"1","journalAbbreviation":"Rofo","language":"eng","note":"PMID: 19859861","page":"14-19","source":"PubMed","title":"Risk of extravasation after power injection of contrast media via the proximal port of multilumen central venous catheters: case report and review of the literature","title-short":"Risk of extravasation after power injection of contrast media via the proximal port of multilumen central venous catheters","volume":"182","author":[{"family":"Schummer","given":"C."},{"family":"Sakr","given":"Y."},{"family":"Steenbeck","given":"J."},{"family":"Gugel","given":"M."},{"family":"Reinhart","given":"K."},{"family":"Schummer","given":"W."}],"issued":{"date-parts":[["2010",1]]}}}],"schema":"https://github.com/citation-style-language/schema/raw/master/csl-citation.json"} </w:instrText>
            </w:r>
            <w:r>
              <w:rPr>
                <w:rFonts w:cstheme="minorHAnsi"/>
              </w:rPr>
              <w:fldChar w:fldCharType="separate"/>
            </w:r>
            <w:r w:rsidR="00731981">
              <w:rPr>
                <w:rFonts w:cstheme="minorHAnsi"/>
                <w:noProof/>
              </w:rPr>
              <w:t>[22]</w:t>
            </w:r>
            <w:r>
              <w:rPr>
                <w:rFonts w:cstheme="minorHAnsi"/>
              </w:rPr>
              <w:fldChar w:fldCharType="end"/>
            </w:r>
          </w:p>
        </w:tc>
        <w:tc>
          <w:tcPr>
            <w:tcW w:w="1701" w:type="dxa"/>
          </w:tcPr>
          <w:p w14:paraId="210925A4" w14:textId="77777777" w:rsidR="002C6B67" w:rsidRDefault="002C6B67" w:rsidP="00CF3643">
            <w:pPr>
              <w:rPr>
                <w:rFonts w:cstheme="minorHAnsi"/>
              </w:rPr>
            </w:pPr>
            <w:r>
              <w:rPr>
                <w:rFonts w:cstheme="minorHAnsi"/>
              </w:rPr>
              <w:t>Case-report</w:t>
            </w:r>
          </w:p>
        </w:tc>
        <w:tc>
          <w:tcPr>
            <w:tcW w:w="1701" w:type="dxa"/>
          </w:tcPr>
          <w:p w14:paraId="76F5BEDF" w14:textId="77777777" w:rsidR="002C6B67" w:rsidRDefault="002C6B67" w:rsidP="00CF3643">
            <w:pPr>
              <w:rPr>
                <w:rFonts w:cstheme="minorHAnsi"/>
              </w:rPr>
            </w:pPr>
            <w:r>
              <w:rPr>
                <w:rFonts w:cstheme="minorHAnsi"/>
              </w:rPr>
              <w:t>Adult</w:t>
            </w:r>
          </w:p>
        </w:tc>
        <w:tc>
          <w:tcPr>
            <w:tcW w:w="1985" w:type="dxa"/>
          </w:tcPr>
          <w:p w14:paraId="4CA856FD" w14:textId="77777777" w:rsidR="002C6B67" w:rsidRDefault="002C6B67" w:rsidP="00CF3643">
            <w:pPr>
              <w:rPr>
                <w:rFonts w:cstheme="minorHAnsi"/>
              </w:rPr>
            </w:pPr>
            <w:r>
              <w:rPr>
                <w:rFonts w:cstheme="minorHAnsi"/>
              </w:rPr>
              <w:t>Not applicable</w:t>
            </w:r>
          </w:p>
        </w:tc>
        <w:tc>
          <w:tcPr>
            <w:tcW w:w="3969" w:type="dxa"/>
          </w:tcPr>
          <w:p w14:paraId="711E09FD" w14:textId="77777777" w:rsidR="002C6B67" w:rsidRDefault="002C6B67" w:rsidP="00CF3643">
            <w:pPr>
              <w:rPr>
                <w:rFonts w:cstheme="minorHAnsi"/>
              </w:rPr>
            </w:pPr>
            <w:r>
              <w:rPr>
                <w:rFonts w:cstheme="minorHAnsi"/>
              </w:rPr>
              <w:t>Multi-lumen CVC associated CMEX</w:t>
            </w:r>
          </w:p>
        </w:tc>
        <w:tc>
          <w:tcPr>
            <w:tcW w:w="992" w:type="dxa"/>
          </w:tcPr>
          <w:p w14:paraId="28722633" w14:textId="77777777" w:rsidR="002C6B67" w:rsidRDefault="002C6B67" w:rsidP="00CF3643">
            <w:pPr>
              <w:rPr>
                <w:rFonts w:cstheme="minorHAnsi"/>
              </w:rPr>
            </w:pPr>
            <w:r>
              <w:rPr>
                <w:rFonts w:cstheme="minorHAnsi"/>
              </w:rPr>
              <w:t>Fair</w:t>
            </w:r>
          </w:p>
        </w:tc>
        <w:tc>
          <w:tcPr>
            <w:tcW w:w="1134" w:type="dxa"/>
          </w:tcPr>
          <w:p w14:paraId="3E302C99" w14:textId="77777777" w:rsidR="002C6B67" w:rsidRDefault="002C6B67" w:rsidP="00CF3643">
            <w:pPr>
              <w:rPr>
                <w:rFonts w:cstheme="minorHAnsi"/>
              </w:rPr>
            </w:pPr>
            <w:r>
              <w:rPr>
                <w:rFonts w:cstheme="minorHAnsi"/>
              </w:rPr>
              <w:t>4</w:t>
            </w:r>
          </w:p>
        </w:tc>
      </w:tr>
      <w:tr w:rsidR="002C6B67" w14:paraId="518AC500" w14:textId="77777777" w:rsidTr="00CF3643">
        <w:tc>
          <w:tcPr>
            <w:tcW w:w="2972" w:type="dxa"/>
          </w:tcPr>
          <w:p w14:paraId="7DA48709" w14:textId="2B2AD88C" w:rsidR="002C6B67" w:rsidRPr="009301DD" w:rsidRDefault="002C6B67" w:rsidP="00CF3643">
            <w:pPr>
              <w:rPr>
                <w:rFonts w:cstheme="minorHAnsi"/>
              </w:rPr>
            </w:pPr>
            <w:r w:rsidRPr="009301DD">
              <w:rPr>
                <w:rFonts w:cstheme="minorHAnsi"/>
              </w:rPr>
              <w:t>Wienbeck et al</w:t>
            </w:r>
            <w:r>
              <w:rPr>
                <w:rFonts w:cstheme="minorHAnsi"/>
              </w:rPr>
              <w:t xml:space="preserve">, </w:t>
            </w:r>
            <w:r w:rsidRPr="009301DD">
              <w:rPr>
                <w:rFonts w:cstheme="minorHAnsi"/>
              </w:rPr>
              <w:t>2010</w:t>
            </w:r>
            <w:r>
              <w:rPr>
                <w:rFonts w:cstheme="minorHAnsi"/>
              </w:rPr>
              <w:fldChar w:fldCharType="begin"/>
            </w:r>
            <w:r w:rsidR="00731981">
              <w:rPr>
                <w:rFonts w:cstheme="minorHAnsi"/>
              </w:rPr>
              <w:instrText xml:space="preserve"> ADDIN ZOTERO_ITEM CSL_CITATION {"citationID":"jlT7QTGW","properties":{"formattedCitation":"[23]","plainCitation":"[23]","noteIndex":0},"citationItems":[{"id":17,"uris":["http://zotero.org/users/2960325/items/RM8LQX8G"],"uri":["http://zotero.org/users/2960325/items/RM8LQX8G"],"itemData":{"id":17,"type":"article-journal","abstract":"OBJECTIVE: The purpose of this article is to prospectively assess the frequency and type of IV injection site complications associated with high-flow power injection of nonionic contrast medium in MDCT.\nSUBJECTS AND METHODS: Contrast-enhanced (300-370 mg iodine/mL) MDCT examinations with high flow rates (up to 8 mL/s) using automatic CT injectors were performed according to standardized MDCT protocols. The location, type, and size (16-24 gauge) of IV catheters and volumes, iodine concentration, and flow rates of contrast medium were documented. Patients were questioned about associated discomfort, IV catheter sites were checked, and adverse effects were recorded.\nRESULTS: Prospectively, 4,457 patients were studied. The injection rate ranged from 1-2.9 mL/s (group 1; n = 1,140) to 3-4.9 mL/s (group 2; n = 2,536) to 5-8 mL/s (group 3; n = 781); 1.2% of the patients experienced extravasations (n = 52). Contrast medium iodine concentration, flow rates, and volumes were not related to the frequency of extravasation. The extravasation rate was highest with 22-gauge IV catheters (2.2%; p &lt; 0.05) independently of the anatomic location. For 20-gauge IV catheters, extravasation rates were significantly higher in the dorsum of the hand than in the antecubital fossa (1.8% vs 0.8%; p = 0.018). Extravasation rates were higher in older patients (≥ 50 vs &lt; 50 years, 0.6% vs 1.4%; p = 0.019). Different iodine concentrations did not trigger significant differences in contrast material reactions (p = 0.782).\nCONCLUSION: Automated IV contrast injection applying high flow rates (i.e., up to 8 mL/s) is performed without increased risk of extravasation. The overall extravasation rate was 1.2% and showed no correlation with iodine concentration, flow rates, or contrast material reactions. Performing high flow rates with low-diameter IV catheters (e.g., 22-gauge catheters) and a location of IV catheter in the hand is associated with a higher extravasation rate.","container-title":"AJR. American journal of roentgenology","DOI":"10.2214/AJR.09.3739","ISSN":"1546-3141","issue":"4","journalAbbreviation":"AJR Am J Roentgenol","language":"eng","note":"PMID: 20858804","page":"825-829","source":"PubMed","title":"Prospective study of access site complications of automated contrast injection with peripheral venous access in MDCT","volume":"195","author":[{"family":"Wienbeck","given":"Susanne"},{"family":"Fischbach","given":"Roman"},{"family":"Kloska","given":"Stephan P."},{"family":"Seidensticker","given":"Peter"},{"family":"Osada","given":"Noriaki"},{"family":"Heindel","given":"Walter"},{"family":"Juergens","given":"Kai U."}],"issued":{"date-parts":[["2010",10]]}}}],"schema":"https://github.com/citation-style-language/schema/raw/master/csl-citation.json"} </w:instrText>
            </w:r>
            <w:r>
              <w:rPr>
                <w:rFonts w:cstheme="minorHAnsi"/>
              </w:rPr>
              <w:fldChar w:fldCharType="separate"/>
            </w:r>
            <w:r w:rsidR="00731981">
              <w:rPr>
                <w:rFonts w:cstheme="minorHAnsi"/>
                <w:noProof/>
              </w:rPr>
              <w:t>[23]</w:t>
            </w:r>
            <w:r>
              <w:rPr>
                <w:rFonts w:cstheme="minorHAnsi"/>
              </w:rPr>
              <w:fldChar w:fldCharType="end"/>
            </w:r>
          </w:p>
        </w:tc>
        <w:tc>
          <w:tcPr>
            <w:tcW w:w="1701" w:type="dxa"/>
          </w:tcPr>
          <w:p w14:paraId="2BDD5377" w14:textId="77777777" w:rsidR="002C6B67" w:rsidRDefault="002C6B67" w:rsidP="00CF3643">
            <w:pPr>
              <w:rPr>
                <w:rFonts w:cstheme="minorHAnsi"/>
              </w:rPr>
            </w:pPr>
            <w:r>
              <w:rPr>
                <w:rFonts w:cstheme="minorHAnsi"/>
              </w:rPr>
              <w:t>Prospective</w:t>
            </w:r>
          </w:p>
        </w:tc>
        <w:tc>
          <w:tcPr>
            <w:tcW w:w="1701" w:type="dxa"/>
          </w:tcPr>
          <w:p w14:paraId="64D7C4FC" w14:textId="77777777" w:rsidR="002C6B67" w:rsidRDefault="002C6B67" w:rsidP="00CF3643">
            <w:pPr>
              <w:rPr>
                <w:rFonts w:cstheme="minorHAnsi"/>
              </w:rPr>
            </w:pPr>
            <w:r>
              <w:rPr>
                <w:rFonts w:cstheme="minorHAnsi"/>
              </w:rPr>
              <w:t>Adults</w:t>
            </w:r>
          </w:p>
        </w:tc>
        <w:tc>
          <w:tcPr>
            <w:tcW w:w="1985" w:type="dxa"/>
          </w:tcPr>
          <w:p w14:paraId="44ACDFB2" w14:textId="77777777" w:rsidR="002C6B67" w:rsidRDefault="002C6B67" w:rsidP="00CF3643">
            <w:pPr>
              <w:rPr>
                <w:rFonts w:cstheme="minorHAnsi"/>
              </w:rPr>
            </w:pPr>
            <w:r>
              <w:rPr>
                <w:rFonts w:cstheme="minorHAnsi"/>
              </w:rPr>
              <w:t>52 / 4457 (1.2)</w:t>
            </w:r>
          </w:p>
        </w:tc>
        <w:tc>
          <w:tcPr>
            <w:tcW w:w="3969" w:type="dxa"/>
          </w:tcPr>
          <w:p w14:paraId="370E9BF0" w14:textId="77777777" w:rsidR="002C6B67" w:rsidRDefault="002C6B67" w:rsidP="00CF3643">
            <w:pPr>
              <w:rPr>
                <w:rFonts w:cstheme="minorHAnsi"/>
              </w:rPr>
            </w:pPr>
            <w:r>
              <w:rPr>
                <w:rFonts w:cstheme="minorHAnsi"/>
              </w:rPr>
              <w:t xml:space="preserve">Non-ionic CM, </w:t>
            </w:r>
            <w:proofErr w:type="gramStart"/>
            <w:r>
              <w:rPr>
                <w:rFonts w:cstheme="minorHAnsi"/>
              </w:rPr>
              <w:t>frequency</w:t>
            </w:r>
            <w:proofErr w:type="gramEnd"/>
            <w:r>
              <w:rPr>
                <w:rFonts w:cstheme="minorHAnsi"/>
              </w:rPr>
              <w:t xml:space="preserve"> and type of injection site complications with use of automated power injector</w:t>
            </w:r>
          </w:p>
        </w:tc>
        <w:tc>
          <w:tcPr>
            <w:tcW w:w="992" w:type="dxa"/>
          </w:tcPr>
          <w:p w14:paraId="46810BB9" w14:textId="77777777" w:rsidR="002C6B67" w:rsidRDefault="002C6B67" w:rsidP="00CF3643">
            <w:pPr>
              <w:rPr>
                <w:rFonts w:cstheme="minorHAnsi"/>
              </w:rPr>
            </w:pPr>
            <w:r>
              <w:rPr>
                <w:rFonts w:cstheme="minorHAnsi"/>
              </w:rPr>
              <w:t>Good</w:t>
            </w:r>
          </w:p>
        </w:tc>
        <w:tc>
          <w:tcPr>
            <w:tcW w:w="1134" w:type="dxa"/>
          </w:tcPr>
          <w:p w14:paraId="5FAB8143" w14:textId="77777777" w:rsidR="002C6B67" w:rsidRDefault="002C6B67" w:rsidP="00CF3643">
            <w:pPr>
              <w:rPr>
                <w:rFonts w:cstheme="minorHAnsi"/>
              </w:rPr>
            </w:pPr>
            <w:r>
              <w:rPr>
                <w:rFonts w:cstheme="minorHAnsi"/>
              </w:rPr>
              <w:t>4</w:t>
            </w:r>
          </w:p>
        </w:tc>
      </w:tr>
      <w:tr w:rsidR="002C6B67" w14:paraId="5ECCDA0B" w14:textId="77777777" w:rsidTr="00CF3643">
        <w:tc>
          <w:tcPr>
            <w:tcW w:w="2972" w:type="dxa"/>
          </w:tcPr>
          <w:p w14:paraId="53B46CC9" w14:textId="1671BFF2" w:rsidR="002C6B67" w:rsidRPr="009301DD" w:rsidRDefault="002C6B67" w:rsidP="00CF3643">
            <w:pPr>
              <w:rPr>
                <w:rFonts w:cstheme="minorHAnsi"/>
              </w:rPr>
            </w:pPr>
            <w:proofErr w:type="spellStart"/>
            <w:r w:rsidRPr="00EB2A8A">
              <w:t>Belzunegui</w:t>
            </w:r>
            <w:proofErr w:type="spellEnd"/>
            <w:r>
              <w:t xml:space="preserve"> et al, 2011</w:t>
            </w:r>
            <w:r>
              <w:fldChar w:fldCharType="begin"/>
            </w:r>
            <w:r w:rsidR="00731981">
              <w:instrText xml:space="preserve"> ADDIN ZOTERO_ITEM CSL_CITATION {"citationID":"EWjH5FLh","properties":{"formattedCitation":"[24]","plainCitation":"[24]","noteIndex":0},"citationItems":[{"id":5,"uris":["http://zotero.org/users/2960325/items/7C6EC8KK"],"uri":["http://zotero.org/users/2960325/items/7C6EC8KK"],"itemData":{"id":5,"type":"article-journal","abstract":"Radiocontrast agents are a type of medical contrast material used to improve the visibility of internal bodily structures in X-ray based imaging techniques such as computed tomography (CT) or radiography. Radiocontrast agents are typically iodine or barium compounds.Extravasation of contrast is a possible complication of imaging studies performed with contrasts. Most extravasations cause minimal swelling or erythema, however, skin necrosis, ulceration and compartment syndrome may occur with extravasation of large volumes of contrast. A case report is presented in which significant extravasation of contrast was caused while injecting the contrast intravenously into the back of the hand of a 50 year old patient during computed tomography. The patient was undergoing chemotherapy. The patient developed a compartment syndrome and a fasciotomy was required. Treatment options are outlined and emphasis is made on prevention of this iatrogenic complication.Some of the preventive measures to avoid these complications include use of non-ionic contrast (low osmolarity), careful choice of the site of intravenous administration, and close monitoring of the patient during injection of contrast to minimize or prevent extravasation injuries. Clear information to patients and prompt recognition of the complication can allow for other non-surgical treatment options than the one required in this case.","container-title":"Scandinavian Journal of Trauma, Resuscitation and Emergency Medicine","DOI":"10.1186/1757-7241-19-9","ISSN":"1757-7241","journalAbbreviation":"Scand J Trauma Resusc Emerg Med","language":"eng","note":"PMID: 21294896\nPMCID: PMC3044092","page":"9","source":"PubMed","title":"Extravasation of radiographic contrast material and compartment syndrome in the hand: a case report","title-short":"Extravasation of radiographic contrast material and compartment syndrome in the hand","volume":"19","author":[{"family":"Belzunegui","given":"Tomas"},{"family":"Louis","given":"Clint Jean"},{"family":"Torrededia","given":"Laura"},{"family":"Oteiza","given":"Julio"}],"issued":{"date-parts":[["2011",2,4]]}}}],"schema":"https://github.com/citation-style-language/schema/raw/master/csl-citation.json"} </w:instrText>
            </w:r>
            <w:r>
              <w:fldChar w:fldCharType="separate"/>
            </w:r>
            <w:r w:rsidR="00731981">
              <w:rPr>
                <w:noProof/>
              </w:rPr>
              <w:t>[24]</w:t>
            </w:r>
            <w:r>
              <w:fldChar w:fldCharType="end"/>
            </w:r>
          </w:p>
        </w:tc>
        <w:tc>
          <w:tcPr>
            <w:tcW w:w="1701" w:type="dxa"/>
          </w:tcPr>
          <w:p w14:paraId="4BBE486A" w14:textId="77777777" w:rsidR="002C6B67" w:rsidRDefault="002C6B67" w:rsidP="00CF3643">
            <w:pPr>
              <w:rPr>
                <w:rFonts w:cstheme="minorHAnsi"/>
              </w:rPr>
            </w:pPr>
            <w:r>
              <w:rPr>
                <w:rFonts w:cstheme="minorHAnsi"/>
              </w:rPr>
              <w:t>Case-report</w:t>
            </w:r>
          </w:p>
        </w:tc>
        <w:tc>
          <w:tcPr>
            <w:tcW w:w="1701" w:type="dxa"/>
          </w:tcPr>
          <w:p w14:paraId="5DECEBD7" w14:textId="77777777" w:rsidR="002C6B67" w:rsidRDefault="002C6B67" w:rsidP="00CF3643">
            <w:pPr>
              <w:rPr>
                <w:rFonts w:cstheme="minorHAnsi"/>
              </w:rPr>
            </w:pPr>
            <w:r>
              <w:rPr>
                <w:rFonts w:cstheme="minorHAnsi"/>
              </w:rPr>
              <w:t>Adult</w:t>
            </w:r>
          </w:p>
        </w:tc>
        <w:tc>
          <w:tcPr>
            <w:tcW w:w="1985" w:type="dxa"/>
          </w:tcPr>
          <w:p w14:paraId="65206F12" w14:textId="77777777" w:rsidR="002C6B67" w:rsidRDefault="002C6B67" w:rsidP="00CF3643">
            <w:pPr>
              <w:rPr>
                <w:rFonts w:cstheme="minorHAnsi"/>
              </w:rPr>
            </w:pPr>
            <w:r>
              <w:rPr>
                <w:rFonts w:cstheme="minorHAnsi"/>
              </w:rPr>
              <w:t>Not applicable</w:t>
            </w:r>
          </w:p>
        </w:tc>
        <w:tc>
          <w:tcPr>
            <w:tcW w:w="3969" w:type="dxa"/>
          </w:tcPr>
          <w:p w14:paraId="2851E8D2" w14:textId="77777777" w:rsidR="002C6B67" w:rsidRDefault="002C6B67" w:rsidP="00CF3643">
            <w:pPr>
              <w:rPr>
                <w:rFonts w:cstheme="minorHAnsi"/>
              </w:rPr>
            </w:pPr>
            <w:r>
              <w:rPr>
                <w:rFonts w:cstheme="minorHAnsi"/>
              </w:rPr>
              <w:t>Fasciotomy</w:t>
            </w:r>
          </w:p>
        </w:tc>
        <w:tc>
          <w:tcPr>
            <w:tcW w:w="992" w:type="dxa"/>
          </w:tcPr>
          <w:p w14:paraId="695D8D9D" w14:textId="77777777" w:rsidR="002C6B67" w:rsidRDefault="002C6B67" w:rsidP="00CF3643">
            <w:pPr>
              <w:rPr>
                <w:rFonts w:cstheme="minorHAnsi"/>
              </w:rPr>
            </w:pPr>
            <w:r>
              <w:rPr>
                <w:rFonts w:cstheme="minorHAnsi"/>
              </w:rPr>
              <w:t>Fair</w:t>
            </w:r>
          </w:p>
        </w:tc>
        <w:tc>
          <w:tcPr>
            <w:tcW w:w="1134" w:type="dxa"/>
          </w:tcPr>
          <w:p w14:paraId="450EAB42" w14:textId="77777777" w:rsidR="002C6B67" w:rsidRDefault="002C6B67" w:rsidP="00CF3643">
            <w:pPr>
              <w:rPr>
                <w:rFonts w:cstheme="minorHAnsi"/>
              </w:rPr>
            </w:pPr>
            <w:r>
              <w:rPr>
                <w:rFonts w:cstheme="minorHAnsi"/>
              </w:rPr>
              <w:t>4</w:t>
            </w:r>
          </w:p>
        </w:tc>
      </w:tr>
      <w:tr w:rsidR="002C6B67" w14:paraId="756DC558" w14:textId="77777777" w:rsidTr="00CF3643">
        <w:tc>
          <w:tcPr>
            <w:tcW w:w="2972" w:type="dxa"/>
          </w:tcPr>
          <w:p w14:paraId="73D5B461" w14:textId="77C34A49" w:rsidR="002C6B67" w:rsidRPr="00EB2A8A" w:rsidRDefault="002C6B67" w:rsidP="00CF3643">
            <w:r w:rsidRPr="00707F4C">
              <w:rPr>
                <w:rFonts w:cstheme="minorHAnsi"/>
              </w:rPr>
              <w:lastRenderedPageBreak/>
              <w:t>Wilson</w:t>
            </w:r>
            <w:r>
              <w:rPr>
                <w:rFonts w:cstheme="minorHAnsi"/>
              </w:rPr>
              <w:t xml:space="preserve">, </w:t>
            </w:r>
            <w:r w:rsidRPr="00707F4C">
              <w:rPr>
                <w:rFonts w:cstheme="minorHAnsi"/>
              </w:rPr>
              <w:t>2011</w:t>
            </w:r>
            <w:r>
              <w:rPr>
                <w:rFonts w:cstheme="minorHAnsi"/>
              </w:rPr>
              <w:fldChar w:fldCharType="begin"/>
            </w:r>
            <w:r w:rsidR="00731981">
              <w:rPr>
                <w:rFonts w:cstheme="minorHAnsi"/>
              </w:rPr>
              <w:instrText xml:space="preserve"> ADDIN ZOTERO_ITEM CSL_CITATION {"citationID":"IymedIoi","properties":{"formattedCitation":"[25]","plainCitation":"[25]","noteIndex":0},"citationItems":[{"id":45,"uris":["http://zotero.org/users/2960325/items/PDJSPCQB"],"uri":["http://zotero.org/users/2960325/items/PDJSPCQB"],"itemData":{"id":45,"type":"article-journal","abstract":"Intravascular (IV) contrast media are essential in many cases to enhance the diagnostic capabilities of medical imaging procedures. Much is known about the indications, contraindications, and adverse events associated with their use. This Directed Reading focuses on extravasation and IV contrast media-induced compartment syndrome, a less frequent, although serious, adverse event. In addition to describing the compartments within the forearm, wrist, and hand, the article explains how compartment syndrome develops, techniques used to treat the condition, and prevention strategies.","container-title":"Radiologic Technology","ISSN":"1943-5657","issue":"1","journalAbbreviation":"Radiol Technol","language":"eng","note":"PMID: 21908781","page":"63-77","source":"PubMed","title":"Contrast media-induced compartment syndrome","volume":"83","author":[{"family":"Wilson","given":"Bettye G."}],"issued":{"date-parts":[["2011",10]]}}}],"schema":"https://github.com/citation-style-language/schema/raw/master/csl-citation.json"} </w:instrText>
            </w:r>
            <w:r>
              <w:rPr>
                <w:rFonts w:cstheme="minorHAnsi"/>
              </w:rPr>
              <w:fldChar w:fldCharType="separate"/>
            </w:r>
            <w:r w:rsidR="00731981">
              <w:rPr>
                <w:rFonts w:cstheme="minorHAnsi"/>
                <w:noProof/>
              </w:rPr>
              <w:t>[25]</w:t>
            </w:r>
            <w:r>
              <w:rPr>
                <w:rFonts w:cstheme="minorHAnsi"/>
              </w:rPr>
              <w:fldChar w:fldCharType="end"/>
            </w:r>
          </w:p>
        </w:tc>
        <w:tc>
          <w:tcPr>
            <w:tcW w:w="1701" w:type="dxa"/>
          </w:tcPr>
          <w:p w14:paraId="6875EC04" w14:textId="77777777" w:rsidR="002C6B67" w:rsidRDefault="002C6B67" w:rsidP="00CF3643">
            <w:pPr>
              <w:rPr>
                <w:rFonts w:cstheme="minorHAnsi"/>
              </w:rPr>
            </w:pPr>
            <w:r>
              <w:rPr>
                <w:rFonts w:cstheme="minorHAnsi"/>
              </w:rPr>
              <w:t>Review article</w:t>
            </w:r>
          </w:p>
        </w:tc>
        <w:tc>
          <w:tcPr>
            <w:tcW w:w="1701" w:type="dxa"/>
          </w:tcPr>
          <w:p w14:paraId="0EEC3C2F" w14:textId="77777777" w:rsidR="002C6B67" w:rsidRDefault="002C6B67" w:rsidP="00CF3643">
            <w:pPr>
              <w:rPr>
                <w:rFonts w:cstheme="minorHAnsi"/>
              </w:rPr>
            </w:pPr>
            <w:r>
              <w:rPr>
                <w:rFonts w:cstheme="minorHAnsi"/>
              </w:rPr>
              <w:t>Adult</w:t>
            </w:r>
          </w:p>
        </w:tc>
        <w:tc>
          <w:tcPr>
            <w:tcW w:w="1985" w:type="dxa"/>
          </w:tcPr>
          <w:p w14:paraId="17CD8BAD" w14:textId="77777777" w:rsidR="002C6B67" w:rsidRDefault="002C6B67" w:rsidP="00CF3643">
            <w:pPr>
              <w:rPr>
                <w:rFonts w:cstheme="minorHAnsi"/>
              </w:rPr>
            </w:pPr>
            <w:r>
              <w:rPr>
                <w:rFonts w:cstheme="minorHAnsi"/>
              </w:rPr>
              <w:t>Not applicable</w:t>
            </w:r>
          </w:p>
        </w:tc>
        <w:tc>
          <w:tcPr>
            <w:tcW w:w="3969" w:type="dxa"/>
          </w:tcPr>
          <w:p w14:paraId="437432F4" w14:textId="77777777" w:rsidR="002C6B67" w:rsidRDefault="002C6B67" w:rsidP="00CF3643">
            <w:pPr>
              <w:rPr>
                <w:rFonts w:cstheme="minorHAnsi"/>
              </w:rPr>
            </w:pPr>
            <w:r>
              <w:rPr>
                <w:rFonts w:cstheme="minorHAnsi"/>
              </w:rPr>
              <w:t>Treatments of CMEX associated compartment syndrome</w:t>
            </w:r>
          </w:p>
        </w:tc>
        <w:tc>
          <w:tcPr>
            <w:tcW w:w="992" w:type="dxa"/>
          </w:tcPr>
          <w:p w14:paraId="5BD3A2F0" w14:textId="77777777" w:rsidR="002C6B67" w:rsidRDefault="002C6B67" w:rsidP="00CF3643">
            <w:pPr>
              <w:rPr>
                <w:rFonts w:cstheme="minorHAnsi"/>
              </w:rPr>
            </w:pPr>
            <w:r>
              <w:rPr>
                <w:rFonts w:cstheme="minorHAnsi"/>
              </w:rPr>
              <w:t>Fair</w:t>
            </w:r>
          </w:p>
        </w:tc>
        <w:tc>
          <w:tcPr>
            <w:tcW w:w="1134" w:type="dxa"/>
          </w:tcPr>
          <w:p w14:paraId="611ECB65" w14:textId="77777777" w:rsidR="002C6B67" w:rsidRDefault="002C6B67" w:rsidP="00CF3643">
            <w:pPr>
              <w:rPr>
                <w:rFonts w:cstheme="minorHAnsi"/>
              </w:rPr>
            </w:pPr>
            <w:r>
              <w:rPr>
                <w:rFonts w:cstheme="minorHAnsi"/>
              </w:rPr>
              <w:t>5</w:t>
            </w:r>
          </w:p>
        </w:tc>
      </w:tr>
      <w:tr w:rsidR="002C6B67" w14:paraId="6CC186B7" w14:textId="77777777" w:rsidTr="00CF3643">
        <w:tc>
          <w:tcPr>
            <w:tcW w:w="2972" w:type="dxa"/>
          </w:tcPr>
          <w:p w14:paraId="0F38B124" w14:textId="2E016212" w:rsidR="002C6B67" w:rsidRPr="00707F4C" w:rsidRDefault="002C6B67" w:rsidP="00CF3643">
            <w:pPr>
              <w:rPr>
                <w:rFonts w:cstheme="minorHAnsi"/>
              </w:rPr>
            </w:pPr>
            <w:r w:rsidRPr="009301DD">
              <w:rPr>
                <w:rFonts w:cstheme="minorHAnsi"/>
              </w:rPr>
              <w:t>Alexander &amp; Morrison</w:t>
            </w:r>
            <w:r>
              <w:rPr>
                <w:rFonts w:cstheme="minorHAnsi"/>
              </w:rPr>
              <w:t xml:space="preserve">, </w:t>
            </w:r>
            <w:r w:rsidRPr="009301DD">
              <w:rPr>
                <w:rFonts w:cstheme="minorHAnsi"/>
              </w:rPr>
              <w:t>2012</w:t>
            </w:r>
            <w:r>
              <w:rPr>
                <w:rFonts w:cstheme="minorHAnsi"/>
              </w:rPr>
              <w:t xml:space="preserve"> </w:t>
            </w:r>
            <w:r>
              <w:rPr>
                <w:rFonts w:cstheme="minorHAnsi"/>
              </w:rPr>
              <w:fldChar w:fldCharType="begin"/>
            </w:r>
            <w:r w:rsidR="00731981">
              <w:rPr>
                <w:rFonts w:cstheme="minorHAnsi"/>
              </w:rPr>
              <w:instrText xml:space="preserve"> ADDIN ZOTERO_ITEM CSL_CITATION {"citationID":"8jKJNvtO","properties":{"formattedCitation":"[26]","plainCitation":"[26]","noteIndex":0},"citationItems":[{"id":29,"uris":["http://zotero.org/users/2960325/items/DX3IK7MT"],"uri":["http://zotero.org/users/2960325/items/DX3IK7MT"],"itemData":{"id":29,"type":"article-journal","abstract":"PURPOSE: To determine the safety of power-injectable ports during placement, therapeutic use, and administration of intravenous contrast material using automated mechanical injectors.\nMETHODS: This retrospective, single institution study examined all patients undergoing placement of a power-injectable port between May 1, 2006 and June 30, 2010, with follow-up data collected through October 31, 2010. Electronic records and PACS were searched for patient demographics, placement indication, device placed, placement site, attending operator, and complications. The number of CECT scans performed for patients with indwelling ports, rate of port access for such studies, and contrast extravasation or device failure events during power injection of contrast were recorded and compared to the results of all other methods of venous access for CECT scans.\nRESULTS: In total, 313 ports were placed in 307 patients. Device dwell time ranged from 3 to 1506 days with a mean of 577. A total of 20 (6.5%) complications were identified during the study period, all of which were late. There was no statistically significant difference in complication rates between five attending operators. Patients with ports underwent 676 CECT scans during which the port was injected 142 times (20.9%). Neither extravasation nor device failure occurred during any scan, yielding no statistically significant difference when compared to the results of other venous access methods.\nCONCLUSIONS: Power-injectable tunneled catheters with attached subcutaneous ports are safe with low rates of complication during placement and dwell time. Power injection of contrast through these ports may be as safe as power injection using other venous access methods.","container-title":"The Journal of Vascular Access","DOI":"10.5301/jva.5000074","ISSN":"1724-6032","issue":"4","journalAbbreviation":"J Vasc Access","language":"eng","note":"PMID: 22610789","page":"432-437","source":"PubMed","title":"Power-injectable ports: safety during placement, therapeutic use, and contrast administration during computed tomography procedures","title-short":"Power-injectable ports","volume":"13","author":[{"family":"Alexander","given":"Matthew D."},{"family":"Morrison","given":"Harry L."}],"issued":{"date-parts":[["2012",12]]}}}],"schema":"https://github.com/citation-style-language/schema/raw/master/csl-citation.json"} </w:instrText>
            </w:r>
            <w:r>
              <w:rPr>
                <w:rFonts w:cstheme="minorHAnsi"/>
              </w:rPr>
              <w:fldChar w:fldCharType="separate"/>
            </w:r>
            <w:r w:rsidR="00731981">
              <w:rPr>
                <w:rFonts w:cstheme="minorHAnsi"/>
                <w:noProof/>
              </w:rPr>
              <w:t>[26]</w:t>
            </w:r>
            <w:r>
              <w:rPr>
                <w:rFonts w:cstheme="minorHAnsi"/>
              </w:rPr>
              <w:fldChar w:fldCharType="end"/>
            </w:r>
          </w:p>
        </w:tc>
        <w:tc>
          <w:tcPr>
            <w:tcW w:w="1701" w:type="dxa"/>
          </w:tcPr>
          <w:p w14:paraId="0CF06269" w14:textId="77777777" w:rsidR="002C6B67" w:rsidRDefault="002C6B67" w:rsidP="00CF3643">
            <w:pPr>
              <w:rPr>
                <w:rFonts w:cstheme="minorHAnsi"/>
              </w:rPr>
            </w:pPr>
            <w:r>
              <w:rPr>
                <w:rFonts w:cstheme="minorHAnsi"/>
              </w:rPr>
              <w:t>Retrospective</w:t>
            </w:r>
          </w:p>
        </w:tc>
        <w:tc>
          <w:tcPr>
            <w:tcW w:w="1701" w:type="dxa"/>
          </w:tcPr>
          <w:p w14:paraId="7CFC0FB0" w14:textId="77777777" w:rsidR="002C6B67" w:rsidRDefault="002C6B67" w:rsidP="00CF3643">
            <w:pPr>
              <w:rPr>
                <w:rFonts w:cstheme="minorHAnsi"/>
              </w:rPr>
            </w:pPr>
            <w:r>
              <w:rPr>
                <w:rFonts w:cstheme="minorHAnsi"/>
              </w:rPr>
              <w:t>Adults</w:t>
            </w:r>
          </w:p>
        </w:tc>
        <w:tc>
          <w:tcPr>
            <w:tcW w:w="1985" w:type="dxa"/>
          </w:tcPr>
          <w:p w14:paraId="6CF2BFF5" w14:textId="77777777" w:rsidR="002C6B67" w:rsidRDefault="002C6B67" w:rsidP="00CF3643">
            <w:pPr>
              <w:rPr>
                <w:rFonts w:cstheme="minorHAnsi"/>
              </w:rPr>
            </w:pPr>
            <w:r>
              <w:rPr>
                <w:rFonts w:cstheme="minorHAnsi"/>
              </w:rPr>
              <w:t>Port-a-</w:t>
            </w:r>
            <w:proofErr w:type="spellStart"/>
            <w:r>
              <w:rPr>
                <w:rFonts w:cstheme="minorHAnsi"/>
              </w:rPr>
              <w:t>cath</w:t>
            </w:r>
            <w:proofErr w:type="spellEnd"/>
            <w:r>
              <w:rPr>
                <w:rFonts w:cstheme="minorHAnsi"/>
              </w:rPr>
              <w:t>: 0/307 (0)</w:t>
            </w:r>
          </w:p>
        </w:tc>
        <w:tc>
          <w:tcPr>
            <w:tcW w:w="3969" w:type="dxa"/>
          </w:tcPr>
          <w:p w14:paraId="37BAFEEF" w14:textId="77777777" w:rsidR="002C6B67" w:rsidRDefault="002C6B67" w:rsidP="00CF3643">
            <w:pPr>
              <w:rPr>
                <w:rFonts w:cstheme="minorHAnsi"/>
              </w:rPr>
            </w:pPr>
            <w:r>
              <w:rPr>
                <w:rFonts w:cstheme="minorHAnsi"/>
              </w:rPr>
              <w:t>Rates of CMEX related to Port-a-</w:t>
            </w:r>
            <w:proofErr w:type="spellStart"/>
            <w:r>
              <w:rPr>
                <w:rFonts w:cstheme="minorHAnsi"/>
              </w:rPr>
              <w:t>cath</w:t>
            </w:r>
            <w:proofErr w:type="spellEnd"/>
            <w:r>
              <w:rPr>
                <w:rFonts w:cstheme="minorHAnsi"/>
              </w:rPr>
              <w:t xml:space="preserve"> and comparing to PICC, CVCs and PVCs</w:t>
            </w:r>
          </w:p>
        </w:tc>
        <w:tc>
          <w:tcPr>
            <w:tcW w:w="992" w:type="dxa"/>
          </w:tcPr>
          <w:p w14:paraId="1BD2E414" w14:textId="77777777" w:rsidR="002C6B67" w:rsidRDefault="002C6B67" w:rsidP="00CF3643">
            <w:pPr>
              <w:rPr>
                <w:rFonts w:cstheme="minorHAnsi"/>
              </w:rPr>
            </w:pPr>
            <w:r>
              <w:rPr>
                <w:rFonts w:cstheme="minorHAnsi"/>
              </w:rPr>
              <w:t>Fair</w:t>
            </w:r>
          </w:p>
        </w:tc>
        <w:tc>
          <w:tcPr>
            <w:tcW w:w="1134" w:type="dxa"/>
          </w:tcPr>
          <w:p w14:paraId="04849129" w14:textId="77777777" w:rsidR="002C6B67" w:rsidRDefault="002C6B67" w:rsidP="00CF3643">
            <w:pPr>
              <w:rPr>
                <w:rFonts w:cstheme="minorHAnsi"/>
              </w:rPr>
            </w:pPr>
            <w:r>
              <w:rPr>
                <w:rFonts w:cstheme="minorHAnsi"/>
              </w:rPr>
              <w:t>4</w:t>
            </w:r>
          </w:p>
        </w:tc>
      </w:tr>
      <w:tr w:rsidR="002C6B67" w14:paraId="354911DB" w14:textId="77777777" w:rsidTr="00CF3643">
        <w:tc>
          <w:tcPr>
            <w:tcW w:w="2972" w:type="dxa"/>
          </w:tcPr>
          <w:p w14:paraId="575A1CDB" w14:textId="53A26E7D" w:rsidR="002C6B67" w:rsidRPr="009301DD" w:rsidRDefault="002C6B67" w:rsidP="00CF3643">
            <w:pPr>
              <w:rPr>
                <w:rFonts w:cstheme="minorHAnsi"/>
              </w:rPr>
            </w:pPr>
            <w:r w:rsidRPr="009301DD">
              <w:rPr>
                <w:rFonts w:cstheme="minorHAnsi"/>
              </w:rPr>
              <w:t>Kingston et al</w:t>
            </w:r>
            <w:r>
              <w:rPr>
                <w:rFonts w:cstheme="minorHAnsi"/>
              </w:rPr>
              <w:t xml:space="preserve">, </w:t>
            </w:r>
            <w:r w:rsidRPr="009301DD">
              <w:rPr>
                <w:rFonts w:cstheme="minorHAnsi"/>
              </w:rPr>
              <w:t>2012</w:t>
            </w:r>
            <w:r>
              <w:rPr>
                <w:rFonts w:cstheme="minorHAnsi"/>
              </w:rPr>
              <w:fldChar w:fldCharType="begin"/>
            </w:r>
            <w:r w:rsidR="00731981">
              <w:rPr>
                <w:rFonts w:cstheme="minorHAnsi"/>
              </w:rPr>
              <w:instrText xml:space="preserve"> ADDIN ZOTERO_ITEM CSL_CITATION {"citationID":"H8vGPssU","properties":{"formattedCitation":"[27]","plainCitation":"[27]","noteIndex":0},"citationItems":[{"id":16,"uris":["http://zotero.org/users/2960325/items/A363GYDB"],"uri":["http://zotero.org/users/2960325/items/A363GYDB"],"itemData":{"id":16,"type":"article-journal","abstract":"INTRODUCTION: Intravenous (IV) contrast extravasation is an adverse outcome of computed tomography (CT) studies. This study evaluates for any differences in rates of extravasation between radiology (radiographer) staff and ward medical staff cannulations, and secondarily by cannula size and study type.\nMETHOD: A prospective study of 26,854 studies in adults between September 2004 and April 2008 accumulated 119 extravasations. Patients were divided into two groups, those cannulated by radiology staff and those cannulated by non-radiology staff. Patients with extravasations were followed for treatment outcomes. Statistical analysis between our groups was undertaken.\nRESULTS: The total extravasation rate was 0.44%. The extravasation rate for those patients cannulated by radiology staff was 0.34% (n= 11,470 cannulations) and those cannulated by non-radiology staff was 0.52% (n = 15,384 cannulations). This was not statistically significantly different. The site where most extravasations occurred was at the elbow (71.4%). The injection rate where most extravasations occurred was in the 1-2 mL/s range (42%). No patient required surgical intervention or had any significant morbidity.\nCONCLUSION: Radiology radiographer staff can provide safe administration of IV contrast in CT scanning with low rates of extravasation. Extravasation may occur with high or low injection rates and when small or large size cannulas are used.","container-title":"Journal of Medical Imaging and Radiation Oncology","DOI":"10.1111/j.1754-9485.2012.02355.x","ISSN":"1754-9485","issue":"2","journalAbbreviation":"J Med Imaging Radiat Oncol","language":"eng","note":"PMID: 22498188","page":"163-167","source":"PubMed","title":"Study of patients with intravenous contrast extravasation on CT studies, with radiology staff and ward staff cannulations","volume":"56","author":[{"family":"Kingston","given":"Roger J."},{"family":"Young","given":"Noel"},{"family":"Sindhusake","given":"Doungkamol Poppy"},{"family":"Truong","given":"Minh"}],"issued":{"date-parts":[["2012",4]]}}}],"schema":"https://github.com/citation-style-language/schema/raw/master/csl-citation.json"} </w:instrText>
            </w:r>
            <w:r>
              <w:rPr>
                <w:rFonts w:cstheme="minorHAnsi"/>
              </w:rPr>
              <w:fldChar w:fldCharType="separate"/>
            </w:r>
            <w:r w:rsidR="00731981">
              <w:rPr>
                <w:rFonts w:cstheme="minorHAnsi"/>
                <w:noProof/>
              </w:rPr>
              <w:t>[27]</w:t>
            </w:r>
            <w:r>
              <w:rPr>
                <w:rFonts w:cstheme="minorHAnsi"/>
              </w:rPr>
              <w:fldChar w:fldCharType="end"/>
            </w:r>
          </w:p>
        </w:tc>
        <w:tc>
          <w:tcPr>
            <w:tcW w:w="1701" w:type="dxa"/>
          </w:tcPr>
          <w:p w14:paraId="3711D97F" w14:textId="77777777" w:rsidR="002C6B67" w:rsidRDefault="002C6B67" w:rsidP="00CF3643">
            <w:pPr>
              <w:rPr>
                <w:rFonts w:cstheme="minorHAnsi"/>
              </w:rPr>
            </w:pPr>
            <w:r>
              <w:rPr>
                <w:rFonts w:cstheme="minorHAnsi"/>
              </w:rPr>
              <w:t>Prospective, non-randomised</w:t>
            </w:r>
          </w:p>
        </w:tc>
        <w:tc>
          <w:tcPr>
            <w:tcW w:w="1701" w:type="dxa"/>
          </w:tcPr>
          <w:p w14:paraId="42D1B21B" w14:textId="77777777" w:rsidR="002C6B67" w:rsidRDefault="002C6B67" w:rsidP="00CF3643">
            <w:pPr>
              <w:rPr>
                <w:rFonts w:cstheme="minorHAnsi"/>
              </w:rPr>
            </w:pPr>
            <w:r>
              <w:rPr>
                <w:rFonts w:cstheme="minorHAnsi"/>
              </w:rPr>
              <w:t>Adults</w:t>
            </w:r>
          </w:p>
        </w:tc>
        <w:tc>
          <w:tcPr>
            <w:tcW w:w="1985" w:type="dxa"/>
          </w:tcPr>
          <w:p w14:paraId="01AA8EE7" w14:textId="77777777" w:rsidR="002C6B67" w:rsidRDefault="002C6B67" w:rsidP="00CF3643">
            <w:pPr>
              <w:rPr>
                <w:rFonts w:cstheme="minorHAnsi"/>
              </w:rPr>
            </w:pPr>
            <w:r>
              <w:rPr>
                <w:rFonts w:cstheme="minorHAnsi"/>
              </w:rPr>
              <w:t>119 / 26854 (0.44)</w:t>
            </w:r>
          </w:p>
        </w:tc>
        <w:tc>
          <w:tcPr>
            <w:tcW w:w="3969" w:type="dxa"/>
          </w:tcPr>
          <w:p w14:paraId="0738E646" w14:textId="77777777" w:rsidR="002C6B67" w:rsidRDefault="002C6B67" w:rsidP="00CF3643">
            <w:pPr>
              <w:rPr>
                <w:rFonts w:cstheme="minorHAnsi"/>
              </w:rPr>
            </w:pPr>
            <w:r>
              <w:rPr>
                <w:rFonts w:cstheme="minorHAnsi"/>
              </w:rPr>
              <w:t xml:space="preserve">Non-ionic CM, Type of CT study, cannula size, rate of CM injection, personnel involved in cannulation </w:t>
            </w:r>
          </w:p>
        </w:tc>
        <w:tc>
          <w:tcPr>
            <w:tcW w:w="992" w:type="dxa"/>
          </w:tcPr>
          <w:p w14:paraId="2CE6C14F" w14:textId="77777777" w:rsidR="002C6B67" w:rsidRDefault="002C6B67" w:rsidP="00CF3643">
            <w:pPr>
              <w:rPr>
                <w:rFonts w:cstheme="minorHAnsi"/>
              </w:rPr>
            </w:pPr>
            <w:r>
              <w:rPr>
                <w:rFonts w:cstheme="minorHAnsi"/>
              </w:rPr>
              <w:t>Fair</w:t>
            </w:r>
          </w:p>
        </w:tc>
        <w:tc>
          <w:tcPr>
            <w:tcW w:w="1134" w:type="dxa"/>
          </w:tcPr>
          <w:p w14:paraId="2B92AECF" w14:textId="77777777" w:rsidR="002C6B67" w:rsidRDefault="002C6B67" w:rsidP="00CF3643">
            <w:pPr>
              <w:rPr>
                <w:rFonts w:cstheme="minorHAnsi"/>
              </w:rPr>
            </w:pPr>
            <w:r>
              <w:rPr>
                <w:rFonts w:cstheme="minorHAnsi"/>
              </w:rPr>
              <w:t>4</w:t>
            </w:r>
          </w:p>
        </w:tc>
      </w:tr>
      <w:tr w:rsidR="002C6B67" w14:paraId="3D4EBB09" w14:textId="77777777" w:rsidTr="00CF3643">
        <w:tc>
          <w:tcPr>
            <w:tcW w:w="2972" w:type="dxa"/>
          </w:tcPr>
          <w:p w14:paraId="4F3EC7CD" w14:textId="70A4BF11" w:rsidR="002C6B67" w:rsidRPr="009301DD" w:rsidRDefault="002C6B67" w:rsidP="00CF3643">
            <w:pPr>
              <w:rPr>
                <w:rFonts w:cstheme="minorHAnsi"/>
              </w:rPr>
            </w:pPr>
            <w:r>
              <w:rPr>
                <w:rFonts w:cstheme="minorHAnsi"/>
              </w:rPr>
              <w:t>Lambeth et al, 2012</w:t>
            </w:r>
            <w:r>
              <w:rPr>
                <w:rFonts w:cstheme="minorHAnsi"/>
              </w:rPr>
              <w:fldChar w:fldCharType="begin"/>
            </w:r>
            <w:r w:rsidR="00731981">
              <w:rPr>
                <w:rFonts w:cstheme="minorHAnsi"/>
              </w:rPr>
              <w:instrText xml:space="preserve"> ADDIN ZOTERO_ITEM CSL_CITATION {"citationID":"cYYEX0UL","properties":{"formattedCitation":"[28]","plainCitation":"[28]","noteIndex":0},"citationItems":[{"id":6,"uris":["http://zotero.org/users/2960325/items/MGCT6MDF"],"uri":["http://zotero.org/users/2960325/items/MGCT6MDF"],"itemData":{"id":6,"type":"article-journal","container-title":"Journal of vascular and interventional radiology: JVIR","DOI":"10.1016/j.jvir.2012.04.024","ISSN":"1535-7732","issue":"7","journalAbbreviation":"J Vasc Interv Radiol","language":"eng","note":"PMID: 22720898","page":"981-983","source":"PubMed","title":"Peripherally inserted central catheter tip malposition caused by power contrast medium injection","volume":"23","author":[{"family":"Lambeth","given":"Lauren"},{"family":"Goyal","given":"Anurag"},{"family":"Tadros","given":"Anthony"},{"family":"Asadoorian","given":"Marit"},{"family":"Roberts","given":"Anne C."},{"family":"Karimi","given":"Afshin"}],"issued":{"date-parts":[["2012",7]]}}}],"schema":"https://github.com/citation-style-language/schema/raw/master/csl-citation.json"} </w:instrText>
            </w:r>
            <w:r>
              <w:rPr>
                <w:rFonts w:cstheme="minorHAnsi"/>
              </w:rPr>
              <w:fldChar w:fldCharType="separate"/>
            </w:r>
            <w:r w:rsidR="00731981">
              <w:rPr>
                <w:rFonts w:cstheme="minorHAnsi"/>
                <w:noProof/>
              </w:rPr>
              <w:t>[28]</w:t>
            </w:r>
            <w:r>
              <w:rPr>
                <w:rFonts w:cstheme="minorHAnsi"/>
              </w:rPr>
              <w:fldChar w:fldCharType="end"/>
            </w:r>
          </w:p>
        </w:tc>
        <w:tc>
          <w:tcPr>
            <w:tcW w:w="1701" w:type="dxa"/>
          </w:tcPr>
          <w:p w14:paraId="3683DF60" w14:textId="77777777" w:rsidR="002C6B67" w:rsidRDefault="002C6B67" w:rsidP="00CF3643">
            <w:pPr>
              <w:rPr>
                <w:rFonts w:cstheme="minorHAnsi"/>
              </w:rPr>
            </w:pPr>
            <w:r>
              <w:rPr>
                <w:rFonts w:cstheme="minorHAnsi"/>
              </w:rPr>
              <w:t>Case-series</w:t>
            </w:r>
          </w:p>
        </w:tc>
        <w:tc>
          <w:tcPr>
            <w:tcW w:w="1701" w:type="dxa"/>
          </w:tcPr>
          <w:p w14:paraId="7C1D2436" w14:textId="77777777" w:rsidR="002C6B67" w:rsidRDefault="002C6B67" w:rsidP="00CF3643">
            <w:pPr>
              <w:rPr>
                <w:rFonts w:cstheme="minorHAnsi"/>
              </w:rPr>
            </w:pPr>
            <w:r>
              <w:rPr>
                <w:rFonts w:cstheme="minorHAnsi"/>
              </w:rPr>
              <w:t>Adults</w:t>
            </w:r>
          </w:p>
        </w:tc>
        <w:tc>
          <w:tcPr>
            <w:tcW w:w="1985" w:type="dxa"/>
          </w:tcPr>
          <w:p w14:paraId="0503309E" w14:textId="77777777" w:rsidR="002C6B67" w:rsidRDefault="002C6B67" w:rsidP="00CF3643">
            <w:pPr>
              <w:rPr>
                <w:rFonts w:cstheme="minorHAnsi"/>
              </w:rPr>
            </w:pPr>
            <w:r>
              <w:rPr>
                <w:rFonts w:cstheme="minorHAnsi"/>
              </w:rPr>
              <w:t>Not applicable</w:t>
            </w:r>
          </w:p>
        </w:tc>
        <w:tc>
          <w:tcPr>
            <w:tcW w:w="3969" w:type="dxa"/>
          </w:tcPr>
          <w:p w14:paraId="666CE0C2" w14:textId="77777777" w:rsidR="002C6B67" w:rsidRDefault="002C6B67" w:rsidP="00CF3643">
            <w:pPr>
              <w:rPr>
                <w:rFonts w:cstheme="minorHAnsi"/>
              </w:rPr>
            </w:pPr>
            <w:r>
              <w:rPr>
                <w:rFonts w:cstheme="minorHAnsi"/>
              </w:rPr>
              <w:t>Complications of PICC lines</w:t>
            </w:r>
          </w:p>
        </w:tc>
        <w:tc>
          <w:tcPr>
            <w:tcW w:w="992" w:type="dxa"/>
          </w:tcPr>
          <w:p w14:paraId="79F757A0" w14:textId="77777777" w:rsidR="002C6B67" w:rsidRDefault="002C6B67" w:rsidP="00CF3643">
            <w:pPr>
              <w:rPr>
                <w:rFonts w:cstheme="minorHAnsi"/>
              </w:rPr>
            </w:pPr>
            <w:r>
              <w:rPr>
                <w:rFonts w:cstheme="minorHAnsi"/>
              </w:rPr>
              <w:t>Fair</w:t>
            </w:r>
          </w:p>
        </w:tc>
        <w:tc>
          <w:tcPr>
            <w:tcW w:w="1134" w:type="dxa"/>
          </w:tcPr>
          <w:p w14:paraId="20E99D92" w14:textId="77777777" w:rsidR="002C6B67" w:rsidRDefault="002C6B67" w:rsidP="00CF3643">
            <w:pPr>
              <w:rPr>
                <w:rFonts w:cstheme="minorHAnsi"/>
              </w:rPr>
            </w:pPr>
            <w:r>
              <w:rPr>
                <w:rFonts w:cstheme="minorHAnsi"/>
              </w:rPr>
              <w:t>4</w:t>
            </w:r>
          </w:p>
        </w:tc>
      </w:tr>
      <w:tr w:rsidR="002C6B67" w14:paraId="0F40E0F0" w14:textId="77777777" w:rsidTr="00CF3643">
        <w:tc>
          <w:tcPr>
            <w:tcW w:w="2972" w:type="dxa"/>
          </w:tcPr>
          <w:p w14:paraId="106A2FAC" w14:textId="50E51ACE" w:rsidR="002C6B67" w:rsidRPr="009301DD" w:rsidRDefault="002C6B67" w:rsidP="00CF3643">
            <w:pPr>
              <w:rPr>
                <w:rFonts w:cstheme="minorHAnsi"/>
              </w:rPr>
            </w:pPr>
            <w:r>
              <w:rPr>
                <w:rFonts w:cstheme="minorHAnsi"/>
              </w:rPr>
              <w:t>Davenport et al, 2012</w:t>
            </w:r>
            <w:r>
              <w:rPr>
                <w:rFonts w:cstheme="minorHAnsi"/>
              </w:rPr>
              <w:fldChar w:fldCharType="begin"/>
            </w:r>
            <w:r w:rsidR="00731981">
              <w:rPr>
                <w:rFonts w:cstheme="minorHAnsi"/>
              </w:rPr>
              <w:instrText xml:space="preserve"> ADDIN ZOTERO_ITEM CSL_CITATION {"citationID":"4zvy4hDf","properties":{"formattedCitation":"[29]","plainCitation":"[29]","noteIndex":0},"citationItems":[{"id":149,"uris":["http://zotero.org/users/2960325/items/YFNC26J7"],"uri":["http://zotero.org/users/2960325/items/YFNC26J7"],"itemData":{"id":149,"type":"article-journal","abstract":"Extrinsic warming (to 37°C) does not appear to affect adverse event rates for intravenous injections of iopamidol 300 less than 6 mL/sec but is associated with a significant reduction in extravasation and overall adverse event rates for the more viscous iopamidol 370.","container-title":"Radiology","DOI":"10.1148/radiol.11111282","ISSN":"0033-8419","issue":"2","journalAbbreviation":"Radiology","note":"PMID: 22106356\nPMCID: PMC3267082","page":"475-484","source":"PubMed Central","title":"Rate of Contrast Material Extravasations and Allergic-like Reactions: Effect of Extrinsic Warming of Low-Osmolality Iodinated CT Contrast Material to 37°C","title-short":"Rate of Contrast Material Extravasations and Allergic-like Reactions","volume":"262","author":[{"family":"Davenport","given":"Matthew S."},{"family":"Wang","given":"Carolyn L."},{"family":"Bashir","given":"Mustafa R."},{"family":"Neville","given":"Amy M."},{"family":"Paulson","given":"Erik K."}],"issued":{"date-parts":[["2012",2]]}}}],"schema":"https://github.com/citation-style-language/schema/raw/master/csl-citation.json"} </w:instrText>
            </w:r>
            <w:r>
              <w:rPr>
                <w:rFonts w:cstheme="minorHAnsi"/>
              </w:rPr>
              <w:fldChar w:fldCharType="separate"/>
            </w:r>
            <w:r w:rsidR="00731981">
              <w:rPr>
                <w:rFonts w:cstheme="minorHAnsi"/>
                <w:noProof/>
              </w:rPr>
              <w:t>[29]</w:t>
            </w:r>
            <w:r>
              <w:rPr>
                <w:rFonts w:cstheme="minorHAnsi"/>
              </w:rPr>
              <w:fldChar w:fldCharType="end"/>
            </w:r>
          </w:p>
        </w:tc>
        <w:tc>
          <w:tcPr>
            <w:tcW w:w="1701" w:type="dxa"/>
          </w:tcPr>
          <w:p w14:paraId="54B3A66F" w14:textId="77777777" w:rsidR="002C6B67" w:rsidRDefault="002C6B67" w:rsidP="00CF3643">
            <w:pPr>
              <w:rPr>
                <w:rFonts w:cstheme="minorHAnsi"/>
              </w:rPr>
            </w:pPr>
            <w:r>
              <w:rPr>
                <w:rFonts w:cstheme="minorHAnsi"/>
              </w:rPr>
              <w:t>Retrospective</w:t>
            </w:r>
          </w:p>
        </w:tc>
        <w:tc>
          <w:tcPr>
            <w:tcW w:w="1701" w:type="dxa"/>
          </w:tcPr>
          <w:p w14:paraId="0B04DF12" w14:textId="77777777" w:rsidR="002C6B67" w:rsidRDefault="002C6B67" w:rsidP="00CF3643">
            <w:pPr>
              <w:rPr>
                <w:rFonts w:cstheme="minorHAnsi"/>
              </w:rPr>
            </w:pPr>
            <w:r>
              <w:rPr>
                <w:rFonts w:cstheme="minorHAnsi"/>
              </w:rPr>
              <w:t>Adults and children</w:t>
            </w:r>
          </w:p>
        </w:tc>
        <w:tc>
          <w:tcPr>
            <w:tcW w:w="1985" w:type="dxa"/>
          </w:tcPr>
          <w:p w14:paraId="54EE7AD9" w14:textId="77777777" w:rsidR="002C6B67" w:rsidRDefault="002C6B67" w:rsidP="00CF3643">
            <w:pPr>
              <w:rPr>
                <w:rFonts w:cstheme="minorHAnsi"/>
              </w:rPr>
            </w:pPr>
            <w:r>
              <w:rPr>
                <w:rFonts w:cstheme="minorHAnsi"/>
              </w:rPr>
              <w:t>78 / 24820 (0.31)</w:t>
            </w:r>
          </w:p>
        </w:tc>
        <w:tc>
          <w:tcPr>
            <w:tcW w:w="3969" w:type="dxa"/>
          </w:tcPr>
          <w:p w14:paraId="5BEBB158" w14:textId="77777777" w:rsidR="002C6B67" w:rsidRDefault="002C6B67" w:rsidP="00CF3643">
            <w:pPr>
              <w:rPr>
                <w:rFonts w:cstheme="minorHAnsi"/>
              </w:rPr>
            </w:pPr>
            <w:r>
              <w:rPr>
                <w:rFonts w:cstheme="minorHAnsi"/>
              </w:rPr>
              <w:t>Non-ionic CM, effect of warming of CM on rates and volume of CMEX</w:t>
            </w:r>
          </w:p>
        </w:tc>
        <w:tc>
          <w:tcPr>
            <w:tcW w:w="992" w:type="dxa"/>
          </w:tcPr>
          <w:p w14:paraId="7BFF66FD" w14:textId="77777777" w:rsidR="002C6B67" w:rsidRDefault="002C6B67" w:rsidP="00CF3643">
            <w:pPr>
              <w:rPr>
                <w:rFonts w:cstheme="minorHAnsi"/>
              </w:rPr>
            </w:pPr>
            <w:r>
              <w:rPr>
                <w:rFonts w:cstheme="minorHAnsi"/>
              </w:rPr>
              <w:t>Fair</w:t>
            </w:r>
          </w:p>
        </w:tc>
        <w:tc>
          <w:tcPr>
            <w:tcW w:w="1134" w:type="dxa"/>
          </w:tcPr>
          <w:p w14:paraId="101EF8F1" w14:textId="77777777" w:rsidR="002C6B67" w:rsidRDefault="002C6B67" w:rsidP="00CF3643">
            <w:pPr>
              <w:rPr>
                <w:rFonts w:cstheme="minorHAnsi"/>
              </w:rPr>
            </w:pPr>
            <w:r>
              <w:rPr>
                <w:rFonts w:cstheme="minorHAnsi"/>
              </w:rPr>
              <w:t>4</w:t>
            </w:r>
          </w:p>
        </w:tc>
      </w:tr>
      <w:tr w:rsidR="002C6B67" w14:paraId="5FB947A9" w14:textId="77777777" w:rsidTr="00CF3643">
        <w:tc>
          <w:tcPr>
            <w:tcW w:w="2972" w:type="dxa"/>
          </w:tcPr>
          <w:p w14:paraId="4702112F" w14:textId="1CFDF5BD" w:rsidR="002C6B67" w:rsidRDefault="002C6B67" w:rsidP="00CF3643">
            <w:pPr>
              <w:rPr>
                <w:rFonts w:cstheme="minorHAnsi"/>
              </w:rPr>
            </w:pPr>
            <w:proofErr w:type="spellStart"/>
            <w:r w:rsidRPr="00707F4C">
              <w:rPr>
                <w:rFonts w:cstheme="minorHAnsi"/>
              </w:rPr>
              <w:t>Tonolini</w:t>
            </w:r>
            <w:proofErr w:type="spellEnd"/>
            <w:r w:rsidRPr="00707F4C">
              <w:rPr>
                <w:rFonts w:cstheme="minorHAnsi"/>
              </w:rPr>
              <w:t xml:space="preserve"> et al</w:t>
            </w:r>
            <w:r>
              <w:rPr>
                <w:rFonts w:cstheme="minorHAnsi"/>
              </w:rPr>
              <w:t xml:space="preserve">, </w:t>
            </w:r>
            <w:r w:rsidRPr="00707F4C">
              <w:rPr>
                <w:rFonts w:cstheme="minorHAnsi"/>
              </w:rPr>
              <w:t>2012</w:t>
            </w:r>
            <w:r>
              <w:rPr>
                <w:rFonts w:cstheme="minorHAnsi"/>
              </w:rPr>
              <w:fldChar w:fldCharType="begin"/>
            </w:r>
            <w:r w:rsidR="00731981">
              <w:rPr>
                <w:rFonts w:cstheme="minorHAnsi"/>
              </w:rPr>
              <w:instrText xml:space="preserve"> ADDIN ZOTERO_ITEM CSL_CITATION {"citationID":"L7gzkRtK","properties":{"formattedCitation":"[30]","plainCitation":"[30]","noteIndex":0},"citationItems":[{"id":46,"uris":["http://zotero.org/users/2960325/items/5MCLGT5B"],"uri":["http://zotero.org/users/2960325/items/5MCLGT5B"],"itemData":{"id":46,"type":"article-journal","abstract":"Contrast media extravasation represents a not unusual problem in radiological practice. Incidence, patient-, and procedure-related risk factors, pathogenesis, and clinical manifestations of extravasation injuries are discussed with a review of recent literature, and a practical preventive approach is proposed. A diagnostic and therapeutic protocol, to be applied whenever contrast extravasation is detected, includes radiographic assessment of compartmentalization, antidote application, local care, and clinical follow-up; indications for surgical consultation and adverse event reporting are provided.","container-title":"Current Problems in Diagnostic Radiology","DOI":"10.1067/j.cpradiol.2011.07.004","ISSN":"1535-6302","issue":"2","journalAbbreviation":"Curr Probl Diagn Radiol","language":"eng","note":"PMID: 22285002","page":"52-55","source":"PubMed","title":"Extravasation of radiographic contrast media: prevention, diagnosis, and treatment","title-short":"Extravasation of radiographic contrast media","volume":"41","author":[{"family":"Tonolini","given":"Massimo"},{"family":"Campari","given":"Alessandro"},{"family":"Bianco","given":"Roberto"}],"issued":{"date-parts":[["2012",4]]}}}],"schema":"https://github.com/citation-style-language/schema/raw/master/csl-citation.json"} </w:instrText>
            </w:r>
            <w:r>
              <w:rPr>
                <w:rFonts w:cstheme="minorHAnsi"/>
              </w:rPr>
              <w:fldChar w:fldCharType="separate"/>
            </w:r>
            <w:r w:rsidR="00731981">
              <w:rPr>
                <w:rFonts w:cstheme="minorHAnsi"/>
                <w:noProof/>
              </w:rPr>
              <w:t>[30]</w:t>
            </w:r>
            <w:r>
              <w:rPr>
                <w:rFonts w:cstheme="minorHAnsi"/>
              </w:rPr>
              <w:fldChar w:fldCharType="end"/>
            </w:r>
          </w:p>
        </w:tc>
        <w:tc>
          <w:tcPr>
            <w:tcW w:w="1701" w:type="dxa"/>
          </w:tcPr>
          <w:p w14:paraId="355A022E" w14:textId="77777777" w:rsidR="002C6B67" w:rsidRDefault="002C6B67" w:rsidP="00CF3643">
            <w:pPr>
              <w:rPr>
                <w:rFonts w:cstheme="minorHAnsi"/>
              </w:rPr>
            </w:pPr>
            <w:r>
              <w:rPr>
                <w:rFonts w:cstheme="minorHAnsi"/>
              </w:rPr>
              <w:t>Review article</w:t>
            </w:r>
          </w:p>
        </w:tc>
        <w:tc>
          <w:tcPr>
            <w:tcW w:w="1701" w:type="dxa"/>
          </w:tcPr>
          <w:p w14:paraId="59126AD6" w14:textId="77777777" w:rsidR="002C6B67" w:rsidRDefault="002C6B67" w:rsidP="00CF3643">
            <w:pPr>
              <w:rPr>
                <w:rFonts w:cstheme="minorHAnsi"/>
              </w:rPr>
            </w:pPr>
            <w:r>
              <w:rPr>
                <w:rFonts w:cstheme="minorHAnsi"/>
              </w:rPr>
              <w:t>Adults and children</w:t>
            </w:r>
          </w:p>
        </w:tc>
        <w:tc>
          <w:tcPr>
            <w:tcW w:w="1985" w:type="dxa"/>
          </w:tcPr>
          <w:p w14:paraId="32998290" w14:textId="77777777" w:rsidR="002C6B67" w:rsidRDefault="002C6B67" w:rsidP="00CF3643">
            <w:pPr>
              <w:rPr>
                <w:rFonts w:cstheme="minorHAnsi"/>
              </w:rPr>
            </w:pPr>
            <w:r>
              <w:rPr>
                <w:rFonts w:cstheme="minorHAnsi"/>
              </w:rPr>
              <w:t>Not applicable</w:t>
            </w:r>
          </w:p>
        </w:tc>
        <w:tc>
          <w:tcPr>
            <w:tcW w:w="3969" w:type="dxa"/>
          </w:tcPr>
          <w:p w14:paraId="46329A97" w14:textId="77777777" w:rsidR="002C6B67" w:rsidRDefault="002C6B67" w:rsidP="00CF3643">
            <w:pPr>
              <w:rPr>
                <w:rFonts w:cstheme="minorHAnsi"/>
              </w:rPr>
            </w:pPr>
            <w:r>
              <w:rPr>
                <w:rFonts w:cstheme="minorHAnsi"/>
              </w:rPr>
              <w:t>Incidence, mechanisms, diagnosis, risk factors, prevention, and treatment of CMEX</w:t>
            </w:r>
          </w:p>
        </w:tc>
        <w:tc>
          <w:tcPr>
            <w:tcW w:w="992" w:type="dxa"/>
          </w:tcPr>
          <w:p w14:paraId="1E616940" w14:textId="77777777" w:rsidR="002C6B67" w:rsidRDefault="002C6B67" w:rsidP="00CF3643">
            <w:pPr>
              <w:rPr>
                <w:rFonts w:cstheme="minorHAnsi"/>
              </w:rPr>
            </w:pPr>
            <w:r>
              <w:rPr>
                <w:rFonts w:cstheme="minorHAnsi"/>
              </w:rPr>
              <w:t>Fair</w:t>
            </w:r>
          </w:p>
        </w:tc>
        <w:tc>
          <w:tcPr>
            <w:tcW w:w="1134" w:type="dxa"/>
          </w:tcPr>
          <w:p w14:paraId="1A0F804A" w14:textId="77777777" w:rsidR="002C6B67" w:rsidRDefault="002C6B67" w:rsidP="00CF3643">
            <w:pPr>
              <w:rPr>
                <w:rFonts w:cstheme="minorHAnsi"/>
              </w:rPr>
            </w:pPr>
            <w:r>
              <w:rPr>
                <w:rFonts w:cstheme="minorHAnsi"/>
              </w:rPr>
              <w:t>4</w:t>
            </w:r>
          </w:p>
        </w:tc>
      </w:tr>
      <w:tr w:rsidR="002C6B67" w14:paraId="65C8AB57" w14:textId="77777777" w:rsidTr="00CF3643">
        <w:tc>
          <w:tcPr>
            <w:tcW w:w="2972" w:type="dxa"/>
          </w:tcPr>
          <w:p w14:paraId="61FF01BF" w14:textId="22ADF72F" w:rsidR="002C6B67" w:rsidRDefault="002C6B67" w:rsidP="00CF3643">
            <w:pPr>
              <w:rPr>
                <w:rFonts w:cstheme="minorHAnsi"/>
              </w:rPr>
            </w:pPr>
            <w:r w:rsidRPr="009301DD">
              <w:rPr>
                <w:rFonts w:cstheme="minorHAnsi"/>
              </w:rPr>
              <w:t>Moreno</w:t>
            </w:r>
            <w:r>
              <w:rPr>
                <w:rFonts w:cstheme="minorHAnsi"/>
              </w:rPr>
              <w:t xml:space="preserve"> et al, </w:t>
            </w:r>
            <w:r w:rsidRPr="009301DD">
              <w:rPr>
                <w:rFonts w:cstheme="minorHAnsi"/>
              </w:rPr>
              <w:t>2013</w:t>
            </w:r>
            <w:r>
              <w:rPr>
                <w:rFonts w:cstheme="minorHAnsi"/>
              </w:rPr>
              <w:fldChar w:fldCharType="begin"/>
            </w:r>
            <w:r w:rsidR="00731981">
              <w:rPr>
                <w:rFonts w:cstheme="minorHAnsi"/>
              </w:rPr>
              <w:instrText xml:space="preserve"> ADDIN ZOTERO_ITEM CSL_CITATION {"citationID":"0sxrzD6u","properties":{"formattedCitation":"[31]","plainCitation":"[31]","noteIndex":0},"citationItems":[{"id":30,"uris":["http://zotero.org/users/2960325/items/LIHJICP2"],"uri":["http://zotero.org/users/2960325/items/LIHJICP2"],"itemData":{"id":30,"type":"article-journal","abstract":"OBJECTIVES: The aim of this study was to determine the impact of catheter dwell time and gauge, catheter location, rate of contrast material administration, and patient age and sex on volume of extravasate at intravenous contrast-enhanced multidetector computed tomography.\nMETHODS: Incident reports were reviewed for all extravasation events that occurred in adult patients between March 2006 and December 2009 at 2 institutions. Patient age and sex; catheter dwell time, gauge, and location; rate of contrast material administration; and estimated volume of extravasated contrast material were recorded.\nRESULTS: Three hundred thirty extravasation events were recorded for the 118,970 contrast material administrations (0.3%). Mean volume of extravasated contrast material was statistically significantly less for catheters newly placed in the radiology department, for higher flow rates, for smaller gauge catheters, and for catheters placed in the hand. Mean volume of extravasated contrast material did not vary significantly based on patient age or sex.\nCONCLUSIONS: The volume of extravasate was likely to be smaller for smaller-gauge catheters in the hand with higher flow rates and for catheters newly placed in the radiology department.","container-title":"Journal of Computer Assisted Tomography","DOI":"10.1097/RCT.0b013e31828211da","ISSN":"1532-3145","issue":"2","journalAbbreviation":"J Comput Assist Tomogr","language":"eng","note":"PMID: 23493221","page":"286-288","source":"PubMed","title":"Lessons learned from 118,970 multidetector computed tomographic intravenous contrast material administrations: impact of catheter dwell time and gauge, catheter location, rate of contrast material administration, and patient age and sex on volume of extravasate","title-short":"Lessons learned from 118,970 multidetector computed tomographic intravenous contrast material administrations","volume":"37","author":[{"family":"Moreno","given":"Courtney Coursey"},{"family":"Pinho","given":"Daniella"},{"family":"Nelson","given":"Rendon C."},{"family":"Sahani","given":"Dushyant V."},{"family":"Jenkins","given":"Melissa"},{"family":"Zabrycki","given":"MaryAnne"},{"family":"Chaudhry","given":"Humaira"},{"family":"Kang","given":"Jian"},{"family":"Chen","given":"Zhengjia"}],"issued":{"date-parts":[["2013",4]]}}}],"schema":"https://github.com/citation-style-language/schema/raw/master/csl-citation.json"} </w:instrText>
            </w:r>
            <w:r>
              <w:rPr>
                <w:rFonts w:cstheme="minorHAnsi"/>
              </w:rPr>
              <w:fldChar w:fldCharType="separate"/>
            </w:r>
            <w:r w:rsidR="00731981">
              <w:rPr>
                <w:rFonts w:cstheme="minorHAnsi"/>
                <w:noProof/>
              </w:rPr>
              <w:t>[31]</w:t>
            </w:r>
            <w:r>
              <w:rPr>
                <w:rFonts w:cstheme="minorHAnsi"/>
              </w:rPr>
              <w:fldChar w:fldCharType="end"/>
            </w:r>
          </w:p>
        </w:tc>
        <w:tc>
          <w:tcPr>
            <w:tcW w:w="1701" w:type="dxa"/>
          </w:tcPr>
          <w:p w14:paraId="0EF2F70C" w14:textId="77777777" w:rsidR="002C6B67" w:rsidRDefault="002C6B67" w:rsidP="00CF3643">
            <w:pPr>
              <w:rPr>
                <w:rFonts w:cstheme="minorHAnsi"/>
              </w:rPr>
            </w:pPr>
            <w:r>
              <w:rPr>
                <w:rFonts w:cstheme="minorHAnsi"/>
              </w:rPr>
              <w:t>Retrospective</w:t>
            </w:r>
          </w:p>
        </w:tc>
        <w:tc>
          <w:tcPr>
            <w:tcW w:w="1701" w:type="dxa"/>
          </w:tcPr>
          <w:p w14:paraId="19FC481A" w14:textId="77777777" w:rsidR="002C6B67" w:rsidRDefault="002C6B67" w:rsidP="00CF3643">
            <w:pPr>
              <w:rPr>
                <w:rFonts w:cstheme="minorHAnsi"/>
              </w:rPr>
            </w:pPr>
            <w:r>
              <w:rPr>
                <w:rFonts w:cstheme="minorHAnsi"/>
              </w:rPr>
              <w:t>Adults</w:t>
            </w:r>
          </w:p>
        </w:tc>
        <w:tc>
          <w:tcPr>
            <w:tcW w:w="1985" w:type="dxa"/>
          </w:tcPr>
          <w:p w14:paraId="7E66BE85" w14:textId="77777777" w:rsidR="002C6B67" w:rsidRDefault="002C6B67" w:rsidP="00CF3643">
            <w:pPr>
              <w:rPr>
                <w:rFonts w:cstheme="minorHAnsi"/>
              </w:rPr>
            </w:pPr>
            <w:r>
              <w:rPr>
                <w:rFonts w:cstheme="minorHAnsi"/>
              </w:rPr>
              <w:t>330 / 118970 (0.28)</w:t>
            </w:r>
          </w:p>
        </w:tc>
        <w:tc>
          <w:tcPr>
            <w:tcW w:w="3969" w:type="dxa"/>
          </w:tcPr>
          <w:p w14:paraId="46A7F38B" w14:textId="77777777" w:rsidR="002C6B67" w:rsidRDefault="002C6B67" w:rsidP="00CF3643">
            <w:pPr>
              <w:rPr>
                <w:rFonts w:cstheme="minorHAnsi"/>
              </w:rPr>
            </w:pPr>
            <w:r>
              <w:rPr>
                <w:rFonts w:cstheme="minorHAnsi"/>
              </w:rPr>
              <w:t>Non-ionic CM, effect of catheter gauge, dwell time, location, rate of administration, age and gender on rates and volume CMEX.</w:t>
            </w:r>
          </w:p>
        </w:tc>
        <w:tc>
          <w:tcPr>
            <w:tcW w:w="992" w:type="dxa"/>
          </w:tcPr>
          <w:p w14:paraId="343705D2" w14:textId="77777777" w:rsidR="002C6B67" w:rsidRDefault="002C6B67" w:rsidP="00CF3643">
            <w:pPr>
              <w:rPr>
                <w:rFonts w:cstheme="minorHAnsi"/>
              </w:rPr>
            </w:pPr>
            <w:r>
              <w:rPr>
                <w:rFonts w:cstheme="minorHAnsi"/>
              </w:rPr>
              <w:t>Fair</w:t>
            </w:r>
          </w:p>
        </w:tc>
        <w:tc>
          <w:tcPr>
            <w:tcW w:w="1134" w:type="dxa"/>
          </w:tcPr>
          <w:p w14:paraId="3DE71976" w14:textId="77777777" w:rsidR="002C6B67" w:rsidRDefault="002C6B67" w:rsidP="00CF3643">
            <w:pPr>
              <w:rPr>
                <w:rFonts w:cstheme="minorHAnsi"/>
              </w:rPr>
            </w:pPr>
            <w:r>
              <w:rPr>
                <w:rFonts w:cstheme="minorHAnsi"/>
              </w:rPr>
              <w:t>4</w:t>
            </w:r>
          </w:p>
        </w:tc>
      </w:tr>
      <w:tr w:rsidR="002C6B67" w14:paraId="64C19080" w14:textId="77777777" w:rsidTr="00CF3643">
        <w:tc>
          <w:tcPr>
            <w:tcW w:w="2972" w:type="dxa"/>
          </w:tcPr>
          <w:p w14:paraId="5E6222E3" w14:textId="77777777" w:rsidR="002C6B67" w:rsidRPr="009301DD" w:rsidRDefault="002C6B67" w:rsidP="00CF3643">
            <w:pPr>
              <w:rPr>
                <w:rFonts w:cstheme="minorHAnsi"/>
              </w:rPr>
            </w:pPr>
            <w:r w:rsidRPr="009301DD">
              <w:rPr>
                <w:rFonts w:cstheme="minorHAnsi"/>
              </w:rPr>
              <w:t>Johnson et al</w:t>
            </w:r>
            <w:r>
              <w:rPr>
                <w:rFonts w:cstheme="minorHAnsi"/>
              </w:rPr>
              <w:t xml:space="preserve">, </w:t>
            </w:r>
            <w:r w:rsidRPr="009301DD">
              <w:rPr>
                <w:rFonts w:cstheme="minorHAnsi"/>
              </w:rPr>
              <w:t>2014</w:t>
            </w:r>
            <w:r>
              <w:rPr>
                <w:rFonts w:cstheme="minorHAnsi"/>
              </w:rPr>
              <w:fldChar w:fldCharType="begin"/>
            </w:r>
            <w:r>
              <w:rPr>
                <w:rFonts w:cstheme="minorHAnsi"/>
              </w:rPr>
              <w:instrText xml:space="preserve"> ADDIN ZOTERO_ITEM CSL_CITATION {"citationID":"hiDTMMhD","properties":{"formattedCitation":"[32]","plainCitation":"[32]","noteIndex":0},"citationItems":[{"id":19,"uris":["http://zotero.org/users/2960325/items/VB2IRACZ"],"uri":["http://zotero.org/users/2960325/items/VB2IRACZ"],"itemData":{"id":19,"type":"article-journal","abstract":"OBJECTIVE: The purpose of this study was to compare the performance of a 20-gauge fenestrated catheter with an 18-gauge nonfenestrated catheter for i.v. contrast infusion during MDCT.\nSUBJECTS AND METHODS: Two hundred five adult outpatients imaged on a dual-source 128-MDCT scanner with arterial phase body CT (flow rates, 5.0-7.5 mL/s) were randomized to either an 18-gauge nonfenestrated or 20-gauge fenestrated catheter. After randomization, any 18-gauge nonfenestrated subjects whose veins were deemed insufficient for that catheter gauge were assigned to a third cohort for placement of a 20-gauge fenestrated catheter. Catheter placement success, infusion rate, contrast volume, maximum pressure, complications, and aortic enhancement levels were recorded.\nRESULTS: Catheters were placed on the first attempt in 97% (100/103) for 18-gauge nonfenestrated and 94% (96/102) for 20-gauge fenestrated placements and in two or fewer attempts in 99% of both groups. Mean infusion rates (5.74 mL/s for 18-gauge nonfenestrated and 5.58 mL/s for 20-gauge fenestrated placements) and aortic enhancement levels were not significantly different. Maximum pressure was higher with 20-gauge fenestrated catheters (mean ± SD, 230.5 ± 27.6 pounds per square inch [psi]) than 18-gauge nonfenestrated catheters (mean ± SD 215.6 ± 32.8 psi) (p = 0.002). One subject with an 18-gauge nonfenestrated catheter had a high-pressure alarm. In the third cohort, a 20-gauge fenestrated catheter was successfully placed in two or fewer attempts in 85% (28/33), with one minor extravasation attributed to vein insufficiency.\nCONCLUSION: A 20-gauge fenestrated catheter performs similarly to an 18-gauge nonfenestrated catheter with respect to i.v. contrast infusion rates and aortic enhancement levels and can be placed in most subjects whose veins are deemed insufficient for an 18-gauge catheter.","container-title":"AJR. American journal of roentgenology","DOI":"10.2214/AJR.13.11730","ISSN":"1546-3141","issue":"6","journalAbbreviation":"AJR Am J Roentgenol","language":"eng","note":"PMID: 24848812","page":"1166-1170","source":"PubMed","title":"I.v. contrast administration with dual source 128-MDCT: a randomized controlled study comparing 18-gauge nonfenestrated and 20-gauge fenestrated catheters for catheter placement success, infusion rate, image quality, and complications","title-short":"I.v. contrast administration with dual source 128-MDCT","volume":"202","author":[{"family":"Johnson","given":"Pamela T."},{"family":"Christensen","given":"Gale M."},{"family":"Fishman","given":"Elliot K."}],"issued":{"date-parts":[["2014",6]]}}}],"schema":"https://github.com/citation-style-language/schema/raw/master/csl-citation.json"} </w:instrText>
            </w:r>
            <w:r>
              <w:rPr>
                <w:rFonts w:cstheme="minorHAnsi"/>
              </w:rPr>
              <w:fldChar w:fldCharType="separate"/>
            </w:r>
            <w:r>
              <w:rPr>
                <w:rFonts w:cstheme="minorHAnsi"/>
                <w:noProof/>
              </w:rPr>
              <w:t>[32]</w:t>
            </w:r>
            <w:r>
              <w:rPr>
                <w:rFonts w:cstheme="minorHAnsi"/>
              </w:rPr>
              <w:fldChar w:fldCharType="end"/>
            </w:r>
          </w:p>
        </w:tc>
        <w:tc>
          <w:tcPr>
            <w:tcW w:w="1701" w:type="dxa"/>
          </w:tcPr>
          <w:p w14:paraId="75E14916" w14:textId="77777777" w:rsidR="002C6B67" w:rsidRDefault="002C6B67" w:rsidP="00CF3643">
            <w:pPr>
              <w:rPr>
                <w:rFonts w:cstheme="minorHAnsi"/>
              </w:rPr>
            </w:pPr>
            <w:r>
              <w:rPr>
                <w:rFonts w:cstheme="minorHAnsi"/>
              </w:rPr>
              <w:t>Randomised controlled trial</w:t>
            </w:r>
          </w:p>
        </w:tc>
        <w:tc>
          <w:tcPr>
            <w:tcW w:w="1701" w:type="dxa"/>
          </w:tcPr>
          <w:p w14:paraId="5EBDBD0A" w14:textId="77777777" w:rsidR="002C6B67" w:rsidRDefault="002C6B67" w:rsidP="00CF3643">
            <w:pPr>
              <w:rPr>
                <w:rFonts w:cstheme="minorHAnsi"/>
              </w:rPr>
            </w:pPr>
            <w:r>
              <w:rPr>
                <w:rFonts w:cstheme="minorHAnsi"/>
              </w:rPr>
              <w:t>Adults</w:t>
            </w:r>
          </w:p>
        </w:tc>
        <w:tc>
          <w:tcPr>
            <w:tcW w:w="1985" w:type="dxa"/>
          </w:tcPr>
          <w:p w14:paraId="3009FFC7" w14:textId="77777777" w:rsidR="002C6B67" w:rsidRDefault="002C6B67" w:rsidP="00CF3643">
            <w:pPr>
              <w:rPr>
                <w:rFonts w:cstheme="minorHAnsi"/>
              </w:rPr>
            </w:pPr>
            <w:r>
              <w:rPr>
                <w:rFonts w:cstheme="minorHAnsi"/>
              </w:rPr>
              <w:t>20G non-fenestrated catheter: 2 / 102 (2.0)</w:t>
            </w:r>
          </w:p>
          <w:p w14:paraId="0AA6324A" w14:textId="77777777" w:rsidR="002C6B67" w:rsidRDefault="002C6B67" w:rsidP="00CF3643">
            <w:pPr>
              <w:rPr>
                <w:rFonts w:cstheme="minorHAnsi"/>
              </w:rPr>
            </w:pPr>
            <w:r>
              <w:rPr>
                <w:rFonts w:cstheme="minorHAnsi"/>
              </w:rPr>
              <w:t>18G fenestrated catheter: 0/103 (0)</w:t>
            </w:r>
          </w:p>
          <w:p w14:paraId="24E3EED1" w14:textId="77777777" w:rsidR="002C6B67" w:rsidRDefault="002C6B67" w:rsidP="00CF3643">
            <w:pPr>
              <w:rPr>
                <w:rFonts w:cstheme="minorHAnsi"/>
              </w:rPr>
            </w:pPr>
          </w:p>
        </w:tc>
        <w:tc>
          <w:tcPr>
            <w:tcW w:w="3969" w:type="dxa"/>
          </w:tcPr>
          <w:p w14:paraId="574D88AA" w14:textId="77777777" w:rsidR="002C6B67" w:rsidRDefault="002C6B67" w:rsidP="00CF3643">
            <w:pPr>
              <w:rPr>
                <w:rFonts w:cstheme="minorHAnsi"/>
              </w:rPr>
            </w:pPr>
            <w:r>
              <w:rPr>
                <w:rFonts w:cstheme="minorHAnsi"/>
              </w:rPr>
              <w:t>Comparing performance of 20G non-fenestrated vs. 18G fenestrated catheters.</w:t>
            </w:r>
          </w:p>
        </w:tc>
        <w:tc>
          <w:tcPr>
            <w:tcW w:w="992" w:type="dxa"/>
          </w:tcPr>
          <w:p w14:paraId="5480B933" w14:textId="77777777" w:rsidR="002C6B67" w:rsidRDefault="002C6B67" w:rsidP="00CF3643">
            <w:pPr>
              <w:rPr>
                <w:rFonts w:cstheme="minorHAnsi"/>
              </w:rPr>
            </w:pPr>
            <w:r>
              <w:rPr>
                <w:rFonts w:cstheme="minorHAnsi"/>
              </w:rPr>
              <w:t>Good</w:t>
            </w:r>
          </w:p>
        </w:tc>
        <w:tc>
          <w:tcPr>
            <w:tcW w:w="1134" w:type="dxa"/>
          </w:tcPr>
          <w:p w14:paraId="694DB264" w14:textId="77777777" w:rsidR="002C6B67" w:rsidRDefault="002C6B67" w:rsidP="00CF3643">
            <w:pPr>
              <w:rPr>
                <w:rFonts w:cstheme="minorHAnsi"/>
              </w:rPr>
            </w:pPr>
            <w:r>
              <w:rPr>
                <w:rFonts w:cstheme="minorHAnsi"/>
              </w:rPr>
              <w:t>1b</w:t>
            </w:r>
          </w:p>
        </w:tc>
      </w:tr>
      <w:tr w:rsidR="002C6B67" w14:paraId="61EE3AB4" w14:textId="77777777" w:rsidTr="00CF3643">
        <w:tc>
          <w:tcPr>
            <w:tcW w:w="2972" w:type="dxa"/>
          </w:tcPr>
          <w:p w14:paraId="70D16719" w14:textId="4FCA5B74" w:rsidR="002C6B67" w:rsidRPr="009301DD" w:rsidRDefault="002C6B67" w:rsidP="00CF3643">
            <w:pPr>
              <w:rPr>
                <w:rFonts w:cstheme="minorHAnsi"/>
              </w:rPr>
            </w:pPr>
            <w:r w:rsidRPr="009301DD">
              <w:rPr>
                <w:rFonts w:cstheme="minorHAnsi"/>
              </w:rPr>
              <w:t>Niv et al</w:t>
            </w:r>
            <w:r>
              <w:rPr>
                <w:rFonts w:cstheme="minorHAnsi"/>
              </w:rPr>
              <w:t xml:space="preserve">, </w:t>
            </w:r>
            <w:r w:rsidRPr="009301DD">
              <w:rPr>
                <w:rFonts w:cstheme="minorHAnsi"/>
              </w:rPr>
              <w:t>2014</w:t>
            </w:r>
            <w:r>
              <w:rPr>
                <w:rFonts w:cstheme="minorHAnsi"/>
              </w:rPr>
              <w:fldChar w:fldCharType="begin"/>
            </w:r>
            <w:r w:rsidR="00731981">
              <w:rPr>
                <w:rFonts w:cstheme="minorHAnsi"/>
              </w:rPr>
              <w:instrText xml:space="preserve"> ADDIN ZOTERO_ITEM CSL_CITATION {"citationID":"jerKQabL","properties":{"formattedCitation":"[33]","plainCitation":"[33]","noteIndex":0},"citationItems":[{"id":32,"uris":["http://zotero.org/users/2960325/items/2V7768F8"],"uri":["http://zotero.org/users/2960325/items/2V7768F8"],"itemData":{"id":32,"type":"article-journal","abstract":"INTRODUCTION: Extravasation is a well-recognized complication estimated to be between 0.1% and 0.9% of contrast medium administrations. According to the UC San Diego (UCSD) health system policy, all contrast medium extravasation (CME) reports are reviewed by the department of Risk Management, and the appropriate action is taken. Despite this strategy, a decrease in the incidence of CME could not be demonstrated.\nAIM: The aims of this study were to determine the frequency, management, and outcome of CME in UC San Diego patients and to assess the knowledge regarding CME among radiology technologists based on policy and guidelines. The secondary aim was to assess the manual ability of the radiology technologists in the performance of the procedure.\nMETHODS: The study has 2 parts; the first was retrospective, including data collection and interpretation of all radiology procedures using intravenous contrast medium injection between January 1, 2010, and September 30, 2011, and the second was prospective, including proactive observations and knowledge questionnaire.\nRESULTS: There were 83 (0.48%) cases of CME of 17,200 patients, 54 women (0.64%) and 29 men (0.33%), P = 0.005. The patients with CME were older, and their cannula was inserted in other departments than Radiology Department, P &lt; 0.000. There was a gap between the high theoretical knowledge that was found in the knowledge questionnaire and its implementation that was demonstrated in the proactive observation.\nCONCLUSIONS: Our data demonstrate that sex, age, and where the cannula was inserted are predictive factors for CME. We believe that CME could be prevented by proper educational program and establishment of efficient strategy.","container-title":"Journal of Patient Safety","DOI":"10.1097/PTS.0000000000000114","ISSN":"1549-8425","issue":"2","journalAbbreviation":"J Patient Saf","language":"eng","note":"PMID: 24813347","page":"105-110","source":"PubMed","title":"Vascular extravasation of contrast medium in radiological examinations: University of California San Diego Health System Experience","title-short":"Vascular extravasation of contrast medium in radiological examinations","volume":"10","author":[{"family":"Niv","given":"Galia"},{"family":"Costa","given":"Matthew"},{"family":"Kicak","given":"Patricia"},{"family":"Richman","given":"Katherine"}],"issued":{"date-parts":[["2014",6]]}}}],"schema":"https://github.com/citation-style-language/schema/raw/master/csl-citation.json"} </w:instrText>
            </w:r>
            <w:r>
              <w:rPr>
                <w:rFonts w:cstheme="minorHAnsi"/>
              </w:rPr>
              <w:fldChar w:fldCharType="separate"/>
            </w:r>
            <w:r w:rsidR="00731981">
              <w:rPr>
                <w:rFonts w:cstheme="minorHAnsi"/>
                <w:noProof/>
              </w:rPr>
              <w:t>[33]</w:t>
            </w:r>
            <w:r>
              <w:rPr>
                <w:rFonts w:cstheme="minorHAnsi"/>
              </w:rPr>
              <w:fldChar w:fldCharType="end"/>
            </w:r>
          </w:p>
        </w:tc>
        <w:tc>
          <w:tcPr>
            <w:tcW w:w="1701" w:type="dxa"/>
          </w:tcPr>
          <w:p w14:paraId="2C6D19CD" w14:textId="77777777" w:rsidR="002C6B67" w:rsidRDefault="002C6B67" w:rsidP="00CF3643">
            <w:pPr>
              <w:rPr>
                <w:rFonts w:cstheme="minorHAnsi"/>
              </w:rPr>
            </w:pPr>
            <w:r>
              <w:rPr>
                <w:rFonts w:cstheme="minorHAnsi"/>
              </w:rPr>
              <w:t>Retrospective and prospective</w:t>
            </w:r>
          </w:p>
        </w:tc>
        <w:tc>
          <w:tcPr>
            <w:tcW w:w="1701" w:type="dxa"/>
          </w:tcPr>
          <w:p w14:paraId="7083A0B7" w14:textId="77777777" w:rsidR="002C6B67" w:rsidRDefault="002C6B67" w:rsidP="00CF3643">
            <w:pPr>
              <w:rPr>
                <w:rFonts w:cstheme="minorHAnsi"/>
              </w:rPr>
            </w:pPr>
            <w:r>
              <w:rPr>
                <w:rFonts w:cstheme="minorHAnsi"/>
              </w:rPr>
              <w:t>Adults and children</w:t>
            </w:r>
          </w:p>
        </w:tc>
        <w:tc>
          <w:tcPr>
            <w:tcW w:w="1985" w:type="dxa"/>
          </w:tcPr>
          <w:p w14:paraId="04B9851E" w14:textId="77777777" w:rsidR="002C6B67" w:rsidRDefault="002C6B67" w:rsidP="00CF3643">
            <w:pPr>
              <w:rPr>
                <w:rFonts w:cstheme="minorHAnsi"/>
              </w:rPr>
            </w:pPr>
            <w:r>
              <w:rPr>
                <w:rFonts w:cstheme="minorHAnsi"/>
              </w:rPr>
              <w:t>83 / 37788 (0.48)</w:t>
            </w:r>
          </w:p>
        </w:tc>
        <w:tc>
          <w:tcPr>
            <w:tcW w:w="3969" w:type="dxa"/>
          </w:tcPr>
          <w:p w14:paraId="5C349475" w14:textId="77777777" w:rsidR="002C6B67" w:rsidRDefault="002C6B67" w:rsidP="00CF3643">
            <w:pPr>
              <w:rPr>
                <w:rFonts w:cstheme="minorHAnsi"/>
              </w:rPr>
            </w:pPr>
            <w:r>
              <w:rPr>
                <w:rFonts w:cstheme="minorHAnsi"/>
              </w:rPr>
              <w:t xml:space="preserve">Non-ionic CM, catheter size, type of procedure, location, flow rate, gender, </w:t>
            </w:r>
            <w:proofErr w:type="gramStart"/>
            <w:r>
              <w:rPr>
                <w:rFonts w:cstheme="minorHAnsi"/>
              </w:rPr>
              <w:t>age</w:t>
            </w:r>
            <w:proofErr w:type="gramEnd"/>
            <w:r>
              <w:rPr>
                <w:rFonts w:cstheme="minorHAnsi"/>
              </w:rPr>
              <w:t xml:space="preserve"> and location of insertion on rates, symptoms, severity, </w:t>
            </w:r>
            <w:r>
              <w:rPr>
                <w:rFonts w:cstheme="minorHAnsi"/>
              </w:rPr>
              <w:lastRenderedPageBreak/>
              <w:t xml:space="preserve">treatments, volume and management outcomes of CMEX. </w:t>
            </w:r>
          </w:p>
        </w:tc>
        <w:tc>
          <w:tcPr>
            <w:tcW w:w="992" w:type="dxa"/>
          </w:tcPr>
          <w:p w14:paraId="68302E0F" w14:textId="77777777" w:rsidR="002C6B67" w:rsidRDefault="002C6B67" w:rsidP="00CF3643">
            <w:pPr>
              <w:rPr>
                <w:rFonts w:cstheme="minorHAnsi"/>
              </w:rPr>
            </w:pPr>
            <w:r>
              <w:rPr>
                <w:rFonts w:cstheme="minorHAnsi"/>
              </w:rPr>
              <w:lastRenderedPageBreak/>
              <w:t>Good</w:t>
            </w:r>
          </w:p>
        </w:tc>
        <w:tc>
          <w:tcPr>
            <w:tcW w:w="1134" w:type="dxa"/>
          </w:tcPr>
          <w:p w14:paraId="1B63E253" w14:textId="77777777" w:rsidR="002C6B67" w:rsidRDefault="002C6B67" w:rsidP="00CF3643">
            <w:pPr>
              <w:rPr>
                <w:rFonts w:cstheme="minorHAnsi"/>
              </w:rPr>
            </w:pPr>
            <w:r>
              <w:rPr>
                <w:rFonts w:cstheme="minorHAnsi"/>
              </w:rPr>
              <w:t>4</w:t>
            </w:r>
          </w:p>
        </w:tc>
      </w:tr>
      <w:tr w:rsidR="002C6B67" w14:paraId="455233EF" w14:textId="77777777" w:rsidTr="00CF3643">
        <w:tc>
          <w:tcPr>
            <w:tcW w:w="2972" w:type="dxa"/>
          </w:tcPr>
          <w:p w14:paraId="0B4F0035" w14:textId="075C3D5A" w:rsidR="002C6B67" w:rsidRPr="009301DD" w:rsidRDefault="002C6B67" w:rsidP="00CF3643">
            <w:pPr>
              <w:rPr>
                <w:rFonts w:cstheme="minorHAnsi"/>
              </w:rPr>
            </w:pPr>
            <w:r w:rsidRPr="00707F4C">
              <w:rPr>
                <w:rFonts w:cstheme="minorHAnsi"/>
              </w:rPr>
              <w:t xml:space="preserve">Pacheco </w:t>
            </w:r>
            <w:proofErr w:type="spellStart"/>
            <w:r w:rsidRPr="00707F4C">
              <w:rPr>
                <w:rFonts w:cstheme="minorHAnsi"/>
              </w:rPr>
              <w:t>Compana</w:t>
            </w:r>
            <w:proofErr w:type="spellEnd"/>
            <w:r w:rsidRPr="00707F4C">
              <w:rPr>
                <w:rFonts w:cstheme="minorHAnsi"/>
              </w:rPr>
              <w:t xml:space="preserve"> et al</w:t>
            </w:r>
            <w:r>
              <w:rPr>
                <w:rFonts w:cstheme="minorHAnsi"/>
              </w:rPr>
              <w:t xml:space="preserve">, </w:t>
            </w:r>
            <w:r w:rsidRPr="00707F4C">
              <w:rPr>
                <w:rFonts w:cstheme="minorHAnsi"/>
              </w:rPr>
              <w:t>2014</w:t>
            </w:r>
            <w:r>
              <w:rPr>
                <w:rFonts w:cstheme="minorHAnsi"/>
              </w:rPr>
              <w:fldChar w:fldCharType="begin"/>
            </w:r>
            <w:r w:rsidR="00731981">
              <w:rPr>
                <w:rFonts w:cstheme="minorHAnsi"/>
              </w:rPr>
              <w:instrText xml:space="preserve"> ADDIN ZOTERO_ITEM CSL_CITATION {"citationID":"CtqQcHFm","properties":{"formattedCitation":"[34]","plainCitation":"[34]","noteIndex":0},"citationItems":[{"id":47,"uris":["http://zotero.org/users/2960325/items/PDGK6NIS"],"uri":["http://zotero.org/users/2960325/items/PDGK6NIS"],"itemData":{"id":47,"type":"article-journal","abstract":"The incidence of contrast medium extravasation at the venipuncture site has increased with the generalized use of automatic injectors. Most extravasations only cause slight edema and erythema. Nevertheless, in some cases extravasation can result in severe skin lesions or even in compartment syndrome. Lesions caused by extravasation usually resolve spontaneously with conservative treatment. Although the complications of extravasation are well known, institutional protocols are normally lacking and the criteria for taking action and the type of treatment, whether based on the literature or personal preferences, tend to vary. In this article, we review the incidence, risk factors, clinical manifestations, and options for preventing and treating contrast medium extravasation in soft tissues. Finally, we present the protocol we use to manage extravasation at our hospital.","container-title":"Radiologia","DOI":"10.1016/j.rx.2014.02.003","ISSN":"1578-178X","issue":"4","journalAbbreviation":"Radiologia","language":"spa","note":"PMID: 24878397","page":"295-302","source":"PubMed","title":"[Extravasation of contrast media at the puncture site: Strategies for managment]","title-short":"[Extravasation of contrast media at the puncture site","volume":"56","author":[{"family":"Pacheco Compaña","given":"F. J."},{"family":"Gago Vidal","given":"B."},{"family":"Méndez Díaz","given":"C."}],"issued":{"date-parts":[["2014",8]]}}}],"schema":"https://github.com/citation-style-language/schema/raw/master/csl-citation.json"} </w:instrText>
            </w:r>
            <w:r>
              <w:rPr>
                <w:rFonts w:cstheme="minorHAnsi"/>
              </w:rPr>
              <w:fldChar w:fldCharType="separate"/>
            </w:r>
            <w:r w:rsidR="00731981">
              <w:rPr>
                <w:rFonts w:cstheme="minorHAnsi"/>
                <w:noProof/>
              </w:rPr>
              <w:t>[34]</w:t>
            </w:r>
            <w:r>
              <w:rPr>
                <w:rFonts w:cstheme="minorHAnsi"/>
              </w:rPr>
              <w:fldChar w:fldCharType="end"/>
            </w:r>
          </w:p>
        </w:tc>
        <w:tc>
          <w:tcPr>
            <w:tcW w:w="1701" w:type="dxa"/>
          </w:tcPr>
          <w:p w14:paraId="70C7AB8C" w14:textId="77777777" w:rsidR="002C6B67" w:rsidRDefault="002C6B67" w:rsidP="00CF3643">
            <w:pPr>
              <w:rPr>
                <w:rFonts w:cstheme="minorHAnsi"/>
              </w:rPr>
            </w:pPr>
            <w:r>
              <w:rPr>
                <w:rFonts w:cstheme="minorHAnsi"/>
              </w:rPr>
              <w:t>Review article</w:t>
            </w:r>
          </w:p>
        </w:tc>
        <w:tc>
          <w:tcPr>
            <w:tcW w:w="1701" w:type="dxa"/>
          </w:tcPr>
          <w:p w14:paraId="370CFFD6" w14:textId="77777777" w:rsidR="002C6B67" w:rsidRDefault="002C6B67" w:rsidP="00CF3643">
            <w:pPr>
              <w:rPr>
                <w:rFonts w:cstheme="minorHAnsi"/>
              </w:rPr>
            </w:pPr>
            <w:r>
              <w:rPr>
                <w:rFonts w:cstheme="minorHAnsi"/>
              </w:rPr>
              <w:t>Adults</w:t>
            </w:r>
          </w:p>
        </w:tc>
        <w:tc>
          <w:tcPr>
            <w:tcW w:w="1985" w:type="dxa"/>
          </w:tcPr>
          <w:p w14:paraId="08BF96D4" w14:textId="77777777" w:rsidR="002C6B67" w:rsidRDefault="002C6B67" w:rsidP="00CF3643">
            <w:pPr>
              <w:rPr>
                <w:rFonts w:cstheme="minorHAnsi"/>
              </w:rPr>
            </w:pPr>
            <w:r>
              <w:rPr>
                <w:rFonts w:cstheme="minorHAnsi"/>
              </w:rPr>
              <w:t>Not applicable</w:t>
            </w:r>
          </w:p>
        </w:tc>
        <w:tc>
          <w:tcPr>
            <w:tcW w:w="3969" w:type="dxa"/>
          </w:tcPr>
          <w:p w14:paraId="3909ED93" w14:textId="77777777" w:rsidR="002C6B67" w:rsidRDefault="002C6B67" w:rsidP="00CF3643">
            <w:pPr>
              <w:rPr>
                <w:rFonts w:cstheme="minorHAnsi"/>
              </w:rPr>
            </w:pPr>
            <w:r>
              <w:rPr>
                <w:rFonts w:cstheme="minorHAnsi"/>
              </w:rPr>
              <w:t xml:space="preserve">Incidence, mechanisms, diagnosis, risk factors, </w:t>
            </w:r>
            <w:proofErr w:type="gramStart"/>
            <w:r>
              <w:rPr>
                <w:rFonts w:cstheme="minorHAnsi"/>
              </w:rPr>
              <w:t>prevention</w:t>
            </w:r>
            <w:proofErr w:type="gramEnd"/>
            <w:r>
              <w:rPr>
                <w:rFonts w:cstheme="minorHAnsi"/>
              </w:rPr>
              <w:t xml:space="preserve"> and management protocol of CMEX.</w:t>
            </w:r>
          </w:p>
        </w:tc>
        <w:tc>
          <w:tcPr>
            <w:tcW w:w="992" w:type="dxa"/>
          </w:tcPr>
          <w:p w14:paraId="4CEC00D6" w14:textId="77777777" w:rsidR="002C6B67" w:rsidRDefault="002C6B67" w:rsidP="00CF3643">
            <w:pPr>
              <w:rPr>
                <w:rFonts w:cstheme="minorHAnsi"/>
              </w:rPr>
            </w:pPr>
            <w:r>
              <w:rPr>
                <w:rFonts w:cstheme="minorHAnsi"/>
              </w:rPr>
              <w:t>Poor</w:t>
            </w:r>
          </w:p>
        </w:tc>
        <w:tc>
          <w:tcPr>
            <w:tcW w:w="1134" w:type="dxa"/>
          </w:tcPr>
          <w:p w14:paraId="14E8E2D1" w14:textId="77777777" w:rsidR="002C6B67" w:rsidRDefault="002C6B67" w:rsidP="00CF3643">
            <w:pPr>
              <w:rPr>
                <w:rFonts w:cstheme="minorHAnsi"/>
              </w:rPr>
            </w:pPr>
            <w:r>
              <w:rPr>
                <w:rFonts w:cstheme="minorHAnsi"/>
              </w:rPr>
              <w:t>4</w:t>
            </w:r>
          </w:p>
        </w:tc>
      </w:tr>
      <w:tr w:rsidR="002C6B67" w14:paraId="7BDF6C88" w14:textId="77777777" w:rsidTr="00CF3643">
        <w:tc>
          <w:tcPr>
            <w:tcW w:w="2972" w:type="dxa"/>
          </w:tcPr>
          <w:p w14:paraId="7D9F20A7" w14:textId="49EE512F" w:rsidR="002C6B67" w:rsidRPr="009301DD" w:rsidRDefault="002C6B67" w:rsidP="00CF3643">
            <w:pPr>
              <w:rPr>
                <w:rFonts w:cstheme="minorHAnsi"/>
              </w:rPr>
            </w:pPr>
            <w:r w:rsidRPr="009301DD">
              <w:rPr>
                <w:rFonts w:cstheme="minorHAnsi"/>
              </w:rPr>
              <w:t>Shaqdan et al</w:t>
            </w:r>
            <w:r>
              <w:rPr>
                <w:rFonts w:cstheme="minorHAnsi"/>
              </w:rPr>
              <w:t xml:space="preserve">, </w:t>
            </w:r>
            <w:r w:rsidRPr="009301DD">
              <w:rPr>
                <w:rFonts w:cstheme="minorHAnsi"/>
              </w:rPr>
              <w:t>2014</w:t>
            </w:r>
            <w:r>
              <w:rPr>
                <w:rFonts w:cstheme="minorHAnsi"/>
              </w:rPr>
              <w:fldChar w:fldCharType="begin"/>
            </w:r>
            <w:r w:rsidR="00731981">
              <w:rPr>
                <w:rFonts w:cstheme="minorHAnsi"/>
              </w:rPr>
              <w:instrText xml:space="preserve"> ADDIN ZOTERO_ITEM CSL_CITATION {"citationID":"U4pNSN4k","properties":{"formattedCitation":"[35]","plainCitation":"[35]","noteIndex":0},"citationItems":[{"id":31,"uris":["http://zotero.org/users/2960325/items/ZAJSLS2I"],"uri":["http://zotero.org/users/2960325/items/ZAJSLS2I"],"itemData":{"id":31,"type":"article-journal","abstract":"AIM: To present the authors' experience of contrast medium extravasation (CME) during both CT and MRI examinations in a large academic medical centre.\nMATERIALS AND METHODS: The present retrospective investigation was conducted between June 2008 and June 2013. The radiology data and medical records of patients in whom CME had occurred were reviewed.\nRESULTS: The extravasation rate for CT and MRI was 0.11% (541/502 391); the % was 0.13% during CT and 0.06% during MRI. There was a statistically significant difference between females and males in the overall % (p = 0.0062), and the number of extravasations between CT and MRI (p &lt; 0.0001). At MRI, the incidence of CME in patients &gt;60 years was statistically significant when compared to the 18-60 year age group (p = 0.0072). Of 90 MRI patients with extravasation, CME occurred in 51 (0.048%, 51/105,578) patients from manual injections, and 39 (0.087%, 39/44,688) patients from automated injection with statistical significance (p = 0.0048). A statistical significance was found between females receiving automatic injections and males receiving manual injections (p = 0.0161). The majority of CME during CT and MRI occurred in the outpatient department [64.5% (291/451) and 64.4% (58/90), respectively], but the overall incidence of CME was highest in inpatients [0.29%, (160/54,664) in CT and 0.16% (32/20,048) in MRI].\nCONCLUSION: Patients undergoing CT are at higher risk of developing CME than MRI patients. Females and inpatients were also were more likely to develop CME at both CT and MRI. At MRI CME is more likely in patients above the age of 60 years and for those receiving automated power injections.","container-title":"Clinical Radiology","DOI":"10.1016/j.crad.2014.08.004","ISSN":"1365-229X","issue":"12","journalAbbreviation":"Clin Radiol","language":"eng","note":"PMID: 25248291","page":"1264-1272","source":"PubMed","title":"Incidence of contrast medium extravasation for CT and MRI in a large academic medical centre: a report on 502,391 injections","title-short":"Incidence of contrast medium extravasation for CT and MRI in a large academic medical centre","volume":"69","author":[{"family":"Shaqdan","given":"K."},{"family":"Aran","given":"S."},{"family":"Thrall","given":"J."},{"family":"Abujudeh","given":"H."}],"issued":{"date-parts":[["2014",12]]}}}],"schema":"https://github.com/citation-style-language/schema/raw/master/csl-citation.json"} </w:instrText>
            </w:r>
            <w:r>
              <w:rPr>
                <w:rFonts w:cstheme="minorHAnsi"/>
              </w:rPr>
              <w:fldChar w:fldCharType="separate"/>
            </w:r>
            <w:r w:rsidR="00731981">
              <w:rPr>
                <w:rFonts w:cstheme="minorHAnsi"/>
                <w:noProof/>
              </w:rPr>
              <w:t>[35]</w:t>
            </w:r>
            <w:r>
              <w:rPr>
                <w:rFonts w:cstheme="minorHAnsi"/>
              </w:rPr>
              <w:fldChar w:fldCharType="end"/>
            </w:r>
          </w:p>
        </w:tc>
        <w:tc>
          <w:tcPr>
            <w:tcW w:w="1701" w:type="dxa"/>
          </w:tcPr>
          <w:p w14:paraId="5CB495C9" w14:textId="77777777" w:rsidR="002C6B67" w:rsidRDefault="002C6B67" w:rsidP="00CF3643">
            <w:pPr>
              <w:rPr>
                <w:rFonts w:cstheme="minorHAnsi"/>
              </w:rPr>
            </w:pPr>
            <w:r>
              <w:rPr>
                <w:rFonts w:cstheme="minorHAnsi"/>
              </w:rPr>
              <w:t>Retrospective</w:t>
            </w:r>
          </w:p>
        </w:tc>
        <w:tc>
          <w:tcPr>
            <w:tcW w:w="1701" w:type="dxa"/>
          </w:tcPr>
          <w:p w14:paraId="16E3283F" w14:textId="77777777" w:rsidR="002C6B67" w:rsidRDefault="002C6B67" w:rsidP="00CF3643">
            <w:pPr>
              <w:rPr>
                <w:rFonts w:cstheme="minorHAnsi"/>
              </w:rPr>
            </w:pPr>
            <w:r>
              <w:rPr>
                <w:rFonts w:cstheme="minorHAnsi"/>
              </w:rPr>
              <w:t>Adults and children</w:t>
            </w:r>
          </w:p>
        </w:tc>
        <w:tc>
          <w:tcPr>
            <w:tcW w:w="1985" w:type="dxa"/>
          </w:tcPr>
          <w:p w14:paraId="238BC5C4" w14:textId="77777777" w:rsidR="002C6B67" w:rsidRDefault="002C6B67" w:rsidP="00CF3643">
            <w:pPr>
              <w:rPr>
                <w:rFonts w:cstheme="minorHAnsi"/>
              </w:rPr>
            </w:pPr>
            <w:r>
              <w:rPr>
                <w:rFonts w:cstheme="minorHAnsi"/>
              </w:rPr>
              <w:t>Non-ionic: 451 / 352125 (0.13)</w:t>
            </w:r>
          </w:p>
          <w:p w14:paraId="442EB19E" w14:textId="77777777" w:rsidR="002C6B67" w:rsidRDefault="002C6B67" w:rsidP="00CF3643">
            <w:pPr>
              <w:rPr>
                <w:rFonts w:cstheme="minorHAnsi"/>
              </w:rPr>
            </w:pPr>
            <w:r>
              <w:rPr>
                <w:rFonts w:cstheme="minorHAnsi"/>
              </w:rPr>
              <w:t>GBCAs: 90 / 150266 (0.06)</w:t>
            </w:r>
          </w:p>
        </w:tc>
        <w:tc>
          <w:tcPr>
            <w:tcW w:w="3969" w:type="dxa"/>
          </w:tcPr>
          <w:p w14:paraId="4E60C3D4" w14:textId="77777777" w:rsidR="002C6B67" w:rsidRDefault="002C6B67" w:rsidP="00CF3643">
            <w:pPr>
              <w:rPr>
                <w:rFonts w:cstheme="minorHAnsi"/>
              </w:rPr>
            </w:pPr>
            <w:r>
              <w:rPr>
                <w:rFonts w:cstheme="minorHAnsi"/>
              </w:rPr>
              <w:t xml:space="preserve">Non-ionic and GBCAs. CT vs. MRI, power-injector vs manual, age, gender and setting, </w:t>
            </w:r>
          </w:p>
        </w:tc>
        <w:tc>
          <w:tcPr>
            <w:tcW w:w="992" w:type="dxa"/>
          </w:tcPr>
          <w:p w14:paraId="71457627" w14:textId="77777777" w:rsidR="002C6B67" w:rsidRDefault="002C6B67" w:rsidP="00CF3643">
            <w:pPr>
              <w:rPr>
                <w:rFonts w:cstheme="minorHAnsi"/>
              </w:rPr>
            </w:pPr>
            <w:r>
              <w:rPr>
                <w:rFonts w:cstheme="minorHAnsi"/>
              </w:rPr>
              <w:t>Good</w:t>
            </w:r>
          </w:p>
        </w:tc>
        <w:tc>
          <w:tcPr>
            <w:tcW w:w="1134" w:type="dxa"/>
          </w:tcPr>
          <w:p w14:paraId="10D2A3B7" w14:textId="77777777" w:rsidR="002C6B67" w:rsidRDefault="002C6B67" w:rsidP="00CF3643">
            <w:pPr>
              <w:rPr>
                <w:rFonts w:cstheme="minorHAnsi"/>
              </w:rPr>
            </w:pPr>
            <w:r>
              <w:rPr>
                <w:rFonts w:cstheme="minorHAnsi"/>
              </w:rPr>
              <w:t>4</w:t>
            </w:r>
          </w:p>
        </w:tc>
      </w:tr>
      <w:tr w:rsidR="002C6B67" w14:paraId="0BB83298" w14:textId="77777777" w:rsidTr="00CF3643">
        <w:tc>
          <w:tcPr>
            <w:tcW w:w="2972" w:type="dxa"/>
          </w:tcPr>
          <w:p w14:paraId="4553A16E" w14:textId="37EE0451" w:rsidR="002C6B67" w:rsidRPr="009301DD" w:rsidRDefault="002C6B67" w:rsidP="00CF3643">
            <w:pPr>
              <w:rPr>
                <w:rFonts w:cstheme="minorHAnsi"/>
              </w:rPr>
            </w:pPr>
            <w:r w:rsidRPr="009301DD">
              <w:rPr>
                <w:rFonts w:cstheme="minorHAnsi"/>
              </w:rPr>
              <w:t>Alami et al</w:t>
            </w:r>
            <w:r>
              <w:rPr>
                <w:rFonts w:cstheme="minorHAnsi"/>
              </w:rPr>
              <w:t xml:space="preserve">, </w:t>
            </w:r>
            <w:r w:rsidRPr="009301DD">
              <w:rPr>
                <w:rFonts w:cstheme="minorHAnsi"/>
              </w:rPr>
              <w:t>2015</w:t>
            </w:r>
            <w:r>
              <w:rPr>
                <w:rFonts w:cstheme="minorHAnsi"/>
              </w:rPr>
              <w:fldChar w:fldCharType="begin"/>
            </w:r>
            <w:r w:rsidR="00731981">
              <w:rPr>
                <w:rFonts w:cstheme="minorHAnsi"/>
              </w:rPr>
              <w:instrText xml:space="preserve"> ADDIN ZOTERO_ITEM CSL_CITATION {"citationID":"XAEryVfU","properties":{"formattedCitation":"[36]","plainCitation":"[36]","noteIndex":0},"citationItems":[{"id":33,"uris":["http://zotero.org/users/2960325/items/MDJPG4U5"],"uri":["http://zotero.org/users/2960325/items/MDJPG4U5"],"itemData":{"id":33,"type":"article-journal","abstract":"Introduction\nExtravasation is an adverse reaction to intravenous injection of contrast medium (CM) during CT examination. The objectives of this study are to determine the frequency, management and outcomes of extravasations and to assess risk factors for extravasation.\n\nMethods\nEvery incident of extravasation which occurred between March 2012 and March 31, 2013 was recorded in an extravasation form. Ethics Committee approval was obtained and the patients gave their consent to participate in the study. Data collected in the form included patients’ age, sex, comorbidities, symptoms, CM used, injection mode, site and rate, extravasated volume, location of extravasation, severity of injury, treatment and patient outcome. Each case was matched with 4 controls of the same age ± 5 years and the same gender when possible.\n\nResults\nExtravasation occurred in 18 (7 women, 11 men) out of 2,000 injections of CM (0.9%) with a median age of 53 (10-78) years. Automated injection was performed in all cases with a mean rate of 1.7ml/s. Large extravasated volumes (≥ 50ml) were more observed in patients undergoing CT angiography (28.6% vs. 6.6%, although not significant P=0.112). Multivariate analysis revealed a significant association between patients with cardiac diseases and extravasation (OR: 7.3, 95% CI (1.09-49.05), P=0.04) whereas the injection rate is a protective factor from extravasation (P=0.002).\n\nConclusion\nExtravasation of CM results in mild to moderate adverse effects in all cases. Our study suggests that patients with cardiac disease are more predisposed to contrast extravasation than others. Further and larger studies are needed to confirm this trend.","container-title":"The Pan African Medical Journal","DOI":"10.11604/pamj.2015.20.89.3276","ISSN":"1937-8688","journalAbbreviation":"Pan Afr Med J","note":"PMID: 26090047\nPMCID: PMC4450038","source":"PubMed Central","title":"Extravasation of contrast medium during CT examination: an observational case-control study","title-short":"Extravasation of contrast medium during CT examination","URL":"https://www.ncbi.nlm.nih.gov/pmc/articles/PMC4450038/","volume":"20","author":[{"family":"Alami","given":"Zayneb"},{"family":"Nasri","given":"Siham"},{"family":"Ahid","given":"Samir"},{"family":"Kacem","given":"Hanane Hadj"}],"accessed":{"date-parts":[["2019",8,18]]},"issued":{"date-parts":[["2015",1,30]]}}}],"schema":"https://github.com/citation-style-language/schema/raw/master/csl-citation.json"} </w:instrText>
            </w:r>
            <w:r>
              <w:rPr>
                <w:rFonts w:cstheme="minorHAnsi"/>
              </w:rPr>
              <w:fldChar w:fldCharType="separate"/>
            </w:r>
            <w:r w:rsidR="00731981">
              <w:rPr>
                <w:rFonts w:cstheme="minorHAnsi"/>
                <w:noProof/>
              </w:rPr>
              <w:t>[36]</w:t>
            </w:r>
            <w:r>
              <w:rPr>
                <w:rFonts w:cstheme="minorHAnsi"/>
              </w:rPr>
              <w:fldChar w:fldCharType="end"/>
            </w:r>
          </w:p>
        </w:tc>
        <w:tc>
          <w:tcPr>
            <w:tcW w:w="1701" w:type="dxa"/>
          </w:tcPr>
          <w:p w14:paraId="3464D4E6" w14:textId="77777777" w:rsidR="002C6B67" w:rsidRDefault="002C6B67" w:rsidP="00CF3643">
            <w:pPr>
              <w:rPr>
                <w:rFonts w:cstheme="minorHAnsi"/>
              </w:rPr>
            </w:pPr>
            <w:r>
              <w:rPr>
                <w:rFonts w:cstheme="minorHAnsi"/>
              </w:rPr>
              <w:t>Prospective</w:t>
            </w:r>
          </w:p>
        </w:tc>
        <w:tc>
          <w:tcPr>
            <w:tcW w:w="1701" w:type="dxa"/>
          </w:tcPr>
          <w:p w14:paraId="1B485087" w14:textId="77777777" w:rsidR="002C6B67" w:rsidRDefault="002C6B67" w:rsidP="00CF3643">
            <w:pPr>
              <w:rPr>
                <w:rFonts w:cstheme="minorHAnsi"/>
              </w:rPr>
            </w:pPr>
            <w:r>
              <w:rPr>
                <w:rFonts w:cstheme="minorHAnsi"/>
              </w:rPr>
              <w:t>Adults</w:t>
            </w:r>
          </w:p>
        </w:tc>
        <w:tc>
          <w:tcPr>
            <w:tcW w:w="1985" w:type="dxa"/>
          </w:tcPr>
          <w:p w14:paraId="4045FDC5" w14:textId="77777777" w:rsidR="002C6B67" w:rsidRDefault="002C6B67" w:rsidP="00CF3643">
            <w:pPr>
              <w:rPr>
                <w:rFonts w:cstheme="minorHAnsi"/>
              </w:rPr>
            </w:pPr>
            <w:r>
              <w:rPr>
                <w:rFonts w:cstheme="minorHAnsi"/>
              </w:rPr>
              <w:t>18 / 2000 (0.9)</w:t>
            </w:r>
          </w:p>
        </w:tc>
        <w:tc>
          <w:tcPr>
            <w:tcW w:w="3969" w:type="dxa"/>
          </w:tcPr>
          <w:p w14:paraId="58254748" w14:textId="77777777" w:rsidR="002C6B67" w:rsidRDefault="002C6B67" w:rsidP="00CF3643">
            <w:pPr>
              <w:rPr>
                <w:rFonts w:cstheme="minorHAnsi"/>
              </w:rPr>
            </w:pPr>
            <w:r>
              <w:rPr>
                <w:rFonts w:cstheme="minorHAnsi"/>
              </w:rPr>
              <w:t>Incidence, age, site, rate, patient factors, type of CT scan relationship to CMEX.</w:t>
            </w:r>
          </w:p>
        </w:tc>
        <w:tc>
          <w:tcPr>
            <w:tcW w:w="992" w:type="dxa"/>
          </w:tcPr>
          <w:p w14:paraId="292C7165" w14:textId="77777777" w:rsidR="002C6B67" w:rsidRDefault="002C6B67" w:rsidP="00CF3643">
            <w:pPr>
              <w:rPr>
                <w:rFonts w:cstheme="minorHAnsi"/>
              </w:rPr>
            </w:pPr>
            <w:r>
              <w:rPr>
                <w:rFonts w:cstheme="minorHAnsi"/>
              </w:rPr>
              <w:t>Fair</w:t>
            </w:r>
          </w:p>
        </w:tc>
        <w:tc>
          <w:tcPr>
            <w:tcW w:w="1134" w:type="dxa"/>
          </w:tcPr>
          <w:p w14:paraId="2906FA2C" w14:textId="77777777" w:rsidR="002C6B67" w:rsidRDefault="002C6B67" w:rsidP="00CF3643">
            <w:pPr>
              <w:rPr>
                <w:rFonts w:cstheme="minorHAnsi"/>
              </w:rPr>
            </w:pPr>
            <w:r>
              <w:rPr>
                <w:rFonts w:cstheme="minorHAnsi"/>
              </w:rPr>
              <w:t>4</w:t>
            </w:r>
          </w:p>
        </w:tc>
      </w:tr>
      <w:tr w:rsidR="002C6B67" w14:paraId="040BFEA0" w14:textId="77777777" w:rsidTr="00CF3643">
        <w:tc>
          <w:tcPr>
            <w:tcW w:w="2972" w:type="dxa"/>
          </w:tcPr>
          <w:p w14:paraId="3479A512" w14:textId="3CB13D89" w:rsidR="002C6B67" w:rsidRPr="009301DD" w:rsidRDefault="002C6B67" w:rsidP="00CF3643">
            <w:pPr>
              <w:rPr>
                <w:rFonts w:cstheme="minorHAnsi"/>
              </w:rPr>
            </w:pPr>
            <w:r>
              <w:rPr>
                <w:rFonts w:cstheme="minorHAnsi"/>
              </w:rPr>
              <w:t>Beckett</w:t>
            </w:r>
            <w:r w:rsidRPr="009301DD">
              <w:rPr>
                <w:rFonts w:cstheme="minorHAnsi"/>
              </w:rPr>
              <w:t xml:space="preserve"> et al</w:t>
            </w:r>
            <w:r>
              <w:rPr>
                <w:rFonts w:cstheme="minorHAnsi"/>
              </w:rPr>
              <w:t xml:space="preserve">, </w:t>
            </w:r>
            <w:r w:rsidRPr="009301DD">
              <w:rPr>
                <w:rFonts w:cstheme="minorHAnsi"/>
              </w:rPr>
              <w:t>2015</w:t>
            </w:r>
            <w:r>
              <w:rPr>
                <w:rFonts w:cstheme="minorHAnsi"/>
              </w:rPr>
              <w:fldChar w:fldCharType="begin"/>
            </w:r>
            <w:r w:rsidR="00731981">
              <w:rPr>
                <w:rFonts w:cstheme="minorHAnsi"/>
              </w:rPr>
              <w:instrText xml:space="preserve"> ADDIN ZOTERO_ITEM CSL_CITATION {"citationID":"F5ACOgnR","properties":{"formattedCitation":"[37]","plainCitation":"[37]","noteIndex":0},"citationItems":[{"id":128,"uris":["http://zotero.org/users/2960325/items/ZKFNF9PZ"],"uri":["http://zotero.org/users/2960325/items/ZKFNF9PZ"],"itemData":{"id":128,"type":"article-journal","abstract":"Iodinated and gadolinium-based contrast media are used on a daily basis in most radiology practices. These agents often are essential to providing accurate diagnoses, and are nearly always safe and effective when administered correctly. However, reactions to contrast media do occur and can be life threatening. Therefore, it is critical for faculty and staff to know how reactions to contrast agents manifest and how to treat them promptly. The decline in renal function seen occasionally after intravenous administration of iodinated contrast agents is poorly understood and likely multifactorial, and its association with the contrast medium may be overemphasized. However, it is important that radiologists be aware of current understanding and strategies to decrease the incidence of renal dysfunction. Nephrogenic systemic fibrosis, a skin disease, is an adverse reaction related to use of some gadolinium-based contrast agents in patients with chronic renal failure. The types of gadolinium most often associated with this condition and the indications for withholding gadolinium are important and are discussed in this article. The use of enteric contrast agents and contrast agents during pregnancy and nursing are reviewed briefly. Current knowledge for safe use of contrast media and key concepts that all radiologists should know are summarized in this review.","container-title":"Radiographics: A Review Publication of the Radiological Society of North America, Inc","DOI":"10.1148/rg.2015150033","ISSN":"1527-1323","issue":"6","journalAbbreviation":"Radiographics","language":"eng","note":"PMID: 26466182","page":"1738-1750","source":"PubMed","title":"Safe Use of Contrast Media: What the Radiologist Needs to Know","title-short":"Safe Use of Contrast Media","volume":"35","author":[{"family":"Beckett","given":"Katrina R."},{"family":"Moriarity","given":"Andrew K."},{"family":"Langer","given":"Jessica M."}],"issued":{"date-parts":[["2015",10]]}}}],"schema":"https://github.com/citation-style-language/schema/raw/master/csl-citation.json"} </w:instrText>
            </w:r>
            <w:r>
              <w:rPr>
                <w:rFonts w:cstheme="minorHAnsi"/>
              </w:rPr>
              <w:fldChar w:fldCharType="separate"/>
            </w:r>
            <w:r w:rsidR="00731981">
              <w:rPr>
                <w:rFonts w:cstheme="minorHAnsi"/>
                <w:noProof/>
              </w:rPr>
              <w:t>[37]</w:t>
            </w:r>
            <w:r>
              <w:rPr>
                <w:rFonts w:cstheme="minorHAnsi"/>
              </w:rPr>
              <w:fldChar w:fldCharType="end"/>
            </w:r>
          </w:p>
        </w:tc>
        <w:tc>
          <w:tcPr>
            <w:tcW w:w="1701" w:type="dxa"/>
          </w:tcPr>
          <w:p w14:paraId="39BE71B1" w14:textId="77777777" w:rsidR="002C6B67" w:rsidRDefault="002C6B67" w:rsidP="00CF3643">
            <w:pPr>
              <w:rPr>
                <w:rFonts w:cstheme="minorHAnsi"/>
              </w:rPr>
            </w:pPr>
            <w:r>
              <w:rPr>
                <w:rFonts w:cstheme="minorHAnsi"/>
              </w:rPr>
              <w:t>Review article</w:t>
            </w:r>
          </w:p>
        </w:tc>
        <w:tc>
          <w:tcPr>
            <w:tcW w:w="1701" w:type="dxa"/>
          </w:tcPr>
          <w:p w14:paraId="5A1C5815" w14:textId="77777777" w:rsidR="002C6B67" w:rsidRDefault="002C6B67" w:rsidP="00CF3643">
            <w:pPr>
              <w:rPr>
                <w:rFonts w:cstheme="minorHAnsi"/>
              </w:rPr>
            </w:pPr>
            <w:r>
              <w:rPr>
                <w:rFonts w:cstheme="minorHAnsi"/>
              </w:rPr>
              <w:t>Adults</w:t>
            </w:r>
          </w:p>
        </w:tc>
        <w:tc>
          <w:tcPr>
            <w:tcW w:w="1985" w:type="dxa"/>
          </w:tcPr>
          <w:p w14:paraId="0C6C1418" w14:textId="77777777" w:rsidR="002C6B67" w:rsidRDefault="002C6B67" w:rsidP="00CF3643">
            <w:pPr>
              <w:rPr>
                <w:rFonts w:cstheme="minorHAnsi"/>
              </w:rPr>
            </w:pPr>
            <w:r>
              <w:rPr>
                <w:rFonts w:cstheme="minorHAnsi"/>
              </w:rPr>
              <w:t>Not applicable</w:t>
            </w:r>
          </w:p>
        </w:tc>
        <w:tc>
          <w:tcPr>
            <w:tcW w:w="3969" w:type="dxa"/>
          </w:tcPr>
          <w:p w14:paraId="294B96DD" w14:textId="77777777" w:rsidR="002C6B67" w:rsidRDefault="002C6B67" w:rsidP="00CF3643">
            <w:pPr>
              <w:rPr>
                <w:rFonts w:cstheme="minorHAnsi"/>
              </w:rPr>
            </w:pPr>
            <w:r>
              <w:rPr>
                <w:rFonts w:cstheme="minorHAnsi"/>
              </w:rPr>
              <w:t>Diagnosis, risk factors and management of CMEX.</w:t>
            </w:r>
          </w:p>
        </w:tc>
        <w:tc>
          <w:tcPr>
            <w:tcW w:w="992" w:type="dxa"/>
          </w:tcPr>
          <w:p w14:paraId="53E77453" w14:textId="77777777" w:rsidR="002C6B67" w:rsidRDefault="002C6B67" w:rsidP="00CF3643">
            <w:pPr>
              <w:rPr>
                <w:rFonts w:cstheme="minorHAnsi"/>
              </w:rPr>
            </w:pPr>
            <w:r>
              <w:rPr>
                <w:rFonts w:cstheme="minorHAnsi"/>
              </w:rPr>
              <w:t>Fair</w:t>
            </w:r>
          </w:p>
        </w:tc>
        <w:tc>
          <w:tcPr>
            <w:tcW w:w="1134" w:type="dxa"/>
          </w:tcPr>
          <w:p w14:paraId="71667E66" w14:textId="77777777" w:rsidR="002C6B67" w:rsidRDefault="002C6B67" w:rsidP="00CF3643">
            <w:pPr>
              <w:rPr>
                <w:rFonts w:cstheme="minorHAnsi"/>
              </w:rPr>
            </w:pPr>
            <w:r>
              <w:rPr>
                <w:rFonts w:cstheme="minorHAnsi"/>
              </w:rPr>
              <w:t>4</w:t>
            </w:r>
          </w:p>
        </w:tc>
      </w:tr>
      <w:tr w:rsidR="002C6B67" w14:paraId="23934A1C" w14:textId="77777777" w:rsidTr="00CF3643">
        <w:tc>
          <w:tcPr>
            <w:tcW w:w="2972" w:type="dxa"/>
          </w:tcPr>
          <w:p w14:paraId="5B34056F" w14:textId="07825209" w:rsidR="002C6B67" w:rsidRDefault="002C6B67" w:rsidP="00CF3643">
            <w:pPr>
              <w:rPr>
                <w:rFonts w:cstheme="minorHAnsi"/>
              </w:rPr>
            </w:pPr>
            <w:r>
              <w:rPr>
                <w:rFonts w:cstheme="minorHAnsi"/>
              </w:rPr>
              <w:t>Dykes et al, 2015</w:t>
            </w:r>
            <w:r>
              <w:rPr>
                <w:rFonts w:cstheme="minorHAnsi"/>
              </w:rPr>
              <w:fldChar w:fldCharType="begin"/>
            </w:r>
            <w:r w:rsidR="00731981">
              <w:rPr>
                <w:rFonts w:cstheme="minorHAnsi"/>
              </w:rPr>
              <w:instrText xml:space="preserve"> ADDIN ZOTERO_ITEM CSL_CITATION {"citationID":"v1oMK4cW","properties":{"formattedCitation":"[38]","plainCitation":"[38]","noteIndex":0},"citationItems":[{"id":8,"uris":["http://zotero.org/users/2960325/items/2LYK9M5J"],"uri":["http://zotero.org/users/2960325/items/2LYK9M5J"],"itemData":{"id":8,"type":"article-journal","abstract":"PURPOSE: Establish 3 performance benchmarks for intravenous contrast extravasation during CT examinations: extravasation frequency, distribution of extravasation volumes, and severity of injury. Evaluate the effectiveness of implementing practice quality improvement (PQI) methodology in improving performance for these 3 benchmarks.\nMETHODS: The Society of Abdominal Radiology and ACR developed a registry collecting data for contrast extravasation events. The project includes a PQI initiative allowing for process improvement.\nRESULTS: As of December 2013, a total of 58 radiology practices have participated in this project, and 32 practices have completed the 2-cycle PQI. There were a total of 454,497 contrast-enhanced CT exams and 1,085 extravasation events. The average extravasation rate is 0.24%. The median extravasation rate is 0.21%. Most extravasations (82.9%) were between 10 mL and 99 mL. The majority of injuries, 94.6%, are mild in severity, with 4.7% having moderate and 0.8% having severe injuries. Data from practices that completed the PQI process showed a change in the average extravasation rate from 0.28% in the first 6 months to 0.23% in the second 6 months, and the median extravasation rate dropped from 0.25% to 0.16%, neither statistically significant. The distribution of extravasation volumes and the severity of injury did not change between the first and second measurement periods.\nCONCLUSIONS: National performance benchmarks for contrast extravasation rate, distribution of volumes of extravasate, and distribution of severity of injury are established through this multi-institutional practice registry. The application of PQI failed to have a statistically significant positive impact on any of the 3 benchmarks.","container-title":"Journal of the American College of Radiology: JACR","DOI":"10.1016/j.jacr.2014.07.021","ISSN":"1558-349X","issue":"2","journalAbbreviation":"J Am Coll Radiol","language":"eng","note":"PMID: 25245788","page":"183-191","source":"PubMed","title":"Intravenous contrast extravasation during CT: a national data registry and practice quality improvement initiative","title-short":"Intravenous contrast extravasation during CT","volume":"12","author":[{"family":"Dykes","given":"Thomas M."},{"family":"Bhargavan-Chatfield","given":"Mythreyi"},{"family":"Dyer","given":"Raymond B."}],"issued":{"date-parts":[["2015",2]]}}}],"schema":"https://github.com/citation-style-language/schema/raw/master/csl-citation.json"} </w:instrText>
            </w:r>
            <w:r>
              <w:rPr>
                <w:rFonts w:cstheme="minorHAnsi"/>
              </w:rPr>
              <w:fldChar w:fldCharType="separate"/>
            </w:r>
            <w:r w:rsidR="00731981">
              <w:rPr>
                <w:rFonts w:cstheme="minorHAnsi"/>
                <w:noProof/>
              </w:rPr>
              <w:t>[38]</w:t>
            </w:r>
            <w:r>
              <w:rPr>
                <w:rFonts w:cstheme="minorHAnsi"/>
              </w:rPr>
              <w:fldChar w:fldCharType="end"/>
            </w:r>
          </w:p>
        </w:tc>
        <w:tc>
          <w:tcPr>
            <w:tcW w:w="1701" w:type="dxa"/>
          </w:tcPr>
          <w:p w14:paraId="75C14DD6" w14:textId="77777777" w:rsidR="002C6B67" w:rsidRDefault="002C6B67" w:rsidP="00CF3643">
            <w:pPr>
              <w:rPr>
                <w:rFonts w:cstheme="minorHAnsi"/>
              </w:rPr>
            </w:pPr>
            <w:r>
              <w:rPr>
                <w:rFonts w:cstheme="minorHAnsi"/>
              </w:rPr>
              <w:t>National registry and quality improvement study</w:t>
            </w:r>
          </w:p>
        </w:tc>
        <w:tc>
          <w:tcPr>
            <w:tcW w:w="1701" w:type="dxa"/>
          </w:tcPr>
          <w:p w14:paraId="13D3F4C5" w14:textId="77777777" w:rsidR="002C6B67" w:rsidRDefault="002C6B67" w:rsidP="00CF3643">
            <w:pPr>
              <w:rPr>
                <w:rFonts w:cstheme="minorHAnsi"/>
              </w:rPr>
            </w:pPr>
            <w:r>
              <w:rPr>
                <w:rFonts w:cstheme="minorHAnsi"/>
              </w:rPr>
              <w:t>Adults</w:t>
            </w:r>
          </w:p>
        </w:tc>
        <w:tc>
          <w:tcPr>
            <w:tcW w:w="1985" w:type="dxa"/>
          </w:tcPr>
          <w:p w14:paraId="4561DDF1" w14:textId="77777777" w:rsidR="002C6B67" w:rsidRDefault="002C6B67" w:rsidP="00CF3643">
            <w:pPr>
              <w:rPr>
                <w:rFonts w:cstheme="minorHAnsi"/>
              </w:rPr>
            </w:pPr>
            <w:r>
              <w:rPr>
                <w:rFonts w:cstheme="minorHAnsi"/>
              </w:rPr>
              <w:t>1085 / 454497 (0.24)</w:t>
            </w:r>
          </w:p>
        </w:tc>
        <w:tc>
          <w:tcPr>
            <w:tcW w:w="3969" w:type="dxa"/>
          </w:tcPr>
          <w:p w14:paraId="568C3F1D" w14:textId="77777777" w:rsidR="002C6B67" w:rsidRDefault="002C6B67" w:rsidP="00CF3643">
            <w:pPr>
              <w:rPr>
                <w:rFonts w:cstheme="minorHAnsi"/>
              </w:rPr>
            </w:pPr>
            <w:r>
              <w:rPr>
                <w:rFonts w:cstheme="minorHAnsi"/>
              </w:rPr>
              <w:t>Incidence, volume, severity of CMEX. Effect of a quality improvement initiative across multiple sites across the USA.</w:t>
            </w:r>
          </w:p>
        </w:tc>
        <w:tc>
          <w:tcPr>
            <w:tcW w:w="992" w:type="dxa"/>
          </w:tcPr>
          <w:p w14:paraId="5D5E3032" w14:textId="77777777" w:rsidR="002C6B67" w:rsidRDefault="002C6B67" w:rsidP="00CF3643">
            <w:pPr>
              <w:rPr>
                <w:rFonts w:cstheme="minorHAnsi"/>
              </w:rPr>
            </w:pPr>
            <w:r>
              <w:rPr>
                <w:rFonts w:cstheme="minorHAnsi"/>
              </w:rPr>
              <w:t>Good</w:t>
            </w:r>
          </w:p>
        </w:tc>
        <w:tc>
          <w:tcPr>
            <w:tcW w:w="1134" w:type="dxa"/>
          </w:tcPr>
          <w:p w14:paraId="016BE741" w14:textId="77777777" w:rsidR="002C6B67" w:rsidRDefault="002C6B67" w:rsidP="00CF3643">
            <w:pPr>
              <w:rPr>
                <w:rFonts w:cstheme="minorHAnsi"/>
              </w:rPr>
            </w:pPr>
            <w:r>
              <w:rPr>
                <w:rFonts w:cstheme="minorHAnsi"/>
              </w:rPr>
              <w:t>3a</w:t>
            </w:r>
          </w:p>
        </w:tc>
      </w:tr>
      <w:tr w:rsidR="002C6B67" w14:paraId="0A770094" w14:textId="77777777" w:rsidTr="00CF3643">
        <w:tc>
          <w:tcPr>
            <w:tcW w:w="2972" w:type="dxa"/>
          </w:tcPr>
          <w:p w14:paraId="648ECF11" w14:textId="501CECC6" w:rsidR="002C6B67" w:rsidRDefault="002C6B67" w:rsidP="00CF3643">
            <w:pPr>
              <w:rPr>
                <w:rFonts w:cstheme="minorHAnsi"/>
              </w:rPr>
            </w:pPr>
            <w:r w:rsidRPr="00707F4C">
              <w:rPr>
                <w:rFonts w:cstheme="minorHAnsi"/>
              </w:rPr>
              <w:t>Rose &amp; Choi</w:t>
            </w:r>
            <w:r>
              <w:rPr>
                <w:rFonts w:cstheme="minorHAnsi"/>
              </w:rPr>
              <w:t xml:space="preserve">, </w:t>
            </w:r>
            <w:r w:rsidRPr="00707F4C">
              <w:rPr>
                <w:rFonts w:cstheme="minorHAnsi"/>
              </w:rPr>
              <w:t>2015</w:t>
            </w:r>
            <w:r>
              <w:rPr>
                <w:rFonts w:cstheme="minorHAnsi"/>
              </w:rPr>
              <w:fldChar w:fldCharType="begin"/>
            </w:r>
            <w:r w:rsidR="00731981">
              <w:rPr>
                <w:rFonts w:cstheme="minorHAnsi"/>
              </w:rPr>
              <w:instrText xml:space="preserve"> ADDIN ZOTERO_ITEM CSL_CITATION {"citationID":"2tF4Mxa5","properties":{"formattedCitation":"[39]","plainCitation":"[39]","noteIndex":0},"citationItems":[{"id":48,"uris":["http://zotero.org/users/2960325/items/4WNE5XZ6"],"uri":["http://zotero.org/users/2960325/items/4WNE5XZ6"],"itemData":{"id":48,"type":"article-journal","abstract":"Intravenous contrast is commonly used in noninvasive imaging procedures such as magnetic resonance imaging and computed tomography and can evaluate blood vessels and better characterize soft-tissue lesions. Although the incidence of adverse events after administration of contrast is low, it is important that clinicians and radiologists minimize risks and respond quickly and effectively when reactions occur. We will discuss a range of adverse events to iodinated and gadolinium-based contrast agents, including allergic-like reactions, nephrotoxicity, extravasation, and nephrogenic systemic fibrosis. We will review risk stratification for patients, as well as premedication and treatment of adverse events.","container-title":"The American Journal of Medicine","DOI":"10.1016/j.amjmed.2015.02.018","ISSN":"1555-7162","issue":"9","journalAbbreviation":"Am. J. Med.","language":"eng","note":"PMID: 25820169","page":"943-949","source":"PubMed","title":"Intravenous Imaging Contrast Media Complications: The Basics That Every Clinician Needs to Know","title-short":"Intravenous Imaging Contrast Media Complications","volume":"128","author":[{"family":"Rose","given":"Trevor A."},{"family":"Choi","given":"Jung W."}],"issued":{"date-parts":[["2015",9]]}}}],"schema":"https://github.com/citation-style-language/schema/raw/master/csl-citation.json"} </w:instrText>
            </w:r>
            <w:r>
              <w:rPr>
                <w:rFonts w:cstheme="minorHAnsi"/>
              </w:rPr>
              <w:fldChar w:fldCharType="separate"/>
            </w:r>
            <w:r w:rsidR="00731981">
              <w:rPr>
                <w:rFonts w:cstheme="minorHAnsi"/>
                <w:noProof/>
              </w:rPr>
              <w:t>[39]</w:t>
            </w:r>
            <w:r>
              <w:rPr>
                <w:rFonts w:cstheme="minorHAnsi"/>
              </w:rPr>
              <w:fldChar w:fldCharType="end"/>
            </w:r>
          </w:p>
        </w:tc>
        <w:tc>
          <w:tcPr>
            <w:tcW w:w="1701" w:type="dxa"/>
          </w:tcPr>
          <w:p w14:paraId="55AA9BAC" w14:textId="77777777" w:rsidR="002C6B67" w:rsidRDefault="002C6B67" w:rsidP="00CF3643">
            <w:pPr>
              <w:rPr>
                <w:rFonts w:cstheme="minorHAnsi"/>
              </w:rPr>
            </w:pPr>
            <w:r>
              <w:rPr>
                <w:rFonts w:cstheme="minorHAnsi"/>
              </w:rPr>
              <w:t>Review article</w:t>
            </w:r>
          </w:p>
        </w:tc>
        <w:tc>
          <w:tcPr>
            <w:tcW w:w="1701" w:type="dxa"/>
          </w:tcPr>
          <w:p w14:paraId="0D230B93" w14:textId="77777777" w:rsidR="002C6B67" w:rsidRDefault="002C6B67" w:rsidP="00CF3643">
            <w:pPr>
              <w:rPr>
                <w:rFonts w:cstheme="minorHAnsi"/>
              </w:rPr>
            </w:pPr>
            <w:r>
              <w:rPr>
                <w:rFonts w:cstheme="minorHAnsi"/>
              </w:rPr>
              <w:t>Adults</w:t>
            </w:r>
          </w:p>
        </w:tc>
        <w:tc>
          <w:tcPr>
            <w:tcW w:w="1985" w:type="dxa"/>
          </w:tcPr>
          <w:p w14:paraId="147FC412" w14:textId="77777777" w:rsidR="002C6B67" w:rsidRDefault="002C6B67" w:rsidP="00CF3643">
            <w:pPr>
              <w:rPr>
                <w:rFonts w:cstheme="minorHAnsi"/>
              </w:rPr>
            </w:pPr>
            <w:r>
              <w:rPr>
                <w:rFonts w:cstheme="minorHAnsi"/>
              </w:rPr>
              <w:t>Not applicable</w:t>
            </w:r>
          </w:p>
        </w:tc>
        <w:tc>
          <w:tcPr>
            <w:tcW w:w="3969" w:type="dxa"/>
          </w:tcPr>
          <w:p w14:paraId="0491ACD3" w14:textId="77777777" w:rsidR="002C6B67" w:rsidRDefault="002C6B67" w:rsidP="00CF3643">
            <w:pPr>
              <w:rPr>
                <w:rFonts w:cstheme="minorHAnsi"/>
              </w:rPr>
            </w:pPr>
            <w:r>
              <w:rPr>
                <w:rFonts w:cstheme="minorHAnsi"/>
              </w:rPr>
              <w:t>Discussion on diagnosis, risk factors and management of CMEX.</w:t>
            </w:r>
          </w:p>
        </w:tc>
        <w:tc>
          <w:tcPr>
            <w:tcW w:w="992" w:type="dxa"/>
          </w:tcPr>
          <w:p w14:paraId="639FDCAA" w14:textId="77777777" w:rsidR="002C6B67" w:rsidRDefault="002C6B67" w:rsidP="00CF3643">
            <w:pPr>
              <w:rPr>
                <w:rFonts w:cstheme="minorHAnsi"/>
              </w:rPr>
            </w:pPr>
            <w:r>
              <w:rPr>
                <w:rFonts w:cstheme="minorHAnsi"/>
              </w:rPr>
              <w:t>Poor</w:t>
            </w:r>
          </w:p>
        </w:tc>
        <w:tc>
          <w:tcPr>
            <w:tcW w:w="1134" w:type="dxa"/>
          </w:tcPr>
          <w:p w14:paraId="06E14093" w14:textId="77777777" w:rsidR="002C6B67" w:rsidRDefault="002C6B67" w:rsidP="00CF3643">
            <w:pPr>
              <w:rPr>
                <w:rFonts w:cstheme="minorHAnsi"/>
              </w:rPr>
            </w:pPr>
            <w:r>
              <w:rPr>
                <w:rFonts w:cstheme="minorHAnsi"/>
              </w:rPr>
              <w:t>4</w:t>
            </w:r>
          </w:p>
        </w:tc>
      </w:tr>
      <w:tr w:rsidR="002C6B67" w14:paraId="19599C91" w14:textId="77777777" w:rsidTr="00CF3643">
        <w:tc>
          <w:tcPr>
            <w:tcW w:w="2972" w:type="dxa"/>
          </w:tcPr>
          <w:p w14:paraId="125DD196" w14:textId="20551073" w:rsidR="002C6B67" w:rsidRPr="00707F4C" w:rsidRDefault="002C6B67" w:rsidP="00CF3643">
            <w:pPr>
              <w:rPr>
                <w:rFonts w:cstheme="minorHAnsi"/>
              </w:rPr>
            </w:pPr>
            <w:r w:rsidRPr="00707F4C">
              <w:rPr>
                <w:rFonts w:cstheme="minorHAnsi"/>
              </w:rPr>
              <w:t>Nicola et al</w:t>
            </w:r>
            <w:r>
              <w:rPr>
                <w:rFonts w:cstheme="minorHAnsi"/>
              </w:rPr>
              <w:t xml:space="preserve">, </w:t>
            </w:r>
            <w:r w:rsidRPr="00707F4C">
              <w:rPr>
                <w:rFonts w:cstheme="minorHAnsi"/>
              </w:rPr>
              <w:t>2016</w:t>
            </w:r>
            <w:r>
              <w:rPr>
                <w:rFonts w:cstheme="minorHAnsi"/>
              </w:rPr>
              <w:fldChar w:fldCharType="begin"/>
            </w:r>
            <w:r w:rsidR="00731981">
              <w:rPr>
                <w:rFonts w:cstheme="minorHAnsi"/>
              </w:rPr>
              <w:instrText xml:space="preserve"> ADDIN ZOTERO_ITEM CSL_CITATION {"citationID":"lwqsV2mf","properties":{"formattedCitation":"[40]","plainCitation":"[40]","noteIndex":0},"citationItems":[{"id":49,"uris":["http://zotero.org/users/2960325/items/QRMJRWUK"],"uri":["http://zotero.org/users/2960325/items/QRMJRWUK"],"itemData":{"id":49,"type":"article-journal","abstract":"Intravenous contrast administration has been of great importance in diagnostic radiology, but it is not without risks either due to the local, systemic allergic reactions or due to subcutaneous extravasation of contrast media. Subcutaneous contrast medium extravasationis an infrequent, yet a well-recognized complication. However, most incidents are minor and can be managed conservatively, but there are a few cases that require immediate surgical intervention. This article discusses the risks factors, clinical manifestations, and conservative and surgical approaches of subcutaneous contrast media extravasation for both computed tomography and magnetic resonance imaging.","container-title":"Current Problems in Diagnostic Radiology","DOI":"10.1067/j.cpradiol.2015.08.004","ISSN":"1535-6302","issue":"3","journalAbbreviation":"Curr Probl Diagn Radiol","language":"eng","note":"PMID: 26477550","page":"161-164","source":"PubMed","title":"Contrast Media Extravasation of Computed Tomography and Magnetic Resonance Imaging: Management Guidelines for the Radiologist","title-short":"Contrast Media Extravasation of Computed Tomography and Magnetic Resonance Imaging","volume":"45","author":[{"family":"Nicola","given":"Refky"},{"family":"Shaqdan","given":"Khalid Wael"},{"family":"Aran","given":"Shima"},{"family":"Prabhakar","given":"Anand M."},{"family":"Singh","given":"Ajay Kumar"},{"family":"Abujudeh","given":"Hani H."}],"issued":{"date-parts":[["2016",6]]}}}],"schema":"https://github.com/citation-style-language/schema/raw/master/csl-citation.json"} </w:instrText>
            </w:r>
            <w:r>
              <w:rPr>
                <w:rFonts w:cstheme="minorHAnsi"/>
              </w:rPr>
              <w:fldChar w:fldCharType="separate"/>
            </w:r>
            <w:r w:rsidR="00731981">
              <w:rPr>
                <w:rFonts w:cstheme="minorHAnsi"/>
                <w:noProof/>
              </w:rPr>
              <w:t>[40]</w:t>
            </w:r>
            <w:r>
              <w:rPr>
                <w:rFonts w:cstheme="minorHAnsi"/>
              </w:rPr>
              <w:fldChar w:fldCharType="end"/>
            </w:r>
          </w:p>
        </w:tc>
        <w:tc>
          <w:tcPr>
            <w:tcW w:w="1701" w:type="dxa"/>
          </w:tcPr>
          <w:p w14:paraId="343E143A" w14:textId="77777777" w:rsidR="002C6B67" w:rsidRDefault="002C6B67" w:rsidP="00CF3643">
            <w:pPr>
              <w:rPr>
                <w:rFonts w:cstheme="minorHAnsi"/>
              </w:rPr>
            </w:pPr>
            <w:r>
              <w:rPr>
                <w:rFonts w:cstheme="minorHAnsi"/>
              </w:rPr>
              <w:t>Guidelines</w:t>
            </w:r>
          </w:p>
        </w:tc>
        <w:tc>
          <w:tcPr>
            <w:tcW w:w="1701" w:type="dxa"/>
          </w:tcPr>
          <w:p w14:paraId="4C9AB968" w14:textId="77777777" w:rsidR="002C6B67" w:rsidRDefault="002C6B67" w:rsidP="00CF3643">
            <w:pPr>
              <w:rPr>
                <w:rFonts w:cstheme="minorHAnsi"/>
              </w:rPr>
            </w:pPr>
            <w:r>
              <w:rPr>
                <w:rFonts w:cstheme="minorHAnsi"/>
              </w:rPr>
              <w:t>Adults</w:t>
            </w:r>
          </w:p>
        </w:tc>
        <w:tc>
          <w:tcPr>
            <w:tcW w:w="1985" w:type="dxa"/>
          </w:tcPr>
          <w:p w14:paraId="66C7976E" w14:textId="77777777" w:rsidR="002C6B67" w:rsidRDefault="002C6B67" w:rsidP="00CF3643">
            <w:pPr>
              <w:rPr>
                <w:rFonts w:cstheme="minorHAnsi"/>
              </w:rPr>
            </w:pPr>
            <w:r>
              <w:rPr>
                <w:rFonts w:cstheme="minorHAnsi"/>
              </w:rPr>
              <w:t>Not applicable</w:t>
            </w:r>
          </w:p>
        </w:tc>
        <w:tc>
          <w:tcPr>
            <w:tcW w:w="3969" w:type="dxa"/>
          </w:tcPr>
          <w:p w14:paraId="12095033" w14:textId="77777777" w:rsidR="002C6B67" w:rsidRDefault="002C6B67" w:rsidP="00CF3643">
            <w:pPr>
              <w:rPr>
                <w:rFonts w:cstheme="minorHAnsi"/>
              </w:rPr>
            </w:pPr>
            <w:r>
              <w:rPr>
                <w:rFonts w:cstheme="minorHAnsi"/>
              </w:rPr>
              <w:t>Guidelines on management of CMEX.</w:t>
            </w:r>
          </w:p>
        </w:tc>
        <w:tc>
          <w:tcPr>
            <w:tcW w:w="992" w:type="dxa"/>
          </w:tcPr>
          <w:p w14:paraId="0A5663F6" w14:textId="77777777" w:rsidR="002C6B67" w:rsidRDefault="002C6B67" w:rsidP="00CF3643">
            <w:pPr>
              <w:rPr>
                <w:rFonts w:cstheme="minorHAnsi"/>
              </w:rPr>
            </w:pPr>
            <w:r>
              <w:rPr>
                <w:rFonts w:cstheme="minorHAnsi"/>
              </w:rPr>
              <w:t>Poor</w:t>
            </w:r>
          </w:p>
        </w:tc>
        <w:tc>
          <w:tcPr>
            <w:tcW w:w="1134" w:type="dxa"/>
          </w:tcPr>
          <w:p w14:paraId="2F458705" w14:textId="77777777" w:rsidR="002C6B67" w:rsidRDefault="002C6B67" w:rsidP="00CF3643">
            <w:pPr>
              <w:rPr>
                <w:rFonts w:cstheme="minorHAnsi"/>
              </w:rPr>
            </w:pPr>
            <w:r>
              <w:rPr>
                <w:rFonts w:cstheme="minorHAnsi"/>
              </w:rPr>
              <w:t>4</w:t>
            </w:r>
          </w:p>
        </w:tc>
      </w:tr>
      <w:tr w:rsidR="002C6B67" w14:paraId="51901FEA" w14:textId="77777777" w:rsidTr="00CF3643">
        <w:tc>
          <w:tcPr>
            <w:tcW w:w="2972" w:type="dxa"/>
          </w:tcPr>
          <w:p w14:paraId="1DD820AC" w14:textId="240894BE" w:rsidR="002C6B67" w:rsidRPr="00707F4C" w:rsidRDefault="002C6B67" w:rsidP="00CF3643">
            <w:pPr>
              <w:rPr>
                <w:rFonts w:cstheme="minorHAnsi"/>
              </w:rPr>
            </w:pPr>
            <w:r w:rsidRPr="00E55108">
              <w:rPr>
                <w:rFonts w:cstheme="minorHAnsi"/>
              </w:rPr>
              <w:t>Sakellariou et al</w:t>
            </w:r>
            <w:r>
              <w:rPr>
                <w:rFonts w:cstheme="minorHAnsi"/>
              </w:rPr>
              <w:t>, 2016</w:t>
            </w:r>
            <w:r>
              <w:rPr>
                <w:rFonts w:cstheme="minorHAnsi"/>
              </w:rPr>
              <w:fldChar w:fldCharType="begin"/>
            </w:r>
            <w:r w:rsidR="00731981">
              <w:rPr>
                <w:rFonts w:cstheme="minorHAnsi"/>
              </w:rPr>
              <w:instrText xml:space="preserve"> ADDIN ZOTERO_ITEM CSL_CITATION {"citationID":"BepIWtDs","properties":{"formattedCitation":"[41]","plainCitation":"[41]","noteIndex":0},"citationItems":[{"id":140,"uris":["http://zotero.org/users/2960325/items/WZDU4RU7"],"uri":["http://zotero.org/users/2960325/items/WZDU4RU7"],"itemData":{"id":140,"type":"article-journal","abstract":"Iodinated contrast media (CM) are the most commonly used injectables in radiology today. A range of different media are commercially available, combining various physical and chemical characteristics (ionic state, osmolality, viscosity) and thus exhibiting distinct in vivo behaviour and safety profiles. In this paper, numerical simulations of blood flow with contrast media were conducted to investigate the effects of contrast viscosity on generated vessel wall shear stress and vessel wall pressure to elucidate any possible relation to extravasations. Five different types of contrast for Iodine fluxes ranging at 1.5-2.2gI/s were modelled through 18G and 20G cannulae placed in an ideal vein at two different orientation angles. Results demonstrate that the least viscous contrast media generate the least maximum wall shear stress as well as the lowest total pressure for the same flow rate. This supports the empirical clinical observations and hypothesis that more viscous contrast media are responsible for a higher percentage of contrast extravasations. In addition, results support the clinical hypothesis that a catheter tip directed obliquely to the vein wall always produces the highest maximum wall shear stress and total pressure due to impingement of the contrast jet on the vessel wall.","container-title":"Medical Engineering &amp; Physics","DOI":"10.1016/j.medengphy.2016.09.016","ISSN":"1873-4030","issue":"12","journalAbbreviation":"Med Eng Phys","language":"eng","note":"PMID: 27729199","page":"1426-1433","source":"PubMed","title":"Rôle of contrast media viscosity in altering vessel wall shear stress and relation to the risk of contrast extravasations","volume":"38","author":[{"family":"Sakellariou","given":"Sophia"},{"family":"Li","given":"Wenguang"},{"family":"Paul","given":"Manosh C."},{"family":"Roditi","given":"Giles"}],"issued":{"date-parts":[["2016"]]}}}],"schema":"https://github.com/citation-style-language/schema/raw/master/csl-citation.json"} </w:instrText>
            </w:r>
            <w:r>
              <w:rPr>
                <w:rFonts w:cstheme="minorHAnsi"/>
              </w:rPr>
              <w:fldChar w:fldCharType="separate"/>
            </w:r>
            <w:r w:rsidR="00731981">
              <w:rPr>
                <w:rFonts w:cstheme="minorHAnsi"/>
                <w:noProof/>
              </w:rPr>
              <w:t>[41]</w:t>
            </w:r>
            <w:r>
              <w:rPr>
                <w:rFonts w:cstheme="minorHAnsi"/>
              </w:rPr>
              <w:fldChar w:fldCharType="end"/>
            </w:r>
          </w:p>
        </w:tc>
        <w:tc>
          <w:tcPr>
            <w:tcW w:w="1701" w:type="dxa"/>
          </w:tcPr>
          <w:p w14:paraId="076A3098" w14:textId="77777777" w:rsidR="002C6B67" w:rsidRDefault="002C6B67" w:rsidP="00CF3643">
            <w:pPr>
              <w:rPr>
                <w:rFonts w:cstheme="minorHAnsi"/>
              </w:rPr>
            </w:pPr>
            <w:r>
              <w:rPr>
                <w:rFonts w:cstheme="minorHAnsi"/>
              </w:rPr>
              <w:t>Computer simulation</w:t>
            </w:r>
          </w:p>
        </w:tc>
        <w:tc>
          <w:tcPr>
            <w:tcW w:w="1701" w:type="dxa"/>
          </w:tcPr>
          <w:p w14:paraId="0FD6DCFC" w14:textId="77777777" w:rsidR="002C6B67" w:rsidRDefault="002C6B67" w:rsidP="00CF3643">
            <w:pPr>
              <w:rPr>
                <w:rFonts w:cstheme="minorHAnsi"/>
              </w:rPr>
            </w:pPr>
            <w:r>
              <w:rPr>
                <w:rFonts w:cstheme="minorHAnsi"/>
              </w:rPr>
              <w:t>Not applicable</w:t>
            </w:r>
          </w:p>
        </w:tc>
        <w:tc>
          <w:tcPr>
            <w:tcW w:w="1985" w:type="dxa"/>
          </w:tcPr>
          <w:p w14:paraId="40E87801" w14:textId="77777777" w:rsidR="002C6B67" w:rsidRDefault="002C6B67" w:rsidP="00CF3643">
            <w:pPr>
              <w:rPr>
                <w:rFonts w:cstheme="minorHAnsi"/>
              </w:rPr>
            </w:pPr>
            <w:r>
              <w:rPr>
                <w:rFonts w:cstheme="minorHAnsi"/>
              </w:rPr>
              <w:t>Not applicable</w:t>
            </w:r>
          </w:p>
        </w:tc>
        <w:tc>
          <w:tcPr>
            <w:tcW w:w="3969" w:type="dxa"/>
          </w:tcPr>
          <w:p w14:paraId="31508AA4" w14:textId="77777777" w:rsidR="002C6B67" w:rsidRDefault="002C6B67" w:rsidP="00CF3643">
            <w:pPr>
              <w:rPr>
                <w:rFonts w:cstheme="minorHAnsi"/>
              </w:rPr>
            </w:pPr>
            <w:r>
              <w:rPr>
                <w:rFonts w:cstheme="minorHAnsi"/>
              </w:rPr>
              <w:t>Effect of CM viscosity and catheter tip position on vessel wall shear stress and risk of CMEX.</w:t>
            </w:r>
          </w:p>
        </w:tc>
        <w:tc>
          <w:tcPr>
            <w:tcW w:w="992" w:type="dxa"/>
          </w:tcPr>
          <w:p w14:paraId="79E38BF8" w14:textId="77777777" w:rsidR="002C6B67" w:rsidRDefault="002C6B67" w:rsidP="00CF3643">
            <w:pPr>
              <w:rPr>
                <w:rFonts w:cstheme="minorHAnsi"/>
              </w:rPr>
            </w:pPr>
            <w:r>
              <w:rPr>
                <w:rFonts w:cstheme="minorHAnsi"/>
              </w:rPr>
              <w:t>Good</w:t>
            </w:r>
          </w:p>
        </w:tc>
        <w:tc>
          <w:tcPr>
            <w:tcW w:w="1134" w:type="dxa"/>
          </w:tcPr>
          <w:p w14:paraId="297D937E" w14:textId="77777777" w:rsidR="002C6B67" w:rsidRDefault="002C6B67" w:rsidP="00CF3643">
            <w:pPr>
              <w:rPr>
                <w:rFonts w:cstheme="minorHAnsi"/>
              </w:rPr>
            </w:pPr>
            <w:r>
              <w:rPr>
                <w:rFonts w:cstheme="minorHAnsi"/>
              </w:rPr>
              <w:t>5</w:t>
            </w:r>
          </w:p>
        </w:tc>
      </w:tr>
      <w:tr w:rsidR="002C6B67" w14:paraId="78BBC062" w14:textId="77777777" w:rsidTr="00CF3643">
        <w:tc>
          <w:tcPr>
            <w:tcW w:w="2972" w:type="dxa"/>
          </w:tcPr>
          <w:p w14:paraId="2125375D" w14:textId="473D29E4" w:rsidR="002C6B67" w:rsidRPr="00E55108" w:rsidRDefault="002C6B67" w:rsidP="00CF3643">
            <w:pPr>
              <w:rPr>
                <w:rFonts w:cstheme="minorHAnsi"/>
              </w:rPr>
            </w:pPr>
            <w:proofErr w:type="spellStart"/>
            <w:r>
              <w:rPr>
                <w:rFonts w:cstheme="minorHAnsi"/>
              </w:rPr>
              <w:t>Tonolini</w:t>
            </w:r>
            <w:proofErr w:type="spellEnd"/>
            <w:r>
              <w:rPr>
                <w:rFonts w:cstheme="minorHAnsi"/>
              </w:rPr>
              <w:t>, 2016</w:t>
            </w:r>
            <w:r>
              <w:rPr>
                <w:rFonts w:cstheme="minorHAnsi"/>
              </w:rPr>
              <w:fldChar w:fldCharType="begin"/>
            </w:r>
            <w:r w:rsidR="00731981">
              <w:rPr>
                <w:rFonts w:cstheme="minorHAnsi"/>
              </w:rPr>
              <w:instrText xml:space="preserve"> ADDIN ZOTERO_ITEM CSL_CITATION {"citationID":"npJThALj","properties":{"formattedCitation":"[42]","plainCitation":"[42]","noteIndex":0},"citationItems":[{"id":133,"uris":["http://zotero.org/users/2960325/items/X9MQPL8F"],"uri":["http://zotero.org/users/2960325/items/X9MQPL8F"],"itemData":{"id":133,"type":"article-journal","container-title":"Current Problems in Diagnostic Radiology","DOI":"10.1067/j.cpradiol.2016.02.002","ISSN":"1535-6302","issue":"3","journalAbbreviation":"Curr Probl Diagn Radiol","language":"eng","note":"PMID: 26961810","page":"236-237","source":"PubMed","title":"Contrast Medium Extravasation: The Importance of Radiographic Assessment","title-short":"Contrast Medium Extravasation","volume":"45","author":[{"family":"Tonolini","given":"Massimo"}],"issued":{"date-parts":[["2016",6]]}}}],"schema":"https://github.com/citation-style-language/schema/raw/master/csl-citation.json"} </w:instrText>
            </w:r>
            <w:r>
              <w:rPr>
                <w:rFonts w:cstheme="minorHAnsi"/>
              </w:rPr>
              <w:fldChar w:fldCharType="separate"/>
            </w:r>
            <w:r w:rsidR="00731981">
              <w:rPr>
                <w:rFonts w:cstheme="minorHAnsi"/>
                <w:noProof/>
              </w:rPr>
              <w:t>[42]</w:t>
            </w:r>
            <w:r>
              <w:rPr>
                <w:rFonts w:cstheme="minorHAnsi"/>
              </w:rPr>
              <w:fldChar w:fldCharType="end"/>
            </w:r>
          </w:p>
        </w:tc>
        <w:tc>
          <w:tcPr>
            <w:tcW w:w="1701" w:type="dxa"/>
          </w:tcPr>
          <w:p w14:paraId="2BC9BF15" w14:textId="77777777" w:rsidR="002C6B67" w:rsidRDefault="002C6B67" w:rsidP="00CF3643">
            <w:pPr>
              <w:rPr>
                <w:rFonts w:cstheme="minorHAnsi"/>
              </w:rPr>
            </w:pPr>
            <w:r>
              <w:rPr>
                <w:rFonts w:cstheme="minorHAnsi"/>
              </w:rPr>
              <w:t>Letter</w:t>
            </w:r>
          </w:p>
        </w:tc>
        <w:tc>
          <w:tcPr>
            <w:tcW w:w="1701" w:type="dxa"/>
          </w:tcPr>
          <w:p w14:paraId="75B4495D" w14:textId="77777777" w:rsidR="002C6B67" w:rsidRDefault="002C6B67" w:rsidP="00CF3643">
            <w:pPr>
              <w:rPr>
                <w:rFonts w:cstheme="minorHAnsi"/>
              </w:rPr>
            </w:pPr>
            <w:r>
              <w:rPr>
                <w:rFonts w:cstheme="minorHAnsi"/>
              </w:rPr>
              <w:t>Adults and children</w:t>
            </w:r>
          </w:p>
        </w:tc>
        <w:tc>
          <w:tcPr>
            <w:tcW w:w="1985" w:type="dxa"/>
          </w:tcPr>
          <w:p w14:paraId="206F7298" w14:textId="77777777" w:rsidR="002C6B67" w:rsidRDefault="002C6B67" w:rsidP="00CF3643">
            <w:pPr>
              <w:rPr>
                <w:rFonts w:cstheme="minorHAnsi"/>
              </w:rPr>
            </w:pPr>
            <w:r>
              <w:rPr>
                <w:rFonts w:cstheme="minorHAnsi"/>
              </w:rPr>
              <w:t>Not applicable</w:t>
            </w:r>
          </w:p>
        </w:tc>
        <w:tc>
          <w:tcPr>
            <w:tcW w:w="3969" w:type="dxa"/>
          </w:tcPr>
          <w:p w14:paraId="6E8BE3CB" w14:textId="77777777" w:rsidR="002C6B67" w:rsidRDefault="002C6B67" w:rsidP="00CF3643">
            <w:pPr>
              <w:rPr>
                <w:rFonts w:cstheme="minorHAnsi"/>
              </w:rPr>
            </w:pPr>
            <w:r>
              <w:rPr>
                <w:rFonts w:cstheme="minorHAnsi"/>
              </w:rPr>
              <w:t>Discussion on value of radiographic assessment of CMEX.</w:t>
            </w:r>
          </w:p>
        </w:tc>
        <w:tc>
          <w:tcPr>
            <w:tcW w:w="992" w:type="dxa"/>
          </w:tcPr>
          <w:p w14:paraId="07AED3E4" w14:textId="77777777" w:rsidR="002C6B67" w:rsidRDefault="002C6B67" w:rsidP="00CF3643">
            <w:pPr>
              <w:rPr>
                <w:rFonts w:cstheme="minorHAnsi"/>
              </w:rPr>
            </w:pPr>
            <w:r>
              <w:rPr>
                <w:rFonts w:cstheme="minorHAnsi"/>
              </w:rPr>
              <w:t>Fair</w:t>
            </w:r>
          </w:p>
        </w:tc>
        <w:tc>
          <w:tcPr>
            <w:tcW w:w="1134" w:type="dxa"/>
          </w:tcPr>
          <w:p w14:paraId="59039018" w14:textId="77777777" w:rsidR="002C6B67" w:rsidRDefault="002C6B67" w:rsidP="00CF3643">
            <w:pPr>
              <w:rPr>
                <w:rFonts w:cstheme="minorHAnsi"/>
              </w:rPr>
            </w:pPr>
            <w:r>
              <w:rPr>
                <w:rFonts w:cstheme="minorHAnsi"/>
              </w:rPr>
              <w:t>5</w:t>
            </w:r>
          </w:p>
        </w:tc>
      </w:tr>
      <w:tr w:rsidR="002C6B67" w14:paraId="7D78600A" w14:textId="77777777" w:rsidTr="00CF3643">
        <w:tc>
          <w:tcPr>
            <w:tcW w:w="2972" w:type="dxa"/>
          </w:tcPr>
          <w:p w14:paraId="55D05D5F" w14:textId="122712D9" w:rsidR="002C6B67" w:rsidRDefault="002C6B67" w:rsidP="00CF3643">
            <w:pPr>
              <w:rPr>
                <w:rFonts w:cstheme="minorHAnsi"/>
              </w:rPr>
            </w:pPr>
            <w:r>
              <w:rPr>
                <w:rFonts w:cstheme="minorHAnsi"/>
              </w:rPr>
              <w:t>Tamura et al, 2016</w:t>
            </w:r>
            <w:r>
              <w:rPr>
                <w:rFonts w:cstheme="minorHAnsi"/>
              </w:rPr>
              <w:fldChar w:fldCharType="begin"/>
            </w:r>
            <w:r w:rsidR="00731981">
              <w:rPr>
                <w:rFonts w:cstheme="minorHAnsi"/>
              </w:rPr>
              <w:instrText xml:space="preserve"> ADDIN ZOTERO_ITEM CSL_CITATION {"citationID":"zSpd0KDM","properties":{"formattedCitation":"[43]","plainCitation":"[43]","noteIndex":0},"citationItems":[{"id":218,"uris":["http://zotero.org/users/2960325/items/9MMBA9QU"],"uri":["http://zotero.org/users/2960325/items/9MMBA9QU"],"itemData":{"id":218,"type":"article-journal","abstract":"PURPOSE: To compare the 24-gauge side-holes catheter and conventional 22-gauge end-hole catheter in terms of safety, injection pressure, and contrast enhancement on multi-detector computed tomography (MDCT).\nMATERIALS &amp; METHODS: In a randomized single-center study, 180 patients were randomized to either the 24-gauge side-holes catheter or the 22-gauge end-hole catheter groups. The primary endpoint was safety during intravenous administration of contrast material for MDCT, using a non-inferiority analysis (lower limit 95% CI greater than -10% non-inferiority margin for the group difference). The secondary endpoints were injection pressure and contrast enhancement.\nRESULTS: A total of 174 patients were analyzed for safety during intravenous contrast material administration for MDCT. The overall extravasation rate was 1.1% (2/174 patients); 1 (1.2%) minor episode occurred in the 24-gauge side-holes catheter group and 1 (1.1%) in the 22-gauge end-hole catheter group (difference: 0.1%, 95% CI: -3.17% to 3.28%, non-inferiority P=1). The mean maximum pressure was higher with the 24-gauge side-holes catheter than with the 22-gauge end-hole catheter (8.16±0.95kg/cm2 vs. 4.79±0.63kg/cm2, P&lt;0.001). The mean contrast enhancement of the abdominal aorta, celiac artery, superior mesenteric artery, and pancreatic parenchyma in the two groups were not significantly different.\nCONCLUSION: In conclusion, our study showed that the 24-gauge side-holes catheter is safe and suitable for delivering iodine with a concentration of 300mg/mL at a flow-rate of 3mL/s, and it may contribute to the care of some patients, such as patients who have fragile and small veins. (Trial registration: UMIN000023727).","container-title":"European Journal of Radiology","DOI":"10.1016/j.ejrad.2016.12.005","ISSN":"1872-7727","journalAbbreviation":"Eur J Radiol","language":"eng","note":"PMID: 28065379","page":"8-12","source":"PubMed","title":"Selection of peripheral intravenous catheters with 24-gauge side-holes versus those with 22-gauge end-hole for MDCT: A prospective randomized study","title-short":"Selection of peripheral intravenous catheters with 24-gauge side-holes versus those with 22-gauge end-hole for MDCT","volume":"87","author":[{"family":"Tamura","given":"Akio"},{"family":"Kato","given":"Kenichi"},{"family":"Kamata","given":"Masayoshi"},{"family":"Suzuki","given":"Tomohiro"},{"family":"Suzuki","given":"Michiko"},{"family":"Nakayama","given":"Manabu"},{"family":"Tomabechi","given":"Makiko"},{"family":"Nakasato","given":"Tatsuhiko"},{"family":"Ehara","given":"Shigeru"}],"issued":{"date-parts":[["2017",2]]}}}],"schema":"https://github.com/citation-style-language/schema/raw/master/csl-citation.json"} </w:instrText>
            </w:r>
            <w:r>
              <w:rPr>
                <w:rFonts w:cstheme="minorHAnsi"/>
              </w:rPr>
              <w:fldChar w:fldCharType="separate"/>
            </w:r>
            <w:r w:rsidR="00731981">
              <w:rPr>
                <w:rFonts w:cstheme="minorHAnsi"/>
                <w:noProof/>
              </w:rPr>
              <w:t>[43]</w:t>
            </w:r>
            <w:r>
              <w:rPr>
                <w:rFonts w:cstheme="minorHAnsi"/>
              </w:rPr>
              <w:fldChar w:fldCharType="end"/>
            </w:r>
          </w:p>
        </w:tc>
        <w:tc>
          <w:tcPr>
            <w:tcW w:w="1701" w:type="dxa"/>
          </w:tcPr>
          <w:p w14:paraId="359AE366" w14:textId="77777777" w:rsidR="002C6B67" w:rsidRDefault="002C6B67" w:rsidP="00CF3643">
            <w:pPr>
              <w:rPr>
                <w:rFonts w:cstheme="minorHAnsi"/>
              </w:rPr>
            </w:pPr>
            <w:r>
              <w:rPr>
                <w:rFonts w:cstheme="minorHAnsi"/>
              </w:rPr>
              <w:t>Randomised controlled trial</w:t>
            </w:r>
          </w:p>
        </w:tc>
        <w:tc>
          <w:tcPr>
            <w:tcW w:w="1701" w:type="dxa"/>
          </w:tcPr>
          <w:p w14:paraId="12128A63" w14:textId="77777777" w:rsidR="002C6B67" w:rsidRDefault="002C6B67" w:rsidP="00CF3643">
            <w:pPr>
              <w:rPr>
                <w:rFonts w:cstheme="minorHAnsi"/>
              </w:rPr>
            </w:pPr>
            <w:r>
              <w:rPr>
                <w:rFonts w:cstheme="minorHAnsi"/>
              </w:rPr>
              <w:t>Adults</w:t>
            </w:r>
          </w:p>
        </w:tc>
        <w:tc>
          <w:tcPr>
            <w:tcW w:w="1985" w:type="dxa"/>
          </w:tcPr>
          <w:p w14:paraId="6C53B2A2" w14:textId="77777777" w:rsidR="002C6B67" w:rsidRDefault="002C6B67" w:rsidP="00CF3643">
            <w:pPr>
              <w:rPr>
                <w:rFonts w:cstheme="minorHAnsi"/>
              </w:rPr>
            </w:pPr>
            <w:r>
              <w:rPr>
                <w:rFonts w:cstheme="minorHAnsi"/>
              </w:rPr>
              <w:t xml:space="preserve"> 2 / 174 (1.1)</w:t>
            </w:r>
          </w:p>
        </w:tc>
        <w:tc>
          <w:tcPr>
            <w:tcW w:w="3969" w:type="dxa"/>
          </w:tcPr>
          <w:p w14:paraId="61F8D34E" w14:textId="77777777" w:rsidR="002C6B67" w:rsidRDefault="002C6B67" w:rsidP="00CF3643">
            <w:pPr>
              <w:rPr>
                <w:rFonts w:cstheme="minorHAnsi"/>
              </w:rPr>
            </w:pPr>
            <w:r>
              <w:rPr>
                <w:rFonts w:cstheme="minorHAnsi"/>
              </w:rPr>
              <w:t>24G side-holes catheter vs.</w:t>
            </w:r>
          </w:p>
          <w:p w14:paraId="21CF4B41" w14:textId="77777777" w:rsidR="002C6B67" w:rsidRDefault="002C6B67" w:rsidP="00CF3643">
            <w:pPr>
              <w:rPr>
                <w:rFonts w:cstheme="minorHAnsi"/>
              </w:rPr>
            </w:pPr>
            <w:r>
              <w:rPr>
                <w:rFonts w:cstheme="minorHAnsi"/>
              </w:rPr>
              <w:t xml:space="preserve">22G end-hole catheter impact on CMEX, tolerance for differing </w:t>
            </w:r>
            <w:r>
              <w:rPr>
                <w:rFonts w:cstheme="minorHAnsi"/>
              </w:rPr>
              <w:lastRenderedPageBreak/>
              <w:t>pressures, flow rates and image quality.</w:t>
            </w:r>
          </w:p>
        </w:tc>
        <w:tc>
          <w:tcPr>
            <w:tcW w:w="992" w:type="dxa"/>
          </w:tcPr>
          <w:p w14:paraId="2886B004" w14:textId="77777777" w:rsidR="002C6B67" w:rsidRDefault="002C6B67" w:rsidP="00CF3643">
            <w:pPr>
              <w:rPr>
                <w:rFonts w:cstheme="minorHAnsi"/>
              </w:rPr>
            </w:pPr>
            <w:r>
              <w:rPr>
                <w:rFonts w:cstheme="minorHAnsi"/>
              </w:rPr>
              <w:lastRenderedPageBreak/>
              <w:t>Fair</w:t>
            </w:r>
          </w:p>
        </w:tc>
        <w:tc>
          <w:tcPr>
            <w:tcW w:w="1134" w:type="dxa"/>
          </w:tcPr>
          <w:p w14:paraId="521B5428" w14:textId="77777777" w:rsidR="002C6B67" w:rsidRDefault="002C6B67" w:rsidP="00CF3643">
            <w:pPr>
              <w:rPr>
                <w:rFonts w:cstheme="minorHAnsi"/>
              </w:rPr>
            </w:pPr>
            <w:r>
              <w:rPr>
                <w:rFonts w:cstheme="minorHAnsi"/>
              </w:rPr>
              <w:t>1b</w:t>
            </w:r>
          </w:p>
        </w:tc>
      </w:tr>
      <w:tr w:rsidR="002C6B67" w14:paraId="2790C092" w14:textId="77777777" w:rsidTr="00CF3643">
        <w:tc>
          <w:tcPr>
            <w:tcW w:w="2972" w:type="dxa"/>
          </w:tcPr>
          <w:p w14:paraId="0E0953DA" w14:textId="1168A7C2" w:rsidR="002C6B67" w:rsidRPr="008A5DC0" w:rsidRDefault="002C6B67" w:rsidP="00CF3643">
            <w:pPr>
              <w:rPr>
                <w:rFonts w:cstheme="minorHAnsi"/>
                <w:highlight w:val="yellow"/>
              </w:rPr>
            </w:pPr>
            <w:r w:rsidRPr="004F1275">
              <w:rPr>
                <w:rFonts w:cstheme="minorHAnsi"/>
              </w:rPr>
              <w:t>Rupp et al, 2016</w:t>
            </w:r>
            <w:r w:rsidRPr="004F1275">
              <w:rPr>
                <w:rFonts w:cstheme="minorHAnsi"/>
              </w:rPr>
              <w:fldChar w:fldCharType="begin"/>
            </w:r>
            <w:r w:rsidR="00731981">
              <w:rPr>
                <w:rFonts w:cstheme="minorHAnsi"/>
              </w:rPr>
              <w:instrText xml:space="preserve"> ADDIN ZOTERO_ITEM CSL_CITATION {"citationID":"Q3HKjFdr","properties":{"formattedCitation":"[44]","plainCitation":"[44]","noteIndex":0},"citationItems":[{"id":34,"uris":["http://zotero.org/users/2960325/items/HEUNGLG3"],"uri":["http://zotero.org/users/2960325/items/HEUNGLG3"],"itemData":{"id":34,"type":"article-journal","abstract":"OBJECTIVE: Ultrasound-guided intravenous catheter (USGIV) insertion is increasingly being used for administration of intravenous (IV) contrast for computed tomography (CT) scans. The goal of this investigation was to evaluate the risk of contrast extravasation among patients receiving contrast through USGIV catheters.\nMETHODS: A retrospective observational study of adult patients who underwent a contrast-enhanced CT scan at a tertiary care emergency department during a recent 64-month period was conducted. The unadjusted prevalence of contrast extravasation was compared between patients with an USGIV and those with a standard peripheral IV inserted without ultrasound. Then, a two-stage sampling design was used to select a subset of the population for a multivariable logistic regression model evaluating USGIVs as a risk factor for extravasation while adjusting for potential confounders.\nRESULTS: In total, 40,143 patients underwent a contrasted CT scan, including 364 (0.9%) who had contrast administered through an USGIV. Unadjusted prevalence of extravasation was 3.6% for contrast administration through USGIVs and 0.3% for standard IVs (relative risk = 13.9, 95% confidence interval [CI] = 7.9 to 24.6). After potential confounders were adjusted for, CT contrast administered through USGIVs was associated with extravasation (adjusted odds ratio = 8.6, 95% CI = 4.6 to 16.2). No patients required surgical management for contrast extravasation; one patient in the standard IV group was admitted for observation due to extravasation.\nCONCLUSIONS: Patients who received contrast for a CT scan through an USGIV had a higher risk of extravasation than those who received contrast through a standard peripheral IV. Clinicians should consider this extravasation risk when weighing the risks and benefits of a contrast-enhanced CT scan in a patient with USGIV vascular access.","container-title":"Academic Emergency Medicine: Official Journal of the Society for Academic Emergency Medicine","DOI":"10.1111/acem.13000","ISSN":"1553-2712","issue":"8","journalAbbreviation":"Acad Emerg Med","language":"eng","note":"PMID: 27151898\nPMCID: PMC4974123","page":"918-921","source":"PubMed","title":"Extravasation Risk Using Ultrasound-guided Peripheral Intravenous Catheters for Computed Tomography Contrast Administration","volume":"23","author":[{"family":"Rupp","given":"Jordan D."},{"family":"Ferre","given":"Robinson M."},{"family":"Boyd","given":"Jeremy S."},{"family":"Dearing","given":"Elizabeth"},{"family":"McNaughton","given":"Candace D."},{"family":"Liu","given":"Dandan"},{"family":"Jarrell","given":"Kelli L."},{"family":"McWade","given":"Conor M."},{"family":"Self","given":"Wesley H."}],"issued":{"date-parts":[["2016"]]}}}],"schema":"https://github.com/citation-style-language/schema/raw/master/csl-citation.json"} </w:instrText>
            </w:r>
            <w:r w:rsidRPr="004F1275">
              <w:rPr>
                <w:rFonts w:cstheme="minorHAnsi"/>
              </w:rPr>
              <w:fldChar w:fldCharType="separate"/>
            </w:r>
            <w:r w:rsidR="00731981">
              <w:rPr>
                <w:rFonts w:cstheme="minorHAnsi"/>
                <w:noProof/>
              </w:rPr>
              <w:t>[44]</w:t>
            </w:r>
            <w:r w:rsidRPr="004F1275">
              <w:rPr>
                <w:rFonts w:cstheme="minorHAnsi"/>
              </w:rPr>
              <w:fldChar w:fldCharType="end"/>
            </w:r>
          </w:p>
        </w:tc>
        <w:tc>
          <w:tcPr>
            <w:tcW w:w="1701" w:type="dxa"/>
          </w:tcPr>
          <w:p w14:paraId="16E27B2F" w14:textId="77777777" w:rsidR="002C6B67" w:rsidRDefault="002C6B67" w:rsidP="00CF3643">
            <w:pPr>
              <w:rPr>
                <w:rFonts w:cstheme="minorHAnsi"/>
              </w:rPr>
            </w:pPr>
            <w:r>
              <w:rPr>
                <w:rFonts w:cstheme="minorHAnsi"/>
              </w:rPr>
              <w:t>Retrospective</w:t>
            </w:r>
          </w:p>
        </w:tc>
        <w:tc>
          <w:tcPr>
            <w:tcW w:w="1701" w:type="dxa"/>
          </w:tcPr>
          <w:p w14:paraId="099C7B44" w14:textId="77777777" w:rsidR="002C6B67" w:rsidRDefault="002C6B67" w:rsidP="00CF3643">
            <w:pPr>
              <w:rPr>
                <w:rFonts w:cstheme="minorHAnsi"/>
              </w:rPr>
            </w:pPr>
            <w:r>
              <w:rPr>
                <w:rFonts w:cstheme="minorHAnsi"/>
              </w:rPr>
              <w:t>Adults</w:t>
            </w:r>
          </w:p>
        </w:tc>
        <w:tc>
          <w:tcPr>
            <w:tcW w:w="1985" w:type="dxa"/>
          </w:tcPr>
          <w:p w14:paraId="5331943A" w14:textId="77777777" w:rsidR="002C6B67" w:rsidRDefault="002C6B67" w:rsidP="00CF3643">
            <w:pPr>
              <w:rPr>
                <w:rFonts w:cstheme="minorHAnsi"/>
              </w:rPr>
            </w:pPr>
            <w:r>
              <w:rPr>
                <w:rFonts w:cstheme="minorHAnsi"/>
              </w:rPr>
              <w:t>115 / 40143 (0.3)</w:t>
            </w:r>
          </w:p>
        </w:tc>
        <w:tc>
          <w:tcPr>
            <w:tcW w:w="3969" w:type="dxa"/>
          </w:tcPr>
          <w:p w14:paraId="30105B93" w14:textId="77777777" w:rsidR="002C6B67" w:rsidRDefault="002C6B67" w:rsidP="00CF3643">
            <w:pPr>
              <w:rPr>
                <w:rFonts w:cstheme="minorHAnsi"/>
              </w:rPr>
            </w:pPr>
            <w:r>
              <w:rPr>
                <w:rFonts w:cstheme="minorHAnsi"/>
              </w:rPr>
              <w:t>Comparison between rates of CMEX with ultrasound guided IV insertion vs standard peripheral IV insertion.</w:t>
            </w:r>
          </w:p>
        </w:tc>
        <w:tc>
          <w:tcPr>
            <w:tcW w:w="992" w:type="dxa"/>
          </w:tcPr>
          <w:p w14:paraId="7E95DC75" w14:textId="77777777" w:rsidR="002C6B67" w:rsidRDefault="002C6B67" w:rsidP="00CF3643">
            <w:pPr>
              <w:rPr>
                <w:rFonts w:cstheme="minorHAnsi"/>
              </w:rPr>
            </w:pPr>
            <w:r>
              <w:rPr>
                <w:rFonts w:cstheme="minorHAnsi"/>
              </w:rPr>
              <w:t>Fair</w:t>
            </w:r>
          </w:p>
        </w:tc>
        <w:tc>
          <w:tcPr>
            <w:tcW w:w="1134" w:type="dxa"/>
          </w:tcPr>
          <w:p w14:paraId="56376E56" w14:textId="77777777" w:rsidR="002C6B67" w:rsidRDefault="002C6B67" w:rsidP="00CF3643">
            <w:pPr>
              <w:rPr>
                <w:rFonts w:cstheme="minorHAnsi"/>
              </w:rPr>
            </w:pPr>
            <w:r>
              <w:rPr>
                <w:rFonts w:cstheme="minorHAnsi"/>
              </w:rPr>
              <w:t>3b</w:t>
            </w:r>
          </w:p>
        </w:tc>
      </w:tr>
      <w:tr w:rsidR="002C6B67" w14:paraId="1E29F339" w14:textId="77777777" w:rsidTr="00CF3643">
        <w:tc>
          <w:tcPr>
            <w:tcW w:w="2972" w:type="dxa"/>
          </w:tcPr>
          <w:p w14:paraId="77386705" w14:textId="7BF70C83" w:rsidR="002C6B67" w:rsidRDefault="002C6B67" w:rsidP="00CF3643">
            <w:pPr>
              <w:rPr>
                <w:rFonts w:cstheme="minorHAnsi"/>
              </w:rPr>
            </w:pPr>
            <w:proofErr w:type="spellStart"/>
            <w:r w:rsidRPr="004F1275">
              <w:rPr>
                <w:rFonts w:cstheme="minorHAnsi"/>
              </w:rPr>
              <w:t>Kok</w:t>
            </w:r>
            <w:proofErr w:type="spellEnd"/>
            <w:r w:rsidRPr="009301DD">
              <w:rPr>
                <w:rFonts w:cstheme="minorHAnsi"/>
              </w:rPr>
              <w:t xml:space="preserve"> et al</w:t>
            </w:r>
            <w:r>
              <w:rPr>
                <w:rFonts w:cstheme="minorHAnsi"/>
              </w:rPr>
              <w:t xml:space="preserve">, </w:t>
            </w:r>
            <w:r w:rsidRPr="009301DD">
              <w:rPr>
                <w:rFonts w:cstheme="minorHAnsi"/>
              </w:rPr>
              <w:t>2016</w:t>
            </w:r>
            <w:r>
              <w:rPr>
                <w:rFonts w:cstheme="minorHAnsi"/>
              </w:rPr>
              <w:fldChar w:fldCharType="begin"/>
            </w:r>
            <w:r w:rsidR="00731981">
              <w:rPr>
                <w:rFonts w:cstheme="minorHAnsi"/>
              </w:rPr>
              <w:instrText xml:space="preserve"> ADDIN ZOTERO_ITEM CSL_CITATION {"citationID":"O4iLUbIT","properties":{"formattedCitation":"[45]","plainCitation":"[45]","noteIndex":0},"citationItems":[{"id":20,"uris":["http://zotero.org/users/2960325/items/HAWTCDCB"],"uri":["http://zotero.org/users/2960325/items/HAWTCDCB"],"itemData":{"id":20,"type":"article-journal","abstract":"PURPOSE: Pain sensation and extravasation are potential drawbacks of contrast media (CM) injection during computed tomographic angiography. The purpose was to evaluate safety and patient comfort of higher flow rates in different CM protocols during coronary computed tomographic angiography.\nMETHODS: Two hundred consecutive patients of a double-blind randomized controlled trial (NCT02462044) were analyzed. Patients were randomized to receive 94 mL of prewarmed iopromide 240 mg I/mL at 8.3 mL/s (group I), 75 mL of 300 mg I/mL at 6.7 mL/s (group II), or 61 mL of 370 mg I/mL at 5.4 mL/s (group III), respectively. Iodine delivery rate (2.0 g I/s) and total iodine load (22.5 g I) were kept identical. Outcome was defined as intravascular enhancement, patient comfort during injection, and injection safety, expressed as the occurrence of extravasation. Patients completed a questionnaire for comfort, pain, and stress during CM injection. Comfort was graded using a 5-point scale, 1 representing \"very bad\" and 5 \"very well.\" Pain was graded using a 10-point scale, 0 representing \"no pain\" and 10 \"severe pain.\" Stress was graded using a 5-point scale, 1 representing \"no stress\" and 5 \"unsustainable stress.\"\nRESULTS: Mean enhancement levels within the coronary arteries were as follows: 437 ± 104 Hounsfield units (HU) (group I), 448 ± 111 HU (group II), and 447 ± 106 HU (group III), with P ≥ 0.18. Extravasation occurred in none of the patients. Median (interquartile range) for comfort, pain, and stress was, respectively, 4 (4-5), 0 (0-0), and 1 (1-2), with P ≥ 0.68.\nCONCLUSIONS: High flow rates of prewarmed CM were safely injected without discomfort, pain, or stress. Therefore, the use of high flow rates should not be considered a drawback for CM administration in clinical practice.","container-title":"Investigative Radiology","DOI":"10.1097/RLI.0000000000000284","ISSN":"1536-0210","issue":"12","journalAbbreviation":"Invest Radiol","language":"eng","note":"PMID: 27164459","page":"810-815","source":"PubMed","title":"Patient Comfort During Contrast Media Injection in Coronary Computed Tomographic Angiography Using Varying Contrast Media Concentrations and Flow Rates: Results From the EICAR Trial","title-short":"Patient Comfort During Contrast Media Injection in Coronary Computed Tomographic Angiography Using Varying Contrast Media Concentrations and Flow Rates","volume":"51","author":[{"family":"Kok","given":"Madeleine"},{"family":"Mihl","given":"Casper"},{"family":"Hendriks","given":"Babs M. F."},{"family":"Altintas","given":"Sibel"},{"family":"Eijsvoogel","given":"Nienke G."},{"family":"Kietselaer","given":"Bas L. J. H."},{"family":"Wildberger","given":"Joachim E."},{"family":"Das","given":"Marco"}],"issued":{"date-parts":[["2016"]]}}}],"schema":"https://github.com/citation-style-language/schema/raw/master/csl-citation.json"} </w:instrText>
            </w:r>
            <w:r>
              <w:rPr>
                <w:rFonts w:cstheme="minorHAnsi"/>
              </w:rPr>
              <w:fldChar w:fldCharType="separate"/>
            </w:r>
            <w:r w:rsidR="00731981">
              <w:rPr>
                <w:rFonts w:cstheme="minorHAnsi"/>
                <w:noProof/>
              </w:rPr>
              <w:t>[45]</w:t>
            </w:r>
            <w:r>
              <w:rPr>
                <w:rFonts w:cstheme="minorHAnsi"/>
              </w:rPr>
              <w:fldChar w:fldCharType="end"/>
            </w:r>
          </w:p>
        </w:tc>
        <w:tc>
          <w:tcPr>
            <w:tcW w:w="1701" w:type="dxa"/>
          </w:tcPr>
          <w:p w14:paraId="49D51DAE" w14:textId="77777777" w:rsidR="002C6B67" w:rsidRDefault="002C6B67" w:rsidP="00CF3643">
            <w:pPr>
              <w:rPr>
                <w:rFonts w:cstheme="minorHAnsi"/>
              </w:rPr>
            </w:pPr>
            <w:r>
              <w:rPr>
                <w:rFonts w:cstheme="minorHAnsi"/>
              </w:rPr>
              <w:t>Randomised controlled trial</w:t>
            </w:r>
          </w:p>
        </w:tc>
        <w:tc>
          <w:tcPr>
            <w:tcW w:w="1701" w:type="dxa"/>
          </w:tcPr>
          <w:p w14:paraId="0FE08796" w14:textId="77777777" w:rsidR="002C6B67" w:rsidRDefault="002C6B67" w:rsidP="00CF3643">
            <w:pPr>
              <w:rPr>
                <w:rFonts w:cstheme="minorHAnsi"/>
              </w:rPr>
            </w:pPr>
            <w:r>
              <w:rPr>
                <w:rFonts w:cstheme="minorHAnsi"/>
              </w:rPr>
              <w:t>Adults</w:t>
            </w:r>
          </w:p>
        </w:tc>
        <w:tc>
          <w:tcPr>
            <w:tcW w:w="1985" w:type="dxa"/>
          </w:tcPr>
          <w:p w14:paraId="33BE4422" w14:textId="77777777" w:rsidR="002C6B67" w:rsidRDefault="002C6B67" w:rsidP="00CF3643">
            <w:pPr>
              <w:rPr>
                <w:rFonts w:cstheme="minorHAnsi"/>
              </w:rPr>
            </w:pPr>
            <w:r>
              <w:rPr>
                <w:rFonts w:cstheme="minorHAnsi"/>
              </w:rPr>
              <w:t>0 / 608 (0)</w:t>
            </w:r>
          </w:p>
        </w:tc>
        <w:tc>
          <w:tcPr>
            <w:tcW w:w="3969" w:type="dxa"/>
          </w:tcPr>
          <w:p w14:paraId="2548A07F" w14:textId="77777777" w:rsidR="002C6B67" w:rsidRDefault="002C6B67" w:rsidP="00CF3643">
            <w:pPr>
              <w:rPr>
                <w:rFonts w:cstheme="minorHAnsi"/>
              </w:rPr>
            </w:pPr>
            <w:r>
              <w:rPr>
                <w:rFonts w:cstheme="minorHAnsi"/>
              </w:rPr>
              <w:t>Comparison of different flow rates and CM concentrations on CMEX, patient comfort and image quality of CTCA.</w:t>
            </w:r>
          </w:p>
        </w:tc>
        <w:tc>
          <w:tcPr>
            <w:tcW w:w="992" w:type="dxa"/>
          </w:tcPr>
          <w:p w14:paraId="6E42014D" w14:textId="77777777" w:rsidR="002C6B67" w:rsidRDefault="002C6B67" w:rsidP="00CF3643">
            <w:pPr>
              <w:rPr>
                <w:rFonts w:cstheme="minorHAnsi"/>
              </w:rPr>
            </w:pPr>
            <w:r>
              <w:rPr>
                <w:rFonts w:cstheme="minorHAnsi"/>
              </w:rPr>
              <w:t>Good</w:t>
            </w:r>
          </w:p>
        </w:tc>
        <w:tc>
          <w:tcPr>
            <w:tcW w:w="1134" w:type="dxa"/>
          </w:tcPr>
          <w:p w14:paraId="7538C6A7" w14:textId="77777777" w:rsidR="002C6B67" w:rsidRDefault="002C6B67" w:rsidP="00CF3643">
            <w:pPr>
              <w:rPr>
                <w:rFonts w:cstheme="minorHAnsi"/>
              </w:rPr>
            </w:pPr>
            <w:r>
              <w:rPr>
                <w:rFonts w:cstheme="minorHAnsi"/>
              </w:rPr>
              <w:t>1b</w:t>
            </w:r>
          </w:p>
        </w:tc>
      </w:tr>
      <w:tr w:rsidR="002C6B67" w14:paraId="22A4DA0B" w14:textId="77777777" w:rsidTr="00CF3643">
        <w:tc>
          <w:tcPr>
            <w:tcW w:w="2972" w:type="dxa"/>
          </w:tcPr>
          <w:p w14:paraId="4A64A39A" w14:textId="5EBF1471" w:rsidR="002C6B67" w:rsidRPr="00707F4C" w:rsidRDefault="002C6B67" w:rsidP="00CF3643">
            <w:pPr>
              <w:rPr>
                <w:rFonts w:cstheme="minorHAnsi"/>
              </w:rPr>
            </w:pPr>
            <w:r w:rsidRPr="00707F4C">
              <w:rPr>
                <w:rFonts w:cstheme="minorHAnsi"/>
              </w:rPr>
              <w:t>Cleary et al</w:t>
            </w:r>
            <w:r>
              <w:rPr>
                <w:rFonts w:cstheme="minorHAnsi"/>
              </w:rPr>
              <w:t xml:space="preserve">, </w:t>
            </w:r>
            <w:r w:rsidRPr="00707F4C">
              <w:rPr>
                <w:rFonts w:cstheme="minorHAnsi"/>
              </w:rPr>
              <w:t>2017</w:t>
            </w:r>
            <w:r>
              <w:rPr>
                <w:rFonts w:cstheme="minorHAnsi"/>
              </w:rPr>
              <w:fldChar w:fldCharType="begin"/>
            </w:r>
            <w:r w:rsidR="00731981">
              <w:rPr>
                <w:rFonts w:cstheme="minorHAnsi"/>
              </w:rPr>
              <w:instrText xml:space="preserve"> ADDIN ZOTERO_ITEM CSL_CITATION {"citationID":"LTJOayZd","properties":{"formattedCitation":"[46]","plainCitation":"[46]","noteIndex":0},"citationItems":[{"id":50,"uris":["http://zotero.org/users/2960325/items/M2HBIV9T"],"uri":["http://zotero.org/users/2960325/items/M2HBIV9T"],"itemData":{"id":50,"type":"article-journal","abstract":"BACKGROUND: Iodinated contrast extravasation is a serious complication associated with intravenous administration in radiology. Departmental protocols and the radiographer's approach on both prevention techniques and treatment will affect the prevalence of extravasation, and the eventual outcome for the patient when it does occur.\nAIMS: To examine contrast extravasation protocols in place in Irish CT departments for alignment with European Society of Urogenital Radiology (ESUR) Guidelines (2014); to establish radiographer's opinions on contrast extravasation; and to examine radiographer adherence to protocols.\nMETHODS: Contrast extravasation protocols from a purposively selected sample of CT departments across Ireland (n = 6) were compared to ESUR guidelines, followed by an online survey of CT radiographers practicing in the participating centres.\nRESULTS: All participating CT departments (n = 5) had written protocols in place. High risk patients, such as elderly or unconscious, were identified in most protocols, however, children were mentioned in just one protocol and obese patients were not specified in any. The response rate of CT radiographers was 23% (n = 24). 58% (n = 14) of respondents indicated that contrast extravasation was more likely during CTA examinations. While high levels of confidence in managing extravasation were reported, suggested treatment approaches, and confidence in same, was more variable. Clinical workload in CT departments was also identified as a factor impacting on patient care and management.\nCONCLUSION: While contrast extravasation protocols were generally in line with ESUR Guidelines, high risk patients may not be getting sufficient attention. More radiographer awareness of patient monitoring needs, particularly in busy departments with a heavy workload may also reduce extravasation risk, and improve management of same.","container-title":"Radiography (London, England: 1995)","DOI":"10.1016/j.radi.2017.05.009","ISSN":"1532-2831","issue":"4","journalAbbreviation":"Radiography (Lond)","language":"eng","note":"PMID: 28965909","page":"e87-e92","source":"PubMed","title":"An investigation into current protocols and radiographer opinions on contrast extravasation in Irish CT departments","volume":"23","author":[{"family":"Cleary","given":"N."},{"family":"McNulty","given":"J. P."},{"family":"Foley","given":"S. J."},{"family":"Kelly","given":"E."}],"issued":{"date-parts":[["2017"]]}}}],"schema":"https://github.com/citation-style-language/schema/raw/master/csl-citation.json"} </w:instrText>
            </w:r>
            <w:r>
              <w:rPr>
                <w:rFonts w:cstheme="minorHAnsi"/>
              </w:rPr>
              <w:fldChar w:fldCharType="separate"/>
            </w:r>
            <w:r w:rsidR="00731981">
              <w:rPr>
                <w:rFonts w:cstheme="minorHAnsi"/>
                <w:noProof/>
              </w:rPr>
              <w:t>[46]</w:t>
            </w:r>
            <w:r>
              <w:rPr>
                <w:rFonts w:cstheme="minorHAnsi"/>
              </w:rPr>
              <w:fldChar w:fldCharType="end"/>
            </w:r>
          </w:p>
        </w:tc>
        <w:tc>
          <w:tcPr>
            <w:tcW w:w="1701" w:type="dxa"/>
          </w:tcPr>
          <w:p w14:paraId="11E5393E" w14:textId="77777777" w:rsidR="002C6B67" w:rsidRPr="00AA6109" w:rsidRDefault="002C6B67" w:rsidP="00CF3643">
            <w:pPr>
              <w:rPr>
                <w:rFonts w:cstheme="minorHAnsi"/>
              </w:rPr>
            </w:pPr>
            <w:r w:rsidRPr="00AA6109">
              <w:rPr>
                <w:rFonts w:cstheme="minorHAnsi"/>
              </w:rPr>
              <w:t>Survey</w:t>
            </w:r>
          </w:p>
        </w:tc>
        <w:tc>
          <w:tcPr>
            <w:tcW w:w="1701" w:type="dxa"/>
          </w:tcPr>
          <w:p w14:paraId="21D1C163" w14:textId="77777777" w:rsidR="002C6B67" w:rsidRPr="00AA6109" w:rsidRDefault="002C6B67" w:rsidP="00CF3643">
            <w:pPr>
              <w:rPr>
                <w:rFonts w:cstheme="minorHAnsi"/>
              </w:rPr>
            </w:pPr>
            <w:r>
              <w:rPr>
                <w:rFonts w:cstheme="minorHAnsi"/>
              </w:rPr>
              <w:t>Not applicable</w:t>
            </w:r>
          </w:p>
        </w:tc>
        <w:tc>
          <w:tcPr>
            <w:tcW w:w="1985" w:type="dxa"/>
          </w:tcPr>
          <w:p w14:paraId="06F4BFD8" w14:textId="77777777" w:rsidR="002C6B67" w:rsidRPr="00AA6109" w:rsidRDefault="002C6B67" w:rsidP="00CF3643">
            <w:pPr>
              <w:rPr>
                <w:rFonts w:cstheme="minorHAnsi"/>
              </w:rPr>
            </w:pPr>
            <w:r>
              <w:rPr>
                <w:rFonts w:cstheme="minorHAnsi"/>
              </w:rPr>
              <w:t>Not applicable</w:t>
            </w:r>
          </w:p>
        </w:tc>
        <w:tc>
          <w:tcPr>
            <w:tcW w:w="3969" w:type="dxa"/>
          </w:tcPr>
          <w:p w14:paraId="767082E1" w14:textId="77777777" w:rsidR="002C6B67" w:rsidRPr="00AA6109" w:rsidRDefault="002C6B67" w:rsidP="00CF3643">
            <w:pPr>
              <w:rPr>
                <w:rFonts w:cstheme="minorHAnsi"/>
              </w:rPr>
            </w:pPr>
            <w:r>
              <w:rPr>
                <w:rFonts w:cstheme="minorHAnsi"/>
              </w:rPr>
              <w:t>National survey of management protocols of CMEX.</w:t>
            </w:r>
          </w:p>
        </w:tc>
        <w:tc>
          <w:tcPr>
            <w:tcW w:w="992" w:type="dxa"/>
          </w:tcPr>
          <w:p w14:paraId="5559E188" w14:textId="77777777" w:rsidR="002C6B67" w:rsidRPr="00AA6109" w:rsidRDefault="002C6B67" w:rsidP="00CF3643">
            <w:pPr>
              <w:rPr>
                <w:rFonts w:cstheme="minorHAnsi"/>
              </w:rPr>
            </w:pPr>
            <w:r>
              <w:rPr>
                <w:rFonts w:cstheme="minorHAnsi"/>
              </w:rPr>
              <w:t>Good</w:t>
            </w:r>
          </w:p>
        </w:tc>
        <w:tc>
          <w:tcPr>
            <w:tcW w:w="1134" w:type="dxa"/>
          </w:tcPr>
          <w:p w14:paraId="742DF88B" w14:textId="77777777" w:rsidR="002C6B67" w:rsidRPr="00AA6109" w:rsidRDefault="002C6B67" w:rsidP="00CF3643">
            <w:pPr>
              <w:rPr>
                <w:rFonts w:cstheme="minorHAnsi"/>
              </w:rPr>
            </w:pPr>
            <w:r>
              <w:rPr>
                <w:rFonts w:cstheme="minorHAnsi"/>
              </w:rPr>
              <w:t>5</w:t>
            </w:r>
          </w:p>
        </w:tc>
      </w:tr>
      <w:tr w:rsidR="002C6B67" w14:paraId="3A797F30" w14:textId="77777777" w:rsidTr="00CF3643">
        <w:tc>
          <w:tcPr>
            <w:tcW w:w="2972" w:type="dxa"/>
          </w:tcPr>
          <w:p w14:paraId="294DA10E" w14:textId="2EABD897" w:rsidR="002C6B67" w:rsidRPr="00707F4C" w:rsidRDefault="002C6B67" w:rsidP="00CF3643">
            <w:pPr>
              <w:rPr>
                <w:rFonts w:cstheme="minorHAnsi"/>
              </w:rPr>
            </w:pPr>
            <w:r>
              <w:rPr>
                <w:rFonts w:cstheme="minorHAnsi"/>
              </w:rPr>
              <w:t>Connor et al, 2017</w:t>
            </w:r>
            <w:r>
              <w:rPr>
                <w:rFonts w:cstheme="minorHAnsi"/>
              </w:rPr>
              <w:fldChar w:fldCharType="begin"/>
            </w:r>
            <w:r w:rsidR="00731981">
              <w:rPr>
                <w:rFonts w:cstheme="minorHAnsi"/>
              </w:rPr>
              <w:instrText xml:space="preserve"> ADDIN ZOTERO_ITEM CSL_CITATION {"citationID":"mkexJsgl","properties":{"formattedCitation":"[47]","plainCitation":"[47]","noteIndex":0},"citationItems":[{"id":10,"uris":["http://zotero.org/users/2960325/items/96V9U5CK"],"uri":["http://zotero.org/users/2960325/items/96V9U5CK"],"itemData":{"id":10,"type":"article-journal","container-title":"Journal of the American College of Radiology: JACR","DOI":"10.1016/j.jacr.2017.05.020","ISSN":"1558-349X","issue":"10","journalAbbreviation":"J Am Coll Radiol","language":"eng","note":"PMID: 28739321","page":"1326-1332","source":"PubMed","title":"Preventing Intravenous Contrast Extravasation in CT: A Simple Solution","title-short":"Preventing Intravenous Contrast Extravasation in CT","volume":"14","author":[{"family":"Conner","given":"Brandy"},{"family":"Ash","given":"Ryan"},{"family":"Allen","given":"Wendy"},{"family":"Brown","given":"Travis"},{"family":"Hill","given":"Jacqueline"},{"family":"Hook","given":"Marcus"},{"family":"Fishback","given":"Shelby"}],"issued":{"date-parts":[["2017"]]}}}],"schema":"https://github.com/citation-style-language/schema/raw/master/csl-citation.json"} </w:instrText>
            </w:r>
            <w:r>
              <w:rPr>
                <w:rFonts w:cstheme="minorHAnsi"/>
              </w:rPr>
              <w:fldChar w:fldCharType="separate"/>
            </w:r>
            <w:r w:rsidR="00731981">
              <w:rPr>
                <w:rFonts w:cstheme="minorHAnsi"/>
                <w:noProof/>
              </w:rPr>
              <w:t>[47]</w:t>
            </w:r>
            <w:r>
              <w:rPr>
                <w:rFonts w:cstheme="minorHAnsi"/>
              </w:rPr>
              <w:fldChar w:fldCharType="end"/>
            </w:r>
          </w:p>
        </w:tc>
        <w:tc>
          <w:tcPr>
            <w:tcW w:w="1701" w:type="dxa"/>
          </w:tcPr>
          <w:p w14:paraId="22284D63" w14:textId="77777777" w:rsidR="002C6B67" w:rsidRPr="00397408" w:rsidRDefault="002C6B67" w:rsidP="00CF3643">
            <w:pPr>
              <w:rPr>
                <w:rFonts w:cstheme="minorHAnsi"/>
              </w:rPr>
            </w:pPr>
            <w:r w:rsidRPr="00397408">
              <w:rPr>
                <w:rFonts w:cstheme="minorHAnsi"/>
              </w:rPr>
              <w:t>Quality improvement study</w:t>
            </w:r>
          </w:p>
        </w:tc>
        <w:tc>
          <w:tcPr>
            <w:tcW w:w="1701" w:type="dxa"/>
          </w:tcPr>
          <w:p w14:paraId="7F2D8463" w14:textId="77777777" w:rsidR="002C6B67" w:rsidRPr="00397408" w:rsidRDefault="002C6B67" w:rsidP="00CF3643">
            <w:pPr>
              <w:rPr>
                <w:rFonts w:cstheme="minorHAnsi"/>
              </w:rPr>
            </w:pPr>
            <w:r w:rsidRPr="00397408">
              <w:rPr>
                <w:rFonts w:cstheme="minorHAnsi"/>
              </w:rPr>
              <w:t>Adults</w:t>
            </w:r>
          </w:p>
        </w:tc>
        <w:tc>
          <w:tcPr>
            <w:tcW w:w="1985" w:type="dxa"/>
          </w:tcPr>
          <w:p w14:paraId="103CB75D" w14:textId="77777777" w:rsidR="002C6B67" w:rsidRPr="00397408" w:rsidRDefault="002C6B67" w:rsidP="00CF3643">
            <w:pPr>
              <w:rPr>
                <w:rFonts w:cstheme="minorHAnsi"/>
              </w:rPr>
            </w:pPr>
            <w:r w:rsidRPr="00397408">
              <w:rPr>
                <w:rFonts w:cstheme="minorHAnsi"/>
              </w:rPr>
              <w:t>Not applicable</w:t>
            </w:r>
          </w:p>
        </w:tc>
        <w:tc>
          <w:tcPr>
            <w:tcW w:w="3969" w:type="dxa"/>
          </w:tcPr>
          <w:p w14:paraId="045325C2" w14:textId="77777777" w:rsidR="002C6B67" w:rsidRPr="00397408" w:rsidRDefault="002C6B67" w:rsidP="00CF3643">
            <w:pPr>
              <w:rPr>
                <w:rFonts w:cstheme="minorHAnsi"/>
              </w:rPr>
            </w:pPr>
            <w:r w:rsidRPr="00397408">
              <w:rPr>
                <w:rFonts w:cstheme="minorHAnsi"/>
              </w:rPr>
              <w:t>Characteristics of CME</w:t>
            </w:r>
            <w:r>
              <w:rPr>
                <w:rFonts w:cstheme="minorHAnsi"/>
              </w:rPr>
              <w:t>X</w:t>
            </w:r>
            <w:r w:rsidRPr="00397408">
              <w:rPr>
                <w:rFonts w:cstheme="minorHAnsi"/>
              </w:rPr>
              <w:t xml:space="preserve"> injury and CME</w:t>
            </w:r>
            <w:r>
              <w:rPr>
                <w:rFonts w:cstheme="minorHAnsi"/>
              </w:rPr>
              <w:t>X</w:t>
            </w:r>
            <w:r w:rsidRPr="00397408">
              <w:rPr>
                <w:rFonts w:cstheme="minorHAnsi"/>
              </w:rPr>
              <w:t xml:space="preserve"> rates </w:t>
            </w:r>
            <w:proofErr w:type="gramStart"/>
            <w:r w:rsidRPr="00397408">
              <w:rPr>
                <w:rFonts w:cstheme="minorHAnsi"/>
              </w:rPr>
              <w:t>pre</w:t>
            </w:r>
            <w:proofErr w:type="gramEnd"/>
            <w:r w:rsidRPr="00397408">
              <w:rPr>
                <w:rFonts w:cstheme="minorHAnsi"/>
              </w:rPr>
              <w:t xml:space="preserve"> and post-intervention. </w:t>
            </w:r>
          </w:p>
        </w:tc>
        <w:tc>
          <w:tcPr>
            <w:tcW w:w="992" w:type="dxa"/>
          </w:tcPr>
          <w:p w14:paraId="04DC3515" w14:textId="77777777" w:rsidR="002C6B67" w:rsidRPr="00397408" w:rsidRDefault="002C6B67" w:rsidP="00CF3643">
            <w:pPr>
              <w:rPr>
                <w:rFonts w:cstheme="minorHAnsi"/>
              </w:rPr>
            </w:pPr>
            <w:r w:rsidRPr="00397408">
              <w:rPr>
                <w:rFonts w:cstheme="minorHAnsi"/>
              </w:rPr>
              <w:t>Good</w:t>
            </w:r>
          </w:p>
        </w:tc>
        <w:tc>
          <w:tcPr>
            <w:tcW w:w="1134" w:type="dxa"/>
          </w:tcPr>
          <w:p w14:paraId="0EED238D" w14:textId="77777777" w:rsidR="002C6B67" w:rsidRPr="00397408" w:rsidRDefault="002C6B67" w:rsidP="00CF3643">
            <w:pPr>
              <w:rPr>
                <w:rFonts w:cstheme="minorHAnsi"/>
              </w:rPr>
            </w:pPr>
            <w:r w:rsidRPr="00397408">
              <w:rPr>
                <w:rFonts w:cstheme="minorHAnsi"/>
              </w:rPr>
              <w:t>3a</w:t>
            </w:r>
          </w:p>
        </w:tc>
      </w:tr>
      <w:tr w:rsidR="002C6B67" w14:paraId="1C017F81" w14:textId="77777777" w:rsidTr="00CF3643">
        <w:tc>
          <w:tcPr>
            <w:tcW w:w="2972" w:type="dxa"/>
          </w:tcPr>
          <w:p w14:paraId="6211194B" w14:textId="14EA732C" w:rsidR="002C6B67" w:rsidRDefault="002C6B67" w:rsidP="00CF3643">
            <w:pPr>
              <w:rPr>
                <w:rFonts w:cstheme="minorHAnsi"/>
              </w:rPr>
            </w:pPr>
            <w:r w:rsidRPr="009301DD">
              <w:rPr>
                <w:rFonts w:cstheme="minorHAnsi"/>
              </w:rPr>
              <w:t>Kim et al</w:t>
            </w:r>
            <w:r>
              <w:rPr>
                <w:rFonts w:cstheme="minorHAnsi"/>
              </w:rPr>
              <w:t xml:space="preserve">, </w:t>
            </w:r>
            <w:r w:rsidRPr="009301DD">
              <w:rPr>
                <w:rFonts w:cstheme="minorHAnsi"/>
              </w:rPr>
              <w:t>2017</w:t>
            </w:r>
            <w:r>
              <w:rPr>
                <w:rFonts w:cstheme="minorHAnsi"/>
              </w:rPr>
              <w:fldChar w:fldCharType="begin"/>
            </w:r>
            <w:r w:rsidR="00731981">
              <w:rPr>
                <w:rFonts w:cstheme="minorHAnsi"/>
              </w:rPr>
              <w:instrText xml:space="preserve"> ADDIN ZOTERO_ITEM CSL_CITATION {"citationID":"eMPzWP6N","properties":{"formattedCitation":"[48]","plainCitation":"[48]","noteIndex":0},"citationItems":[{"id":35,"uris":["http://zotero.org/users/2960325/items/7PQN7GZ2"],"uri":["http://zotero.org/users/2960325/items/7PQN7GZ2"],"itemData":{"id":35,"type":"article-journal","abstract":"In our hospital, an adverse event reporting system was initiated that alerts the plastic surgery department immediately after suspecting contrast media extravasation injury. This system is particularly important for a large volume of extravasation during power injector use. Between March 2011 and May 2015, a retrospective chart review was performed on all patients experiencing contrast media extravasation while being treated at our hospital. Immediate treatment by squeezing with multiple slit incisions was conducted for a portion of these patients. Eighty cases of extravasation were reported from approximately 218 000 computed tomography scans. The expected extravasation volume was larger than 50 ml, or severe pressure was felt on the affected limb in 23 patients. They were treated with multiple slit incisions followed by squeezing. Oedema of the affected limb disappeared after 1-2 hours after treatment, and the skin incisions healed within a week. We propose a set of guidelines for the initial management of contrast media extravasation injuries for a timely intervention. For large-volume extravasation cases, immediate management with multiple slit incisions is safe and effective in reducing the swelling quickly, preventing patient discomfort and decreasing skin and soft tissue problems.","container-title":"International Wound Journal","DOI":"10.1111/iwj.12628","ISSN":"1742-481X","issue":"2","journalAbbreviation":"Int Wound J","language":"eng","note":"PMID: 27430875","page":"430-434","source":"PubMed","title":"Computed tomography contrast media extravasation: treatment algorithm and immediate treatment by squeezing with multiple slit incisions","title-short":"Computed tomography contrast media extravasation","volume":"14","author":[{"family":"Kim","given":"Sue Min"},{"family":"Cook","given":"Kyung Hoon"},{"family":"Lee","given":"Il Jae"},{"family":"Park","given":"Dong Ha"},{"family":"Park","given":"Myong Chul"}],"issued":{"date-parts":[["2017",4]]}}}],"schema":"https://github.com/citation-style-language/schema/raw/master/csl-citation.json"} </w:instrText>
            </w:r>
            <w:r>
              <w:rPr>
                <w:rFonts w:cstheme="minorHAnsi"/>
              </w:rPr>
              <w:fldChar w:fldCharType="separate"/>
            </w:r>
            <w:r w:rsidR="00731981">
              <w:rPr>
                <w:rFonts w:cstheme="minorHAnsi"/>
                <w:noProof/>
              </w:rPr>
              <w:t>[48]</w:t>
            </w:r>
            <w:r>
              <w:rPr>
                <w:rFonts w:cstheme="minorHAnsi"/>
              </w:rPr>
              <w:fldChar w:fldCharType="end"/>
            </w:r>
          </w:p>
        </w:tc>
        <w:tc>
          <w:tcPr>
            <w:tcW w:w="1701" w:type="dxa"/>
          </w:tcPr>
          <w:p w14:paraId="45044FAD" w14:textId="77777777" w:rsidR="002C6B67" w:rsidRPr="00397408" w:rsidRDefault="002C6B67" w:rsidP="00CF3643">
            <w:pPr>
              <w:rPr>
                <w:rFonts w:cstheme="minorHAnsi"/>
              </w:rPr>
            </w:pPr>
            <w:r>
              <w:rPr>
                <w:rFonts w:cstheme="minorHAnsi"/>
              </w:rPr>
              <w:t>Retrospective</w:t>
            </w:r>
          </w:p>
        </w:tc>
        <w:tc>
          <w:tcPr>
            <w:tcW w:w="1701" w:type="dxa"/>
          </w:tcPr>
          <w:p w14:paraId="51717C3C" w14:textId="77777777" w:rsidR="002C6B67" w:rsidRPr="00397408" w:rsidRDefault="002C6B67" w:rsidP="00CF3643">
            <w:pPr>
              <w:rPr>
                <w:rFonts w:cstheme="minorHAnsi"/>
              </w:rPr>
            </w:pPr>
            <w:r>
              <w:rPr>
                <w:rFonts w:cstheme="minorHAnsi"/>
              </w:rPr>
              <w:t>Adults</w:t>
            </w:r>
          </w:p>
        </w:tc>
        <w:tc>
          <w:tcPr>
            <w:tcW w:w="1985" w:type="dxa"/>
          </w:tcPr>
          <w:p w14:paraId="09B7E237" w14:textId="77777777" w:rsidR="002C6B67" w:rsidRPr="00397408" w:rsidRDefault="002C6B67" w:rsidP="00CF3643">
            <w:pPr>
              <w:rPr>
                <w:rFonts w:cstheme="minorHAnsi"/>
              </w:rPr>
            </w:pPr>
            <w:r>
              <w:rPr>
                <w:rFonts w:cstheme="minorHAnsi"/>
              </w:rPr>
              <w:t>80 / 218000 (0.04)</w:t>
            </w:r>
          </w:p>
        </w:tc>
        <w:tc>
          <w:tcPr>
            <w:tcW w:w="3969" w:type="dxa"/>
          </w:tcPr>
          <w:p w14:paraId="6E6E1857" w14:textId="77777777" w:rsidR="002C6B67" w:rsidRPr="00397408" w:rsidRDefault="002C6B67" w:rsidP="00CF3643">
            <w:pPr>
              <w:rPr>
                <w:rFonts w:cstheme="minorHAnsi"/>
              </w:rPr>
            </w:pPr>
            <w:r>
              <w:rPr>
                <w:rFonts w:cstheme="minorHAnsi"/>
              </w:rPr>
              <w:t>Incidence, anatomical location, age, flow rates, gauge of catheter and volume of CMEX. Also experience of using multiple slit technique as treatment of CMEX.</w:t>
            </w:r>
          </w:p>
        </w:tc>
        <w:tc>
          <w:tcPr>
            <w:tcW w:w="992" w:type="dxa"/>
          </w:tcPr>
          <w:p w14:paraId="10A8C2EF" w14:textId="77777777" w:rsidR="002C6B67" w:rsidRPr="00397408" w:rsidRDefault="002C6B67" w:rsidP="00CF3643">
            <w:pPr>
              <w:rPr>
                <w:rFonts w:cstheme="minorHAnsi"/>
              </w:rPr>
            </w:pPr>
            <w:r>
              <w:rPr>
                <w:rFonts w:cstheme="minorHAnsi"/>
              </w:rPr>
              <w:t>Good</w:t>
            </w:r>
          </w:p>
        </w:tc>
        <w:tc>
          <w:tcPr>
            <w:tcW w:w="1134" w:type="dxa"/>
          </w:tcPr>
          <w:p w14:paraId="354B1215" w14:textId="77777777" w:rsidR="002C6B67" w:rsidRPr="00397408" w:rsidRDefault="002C6B67" w:rsidP="00CF3643">
            <w:pPr>
              <w:rPr>
                <w:rFonts w:cstheme="minorHAnsi"/>
              </w:rPr>
            </w:pPr>
            <w:r>
              <w:rPr>
                <w:rFonts w:cstheme="minorHAnsi"/>
              </w:rPr>
              <w:t>3b</w:t>
            </w:r>
          </w:p>
        </w:tc>
      </w:tr>
      <w:tr w:rsidR="002C6B67" w14:paraId="393F10D2" w14:textId="77777777" w:rsidTr="00CF3643">
        <w:tc>
          <w:tcPr>
            <w:tcW w:w="2972" w:type="dxa"/>
          </w:tcPr>
          <w:p w14:paraId="00854378" w14:textId="0C3FBBA9" w:rsidR="002C6B67" w:rsidRPr="00707F4C" w:rsidRDefault="002C6B67" w:rsidP="00CF3643">
            <w:pPr>
              <w:rPr>
                <w:rFonts w:cstheme="minorHAnsi"/>
              </w:rPr>
            </w:pPr>
            <w:r>
              <w:rPr>
                <w:rFonts w:cstheme="minorHAnsi"/>
              </w:rPr>
              <w:t>Craigie et al, 2018</w:t>
            </w:r>
            <w:r>
              <w:rPr>
                <w:rFonts w:cstheme="minorHAnsi"/>
              </w:rPr>
              <w:fldChar w:fldCharType="begin"/>
            </w:r>
            <w:r w:rsidR="00731981">
              <w:rPr>
                <w:rFonts w:cstheme="minorHAnsi"/>
              </w:rPr>
              <w:instrText xml:space="preserve"> ADDIN ZOTERO_ITEM CSL_CITATION {"citationID":"X8LcJCVu","properties":{"formattedCitation":"[49]","plainCitation":"[49]","noteIndex":0},"citationItems":[{"id":11,"uris":["http://zotero.org/users/2960325/items/DRGTDYKL"],"uri":["http://zotero.org/users/2960325/items/DRGTDYKL"],"itemData":{"id":11,"type":"article-journal","abstract":"Pressure-injectable peripherally inserted central catheters are now widely used for contrast pressure injections for CT scans. While they are generally regarded as safe, they are not free from complication. In this case review, we present three cases of PICC tips migrating post-CT contrast pressure injection including into the pleural cavity and subsequent complications, to raise awareness of this complication not previously encountered in our institution. Level of Evidence Level 4, Case Series.","container-title":"Cardiovascular and Interventional Radiology","DOI":"10.1007/s00270-017-1828-5","ISSN":"1432-086X","issue":"3","journalAbbreviation":"Cardiovasc Intervent Radiol","language":"eng","note":"PMID: 29075882","page":"509-512","source":"PubMed","title":"Tip Migration Post-Contrast Pressure Injection Through Pressure-Injectable Peripherally Inserted Central Catheters Causing Vascular Injury: A Report of 3 Cases","title-short":"Tip Migration Post-Contrast Pressure Injection Through Pressure-Injectable Peripherally Inserted Central Catheters Causing Vascular Injury","volume":"41","author":[{"family":"Craigie","given":"Michelle"},{"family":"Meehan","given":"Louise"},{"family":"Harper","given":"John"}],"issued":{"date-parts":[["2018",3]]}}}],"schema":"https://github.com/citation-style-language/schema/raw/master/csl-citation.json"} </w:instrText>
            </w:r>
            <w:r>
              <w:rPr>
                <w:rFonts w:cstheme="minorHAnsi"/>
              </w:rPr>
              <w:fldChar w:fldCharType="separate"/>
            </w:r>
            <w:r w:rsidR="00731981">
              <w:rPr>
                <w:rFonts w:cstheme="minorHAnsi"/>
                <w:noProof/>
              </w:rPr>
              <w:t>[49]</w:t>
            </w:r>
            <w:r>
              <w:rPr>
                <w:rFonts w:cstheme="minorHAnsi"/>
              </w:rPr>
              <w:fldChar w:fldCharType="end"/>
            </w:r>
          </w:p>
        </w:tc>
        <w:tc>
          <w:tcPr>
            <w:tcW w:w="1701" w:type="dxa"/>
          </w:tcPr>
          <w:p w14:paraId="137A10A3" w14:textId="77777777" w:rsidR="002C6B67" w:rsidRPr="009F3803" w:rsidRDefault="002C6B67" w:rsidP="00CF3643">
            <w:pPr>
              <w:rPr>
                <w:rFonts w:cstheme="minorHAnsi"/>
              </w:rPr>
            </w:pPr>
            <w:r w:rsidRPr="009F3803">
              <w:rPr>
                <w:rFonts w:cstheme="minorHAnsi"/>
              </w:rPr>
              <w:t>Case-series</w:t>
            </w:r>
          </w:p>
        </w:tc>
        <w:tc>
          <w:tcPr>
            <w:tcW w:w="1701" w:type="dxa"/>
          </w:tcPr>
          <w:p w14:paraId="4CDCFFFA" w14:textId="77777777" w:rsidR="002C6B67" w:rsidRPr="009F3803" w:rsidRDefault="002C6B67" w:rsidP="00CF3643">
            <w:pPr>
              <w:rPr>
                <w:rFonts w:cstheme="minorHAnsi"/>
              </w:rPr>
            </w:pPr>
            <w:r w:rsidRPr="009F3803">
              <w:rPr>
                <w:rFonts w:cstheme="minorHAnsi"/>
              </w:rPr>
              <w:t>Adults</w:t>
            </w:r>
          </w:p>
        </w:tc>
        <w:tc>
          <w:tcPr>
            <w:tcW w:w="1985" w:type="dxa"/>
          </w:tcPr>
          <w:p w14:paraId="5554F917" w14:textId="77777777" w:rsidR="002C6B67" w:rsidRPr="009F3803" w:rsidRDefault="002C6B67" w:rsidP="00CF3643">
            <w:pPr>
              <w:rPr>
                <w:rFonts w:cstheme="minorHAnsi"/>
              </w:rPr>
            </w:pPr>
            <w:r>
              <w:rPr>
                <w:rFonts w:cstheme="minorHAnsi"/>
              </w:rPr>
              <w:t>Not applicable</w:t>
            </w:r>
          </w:p>
        </w:tc>
        <w:tc>
          <w:tcPr>
            <w:tcW w:w="3969" w:type="dxa"/>
          </w:tcPr>
          <w:p w14:paraId="37E4D2A7" w14:textId="77777777" w:rsidR="002C6B67" w:rsidRPr="009F3803" w:rsidRDefault="002C6B67" w:rsidP="00CF3643">
            <w:pPr>
              <w:rPr>
                <w:rFonts w:cstheme="minorHAnsi"/>
              </w:rPr>
            </w:pPr>
            <w:r>
              <w:rPr>
                <w:rFonts w:cstheme="minorHAnsi"/>
              </w:rPr>
              <w:t>Tip migration with use of PICC line with automated pressure injectors.</w:t>
            </w:r>
          </w:p>
        </w:tc>
        <w:tc>
          <w:tcPr>
            <w:tcW w:w="992" w:type="dxa"/>
          </w:tcPr>
          <w:p w14:paraId="60722EB4" w14:textId="77777777" w:rsidR="002C6B67" w:rsidRPr="009F3803" w:rsidRDefault="002C6B67" w:rsidP="00CF3643">
            <w:pPr>
              <w:rPr>
                <w:rFonts w:cstheme="minorHAnsi"/>
              </w:rPr>
            </w:pPr>
            <w:r>
              <w:rPr>
                <w:rFonts w:cstheme="minorHAnsi"/>
              </w:rPr>
              <w:t>Fair</w:t>
            </w:r>
          </w:p>
        </w:tc>
        <w:tc>
          <w:tcPr>
            <w:tcW w:w="1134" w:type="dxa"/>
          </w:tcPr>
          <w:p w14:paraId="177687A9" w14:textId="77777777" w:rsidR="002C6B67" w:rsidRPr="009F3803" w:rsidRDefault="002C6B67" w:rsidP="00CF3643">
            <w:pPr>
              <w:rPr>
                <w:rFonts w:cstheme="minorHAnsi"/>
              </w:rPr>
            </w:pPr>
            <w:r>
              <w:rPr>
                <w:rFonts w:cstheme="minorHAnsi"/>
              </w:rPr>
              <w:t>4</w:t>
            </w:r>
          </w:p>
        </w:tc>
      </w:tr>
      <w:tr w:rsidR="002C6B67" w14:paraId="6F20D148" w14:textId="77777777" w:rsidTr="00CF3643">
        <w:tc>
          <w:tcPr>
            <w:tcW w:w="2972" w:type="dxa"/>
          </w:tcPr>
          <w:p w14:paraId="43752B7F" w14:textId="23AB914A" w:rsidR="002C6B67" w:rsidRPr="00707F4C" w:rsidRDefault="002C6B67" w:rsidP="00CF3643">
            <w:pPr>
              <w:rPr>
                <w:rFonts w:cstheme="minorHAnsi"/>
              </w:rPr>
            </w:pPr>
            <w:r w:rsidRPr="00707F4C">
              <w:rPr>
                <w:rFonts w:cstheme="minorHAnsi"/>
              </w:rPr>
              <w:t>Ding et al</w:t>
            </w:r>
            <w:r>
              <w:rPr>
                <w:rFonts w:cstheme="minorHAnsi"/>
              </w:rPr>
              <w:t xml:space="preserve">, </w:t>
            </w:r>
            <w:r w:rsidRPr="00707F4C">
              <w:rPr>
                <w:rFonts w:cstheme="minorHAnsi"/>
              </w:rPr>
              <w:t>2018</w:t>
            </w:r>
            <w:r>
              <w:rPr>
                <w:rFonts w:cstheme="minorHAnsi"/>
              </w:rPr>
              <w:fldChar w:fldCharType="begin"/>
            </w:r>
            <w:r w:rsidR="00731981">
              <w:rPr>
                <w:rFonts w:cstheme="minorHAnsi"/>
              </w:rPr>
              <w:instrText xml:space="preserve"> ADDIN ZOTERO_ITEM CSL_CITATION {"citationID":"YjkRdde0","properties":{"formattedCitation":"[50]","plainCitation":"[50]","noteIndex":0},"citationItems":[{"id":51,"uris":["http://zotero.org/users/2960325/items/SNI3ZVUK"],"uri":["http://zotero.org/users/2960325/items/SNI3ZVUK"],"itemData":{"id":51,"type":"article-journal","abstract":"OBJECTIVE: To identify risk factors and interventions preventing or reducing contrast medium extravasation.\nINTRODUCTION: Computed tomography (CT) is a radiological examination essential for the diagnosis and monitoring of many diseases. It is often performed with the intravenous (IV) injection of contrast agents. Use of these products can result in a significant complication, extravasation, which is the accidental leakage of IV material into the surrounding tissue. Patients may feel a sharp pain and skin ulceration or necrosis may develop.\nINCLUSION CRITERIA: This review considered studies that included patients (adults and children) undergoing a CT with IV administration of contrast media. The risk factors considered were patient demographics, comorbidities and medication history. This review also investigated any strategies related to: contrast agent, injection per se, material used for injection, apparatus used, healthcare professionals involved, and patient risk assessment performed by the radiology personnel. The comparators were other interventions or usual care. This review investigated randomized controlled trials and non-randomized controlled trials. When neither of these were available, other study designs, such as prospective and retrospective cohort studies, case-control studies and case series, were considered for inclusion. Primary outcomes considered were: extravasation frequency, volume, severity and complications.\nMETHODS: The databases PubMed, CINAHL, Embase, the Cochrane Register of Controlled Trials, Web of Science PsycINFO, ProQuest Dissertations and Theses A&amp;I, TRIP Database and ClinicalTrials.gov were searched to find both published and unpublished studies from 1980 to September 2016. Papers were assessed by two independent reviewers for methodological validity using the Joanna Briggs Institute System for the Unified Management, Assessment and Review of Information (JBI SUMARI). Data were extracted using the standardized data extraction tool from JBI SUMARI. In one case, quantitative data from two cohort studies were pooled in a statistical meta-analysis. However, generally, statistical pooling was not possible due to heterogeneity of the interventions, populations of interest or outcomes. Accordingly, the findings have been presented in narrative form.\nRESULTS: Fifteen articles were selected from a total of 2151 unique studies identified. Two were randomized controlled trials and 13 were quasi-experimental and observational studies. The quality of these studies was judged to be low to moderate. Some patient characteristics, such as female sex and inpatient status, appeared to be risk factors for extravasation. Additionally, injection rate, venous access site and catheter dwelling time could affect the volume extravasated. Preliminary studies seemed to indicate the potential of extravasation detection accessories to identify extravasation and reduce the volume extravasated. The other interventions either did not result in significant reduction in the frequency/volume of extravasation, or the results were mixed across the studies.\nCONCLUSIONS: The majority of the studies included in this review evaluated the outcomes of extravasation frequency and volume. Given the quality of the primary studies, this systematic review identified only potential risk factors and interventions. It further highlighted the research gap in this area and the importance of conducting trials with solid methodological designs.","container-title":"JBI database of systematic reviews and implementation reports","DOI":"10.11124/JBISRIR-2017-003348","ISSN":"2202-4433","issue":"1","journalAbbreviation":"JBI Database System Rev Implement Rep","language":"eng","note":"PMID: 29324560\nPMCID: PMC5771689","page":"87-116","source":"PubMed","title":"Contrast media extravasations in patients undergoing computerized tomography scanning: a systematic review and meta-analysis of risk factors and interventions","title-short":"Contrast media extravasations in patients undergoing computerized tomography scanning","volume":"16","author":[{"family":"Ding","given":"Sandrine"},{"family":"Meystre","given":"Nicole Richli"},{"family":"Campeanu","given":"Cosmin"},{"family":"Gullo","given":"Giuseppe"}],"issued":{"date-parts":[["2018",1]]}}}],"schema":"https://github.com/citation-style-language/schema/raw/master/csl-citation.json"} </w:instrText>
            </w:r>
            <w:r>
              <w:rPr>
                <w:rFonts w:cstheme="minorHAnsi"/>
              </w:rPr>
              <w:fldChar w:fldCharType="separate"/>
            </w:r>
            <w:r w:rsidR="00731981">
              <w:rPr>
                <w:rFonts w:cstheme="minorHAnsi"/>
                <w:noProof/>
              </w:rPr>
              <w:t>[50]</w:t>
            </w:r>
            <w:r>
              <w:rPr>
                <w:rFonts w:cstheme="minorHAnsi"/>
              </w:rPr>
              <w:fldChar w:fldCharType="end"/>
            </w:r>
          </w:p>
        </w:tc>
        <w:tc>
          <w:tcPr>
            <w:tcW w:w="1701" w:type="dxa"/>
          </w:tcPr>
          <w:p w14:paraId="01126D80" w14:textId="77777777" w:rsidR="002C6B67" w:rsidRPr="009F3803" w:rsidRDefault="002C6B67" w:rsidP="00CF3643">
            <w:pPr>
              <w:rPr>
                <w:rFonts w:cstheme="minorHAnsi"/>
              </w:rPr>
            </w:pPr>
            <w:r w:rsidRPr="009F3803">
              <w:rPr>
                <w:rFonts w:cstheme="minorHAnsi"/>
              </w:rPr>
              <w:t>Systematic and meta-analysis</w:t>
            </w:r>
          </w:p>
        </w:tc>
        <w:tc>
          <w:tcPr>
            <w:tcW w:w="1701" w:type="dxa"/>
          </w:tcPr>
          <w:p w14:paraId="3AFF6A1E" w14:textId="77777777" w:rsidR="002C6B67" w:rsidRPr="009F3803" w:rsidRDefault="002C6B67" w:rsidP="00CF3643">
            <w:pPr>
              <w:rPr>
                <w:rFonts w:cstheme="minorHAnsi"/>
              </w:rPr>
            </w:pPr>
            <w:r>
              <w:rPr>
                <w:rFonts w:cstheme="minorHAnsi"/>
              </w:rPr>
              <w:t>Adults and children</w:t>
            </w:r>
          </w:p>
        </w:tc>
        <w:tc>
          <w:tcPr>
            <w:tcW w:w="1985" w:type="dxa"/>
          </w:tcPr>
          <w:p w14:paraId="7396D797" w14:textId="77777777" w:rsidR="002C6B67" w:rsidRPr="009F3803" w:rsidRDefault="002C6B67" w:rsidP="00CF3643">
            <w:pPr>
              <w:rPr>
                <w:rFonts w:cstheme="minorHAnsi"/>
              </w:rPr>
            </w:pPr>
            <w:r>
              <w:rPr>
                <w:rFonts w:cstheme="minorHAnsi"/>
              </w:rPr>
              <w:t>Not applicable</w:t>
            </w:r>
          </w:p>
        </w:tc>
        <w:tc>
          <w:tcPr>
            <w:tcW w:w="3969" w:type="dxa"/>
          </w:tcPr>
          <w:p w14:paraId="7CD9A739" w14:textId="77777777" w:rsidR="002C6B67" w:rsidRPr="009F3803" w:rsidRDefault="002C6B67" w:rsidP="00CF3643">
            <w:pPr>
              <w:rPr>
                <w:rFonts w:cstheme="minorHAnsi"/>
              </w:rPr>
            </w:pPr>
            <w:r>
              <w:rPr>
                <w:rFonts w:cstheme="minorHAnsi"/>
              </w:rPr>
              <w:t>Impact on volume and frequency of CMEX was assessed by gender, cannula type/size, infusion rate, US guided insertion of PVC, type of venous access, warming of CM, type of healthcare professional inserting PVC, dwell time of PVC, quality improvement project and use of EDA.</w:t>
            </w:r>
          </w:p>
        </w:tc>
        <w:tc>
          <w:tcPr>
            <w:tcW w:w="992" w:type="dxa"/>
          </w:tcPr>
          <w:p w14:paraId="44F14126" w14:textId="77777777" w:rsidR="002C6B67" w:rsidRPr="009F3803" w:rsidRDefault="002C6B67" w:rsidP="00CF3643">
            <w:pPr>
              <w:rPr>
                <w:rFonts w:cstheme="minorHAnsi"/>
              </w:rPr>
            </w:pPr>
            <w:r>
              <w:rPr>
                <w:rFonts w:cstheme="minorHAnsi"/>
              </w:rPr>
              <w:t>Good</w:t>
            </w:r>
          </w:p>
        </w:tc>
        <w:tc>
          <w:tcPr>
            <w:tcW w:w="1134" w:type="dxa"/>
          </w:tcPr>
          <w:p w14:paraId="765D29FD" w14:textId="77777777" w:rsidR="002C6B67" w:rsidRPr="009F3803" w:rsidRDefault="002C6B67" w:rsidP="00CF3643">
            <w:pPr>
              <w:rPr>
                <w:rFonts w:cstheme="minorHAnsi"/>
              </w:rPr>
            </w:pPr>
            <w:r>
              <w:rPr>
                <w:rFonts w:cstheme="minorHAnsi"/>
              </w:rPr>
              <w:t>1a</w:t>
            </w:r>
          </w:p>
        </w:tc>
      </w:tr>
      <w:tr w:rsidR="002C6B67" w14:paraId="421D45F4" w14:textId="77777777" w:rsidTr="00CF3643">
        <w:tc>
          <w:tcPr>
            <w:tcW w:w="2972" w:type="dxa"/>
          </w:tcPr>
          <w:p w14:paraId="5909B975" w14:textId="03F03186" w:rsidR="002C6B67" w:rsidRPr="00707F4C" w:rsidRDefault="002C6B67" w:rsidP="00CF3643">
            <w:pPr>
              <w:rPr>
                <w:rFonts w:cstheme="minorHAnsi"/>
              </w:rPr>
            </w:pPr>
            <w:r>
              <w:rPr>
                <w:rFonts w:cstheme="minorHAnsi"/>
              </w:rPr>
              <w:lastRenderedPageBreak/>
              <w:t>Behzadi et al, 2018</w:t>
            </w:r>
            <w:r>
              <w:rPr>
                <w:rFonts w:cstheme="minorHAnsi"/>
              </w:rPr>
              <w:fldChar w:fldCharType="begin"/>
            </w:r>
            <w:r w:rsidR="00731981">
              <w:rPr>
                <w:rFonts w:cstheme="minorHAnsi"/>
              </w:rPr>
              <w:instrText xml:space="preserve"> ADDIN ZOTERO_ITEM CSL_CITATION {"citationID":"2xF0uqJd","properties":{"formattedCitation":"[51]","plainCitation":"[51]","noteIndex":0},"citationItems":[{"id":56,"uris":["http://zotero.org/users/2960325/items/RLSTMP86"],"uri":["http://zotero.org/users/2960325/items/RLSTMP86"],"itemData":{"id":56,"type":"article-journal","abstract":"Background:\nThis systematic review combines data from multiple papers on contrast media extravasation to identify factors contributing to increased extravasation risk.\n\nMethods:\nData were extracted from 17 papers reporting 2191 extravasations in 1,104,872 patients (0.2%) undergoing computed tomography (CT) or magnetic resonance imaging (MRI).\n\nResults:\nExtravasation rates were 0.045% for gadolinium-based contrast agents (GBCA) and nearly 6-fold higher, 0.26% for iodinated contrast agents. Factors associated with increased contrast media extravasations included: older age, female gender, using an existing intravenous (IV) instead of placing a new IV in radiology, in-patient status, use of automated power injection, high injection rates, catheter location, and failing to warm up the more viscous contrast media to body temperature.\n\nConclusion:\nContrast media extravasation is infrequent but nearly 6 times less frequent with GBCA for MRI compared with iodinated contrast used in CT.","container-title":"Medicine","DOI":"10.1097/MD.0000000000010055","ISSN":"0025-7974","issue":"9","journalAbbreviation":"Medicine (Baltimore)","note":"PMID: 29489663\nPMCID: PMC5851722","source":"PubMed Central","title":"MRI and CT contrast media extravasation","URL":"https://www.ncbi.nlm.nih.gov/pmc/articles/PMC5851722/","volume":"97","author":[{"family":"Heshmatzadeh Behzadi","given":"Ashkan"},{"family":"Farooq","given":"Zerwa"},{"family":"Newhouse","given":"Jeffery H."},{"family":"Prince","given":"Martin R."}],"accessed":{"date-parts":[["2019",8,18]]},"issued":{"date-parts":[["2018",3,2]]}}}],"schema":"https://github.com/citation-style-language/schema/raw/master/csl-citation.json"} </w:instrText>
            </w:r>
            <w:r>
              <w:rPr>
                <w:rFonts w:cstheme="minorHAnsi"/>
              </w:rPr>
              <w:fldChar w:fldCharType="separate"/>
            </w:r>
            <w:r w:rsidR="00731981">
              <w:rPr>
                <w:rFonts w:cstheme="minorHAnsi"/>
                <w:noProof/>
              </w:rPr>
              <w:t>[51]</w:t>
            </w:r>
            <w:r>
              <w:rPr>
                <w:rFonts w:cstheme="minorHAnsi"/>
              </w:rPr>
              <w:fldChar w:fldCharType="end"/>
            </w:r>
          </w:p>
        </w:tc>
        <w:tc>
          <w:tcPr>
            <w:tcW w:w="1701" w:type="dxa"/>
          </w:tcPr>
          <w:p w14:paraId="651C928C" w14:textId="77777777" w:rsidR="002C6B67" w:rsidRPr="009F3803" w:rsidRDefault="002C6B67" w:rsidP="00CF3643">
            <w:pPr>
              <w:rPr>
                <w:rFonts w:cstheme="minorHAnsi"/>
              </w:rPr>
            </w:pPr>
            <w:r>
              <w:rPr>
                <w:rFonts w:cstheme="minorHAnsi"/>
              </w:rPr>
              <w:t>Systematic review</w:t>
            </w:r>
          </w:p>
        </w:tc>
        <w:tc>
          <w:tcPr>
            <w:tcW w:w="1701" w:type="dxa"/>
          </w:tcPr>
          <w:p w14:paraId="142EE4EC" w14:textId="77777777" w:rsidR="002C6B67" w:rsidRPr="009F3803" w:rsidRDefault="002C6B67" w:rsidP="00CF3643">
            <w:pPr>
              <w:rPr>
                <w:rFonts w:cstheme="minorHAnsi"/>
              </w:rPr>
            </w:pPr>
            <w:r>
              <w:rPr>
                <w:rFonts w:cstheme="minorHAnsi"/>
              </w:rPr>
              <w:t>Adults and children</w:t>
            </w:r>
          </w:p>
        </w:tc>
        <w:tc>
          <w:tcPr>
            <w:tcW w:w="1985" w:type="dxa"/>
          </w:tcPr>
          <w:p w14:paraId="6610DFF7" w14:textId="77777777" w:rsidR="002C6B67" w:rsidRPr="009F3803" w:rsidRDefault="002C6B67" w:rsidP="00CF3643">
            <w:pPr>
              <w:rPr>
                <w:rFonts w:cstheme="minorHAnsi"/>
              </w:rPr>
            </w:pPr>
            <w:r>
              <w:rPr>
                <w:rFonts w:cstheme="minorHAnsi"/>
              </w:rPr>
              <w:t>2191 / 1104872 (0.2%)</w:t>
            </w:r>
          </w:p>
        </w:tc>
        <w:tc>
          <w:tcPr>
            <w:tcW w:w="3969" w:type="dxa"/>
          </w:tcPr>
          <w:p w14:paraId="306CE358" w14:textId="77777777" w:rsidR="002C6B67" w:rsidRPr="009F3803" w:rsidRDefault="002C6B67" w:rsidP="00CF3643">
            <w:pPr>
              <w:rPr>
                <w:rFonts w:cstheme="minorHAnsi"/>
              </w:rPr>
            </w:pPr>
            <w:r>
              <w:rPr>
                <w:rFonts w:cstheme="minorHAnsi"/>
              </w:rPr>
              <w:t xml:space="preserve">Impact on volume, </w:t>
            </w:r>
            <w:proofErr w:type="gramStart"/>
            <w:r>
              <w:rPr>
                <w:rFonts w:cstheme="minorHAnsi"/>
              </w:rPr>
              <w:t>severity</w:t>
            </w:r>
            <w:proofErr w:type="gramEnd"/>
            <w:r>
              <w:rPr>
                <w:rFonts w:cstheme="minorHAnsi"/>
              </w:rPr>
              <w:t xml:space="preserve"> and frequency of CMEX assessed by GBCAs vs. iodinated CM, gender, age, type of healthcare professional inserting PVC, catheter location, catheter size, power vs manual injection, injection rate, in-patients vs. outpatients and CM temperature.</w:t>
            </w:r>
          </w:p>
        </w:tc>
        <w:tc>
          <w:tcPr>
            <w:tcW w:w="992" w:type="dxa"/>
          </w:tcPr>
          <w:p w14:paraId="5C5A6DED" w14:textId="77777777" w:rsidR="002C6B67" w:rsidRPr="009F3803" w:rsidRDefault="002C6B67" w:rsidP="00CF3643">
            <w:pPr>
              <w:rPr>
                <w:rFonts w:cstheme="minorHAnsi"/>
              </w:rPr>
            </w:pPr>
            <w:r>
              <w:rPr>
                <w:rFonts w:cstheme="minorHAnsi"/>
              </w:rPr>
              <w:t>Good</w:t>
            </w:r>
          </w:p>
        </w:tc>
        <w:tc>
          <w:tcPr>
            <w:tcW w:w="1134" w:type="dxa"/>
          </w:tcPr>
          <w:p w14:paraId="1437F777" w14:textId="77777777" w:rsidR="002C6B67" w:rsidRPr="009F3803" w:rsidRDefault="002C6B67" w:rsidP="00CF3643">
            <w:pPr>
              <w:rPr>
                <w:rFonts w:cstheme="minorHAnsi"/>
              </w:rPr>
            </w:pPr>
            <w:r>
              <w:rPr>
                <w:rFonts w:cstheme="minorHAnsi"/>
              </w:rPr>
              <w:t>2a</w:t>
            </w:r>
          </w:p>
        </w:tc>
      </w:tr>
      <w:tr w:rsidR="002C6B67" w14:paraId="3A128BDC" w14:textId="77777777" w:rsidTr="00CF3643">
        <w:tc>
          <w:tcPr>
            <w:tcW w:w="2972" w:type="dxa"/>
          </w:tcPr>
          <w:p w14:paraId="7811848B" w14:textId="5527F59E" w:rsidR="002C6B67" w:rsidRPr="00707F4C" w:rsidRDefault="002C6B67" w:rsidP="00CF3643">
            <w:pPr>
              <w:rPr>
                <w:rFonts w:cstheme="minorHAnsi"/>
              </w:rPr>
            </w:pPr>
            <w:r w:rsidRPr="009301DD">
              <w:rPr>
                <w:rFonts w:cstheme="minorHAnsi"/>
              </w:rPr>
              <w:t>Hwang et al</w:t>
            </w:r>
            <w:r>
              <w:rPr>
                <w:rFonts w:cstheme="minorHAnsi"/>
              </w:rPr>
              <w:t xml:space="preserve">, </w:t>
            </w:r>
            <w:r w:rsidRPr="009301DD">
              <w:rPr>
                <w:rFonts w:cstheme="minorHAnsi"/>
              </w:rPr>
              <w:t>2018</w:t>
            </w:r>
            <w:r>
              <w:rPr>
                <w:rFonts w:cstheme="minorHAnsi"/>
              </w:rPr>
              <w:fldChar w:fldCharType="begin"/>
            </w:r>
            <w:r w:rsidR="00731981">
              <w:rPr>
                <w:rFonts w:cstheme="minorHAnsi"/>
              </w:rPr>
              <w:instrText xml:space="preserve"> ADDIN ZOTERO_ITEM CSL_CITATION {"citationID":"J1uIv5ve","properties":{"formattedCitation":"[52]","plainCitation":"[52]","noteIndex":0},"citationItems":[{"id":38,"uris":["http://zotero.org/users/2960325/items/PQUP6DI7"],"uri":["http://zotero.org/users/2960325/items/PQUP6DI7"],"itemData":{"id":38,"type":"article-journal","abstract":"OBJECTIVE: To evaluate the frequency, outcome, and risk factors of intravenous contrast media (CM) extravasation during contrast-enhanced CT scans in a large population.\nMETHODS: After institutional review board approval, 142,651 patients (72,976 males and 69,675 females; mean age, 59.9 ± 13.0 years) who underwent contrast-enhanced CT scans with intravenous CM between January 2015 and April 2017 were retrospectively included. The frequency of CM extravasations and their clinical outcomes were investigated. Risk factors of CM extravasation were evaluated using logistic regression with generalized estimating equation analyses. In addition, the frequency and risk factors of large-volume (≥100 ml) CM extravasation were also investigated.\nRESULTS: CM extravasation occurred in 0.23% (321/142,651) of patients, all of which were of mild degree and resolved without any sequelae through conservative management. Multivariate analysis revealed that female gender [odds ratio (OR) = 1.61; p &lt; 0.001], 60 &lt; age ≤ 70 years (OR = 1.71; p = 0.004) or age &gt; 70 years (OR = 2.49; p &lt; 0.001), patients in general wards (OR = 2.71; p &lt; 0.001) or ICUs (OR = 4.76; p &lt; 0.001), 9.4 &lt; CM viscosity ≤ 10.0 (OR = 1.65; p = 0.015), 10.0 &lt; CM viscosity ≤ 10.6 (OR = 1.60; p = 0.002), and CM viscosity &gt; 16.0 (OR = 2.55, p &lt; 0.001) were independent risk factors for CM extravasation.\nCONCLUSION: CM extravasation during contrast-enhanced CT scans was uncommon with no substantial clinical consequences. Several risk factors that may have the potential to reduce the occurrence of CM extravasation were identified.\nKEY POINTS: • The observed frequency of contrast media extravasation during contrast-enhanced CT scans was 0.23% (321/142,651). • Significant risk factors for contrast media extravasation were female gender, age older than 60 years, patients in general wards or ICUs, and the viscosity of contrast media greater than 9.4 mPa∙s. • The main preventive action for contrast media extravasation would be to lower the viscosity of contrast media.","container-title":"European Radiology","DOI":"10.1007/s00330-018-5507-y","ISSN":"1432-1084","issue":"12","journalAbbreviation":"Eur Radiol","language":"eng","note":"PMID: 29876706","page":"5368-5375","source":"PubMed","title":"Frequency, outcome, and risk factors of contrast media extravasation in 142,651 intravenous contrast-enhanced CT scans","volume":"28","author":[{"family":"Hwang","given":"Eui Jin"},{"family":"Shin","given":"Cheong-Il"},{"family":"Choi","given":"Young Hun"},{"family":"Park","given":"Chang Min"}],"issued":{"date-parts":[["2018",12]]}}}],"schema":"https://github.com/citation-style-language/schema/raw/master/csl-citation.json"} </w:instrText>
            </w:r>
            <w:r>
              <w:rPr>
                <w:rFonts w:cstheme="minorHAnsi"/>
              </w:rPr>
              <w:fldChar w:fldCharType="separate"/>
            </w:r>
            <w:r w:rsidR="00731981">
              <w:rPr>
                <w:rFonts w:cstheme="minorHAnsi"/>
                <w:noProof/>
              </w:rPr>
              <w:t>[52]</w:t>
            </w:r>
            <w:r>
              <w:rPr>
                <w:rFonts w:cstheme="minorHAnsi"/>
              </w:rPr>
              <w:fldChar w:fldCharType="end"/>
            </w:r>
          </w:p>
        </w:tc>
        <w:tc>
          <w:tcPr>
            <w:tcW w:w="1701" w:type="dxa"/>
          </w:tcPr>
          <w:p w14:paraId="5316BFB5" w14:textId="77777777" w:rsidR="002C6B67" w:rsidRPr="009F3803" w:rsidRDefault="002C6B67" w:rsidP="00CF3643">
            <w:pPr>
              <w:rPr>
                <w:rFonts w:cstheme="minorHAnsi"/>
              </w:rPr>
            </w:pPr>
            <w:r>
              <w:rPr>
                <w:rFonts w:cstheme="minorHAnsi"/>
              </w:rPr>
              <w:t>Retrospective</w:t>
            </w:r>
          </w:p>
        </w:tc>
        <w:tc>
          <w:tcPr>
            <w:tcW w:w="1701" w:type="dxa"/>
          </w:tcPr>
          <w:p w14:paraId="2AC55C4B" w14:textId="77777777" w:rsidR="002C6B67" w:rsidRPr="009F3803" w:rsidRDefault="002C6B67" w:rsidP="00CF3643">
            <w:pPr>
              <w:rPr>
                <w:rFonts w:cstheme="minorHAnsi"/>
              </w:rPr>
            </w:pPr>
            <w:r>
              <w:rPr>
                <w:rFonts w:cstheme="minorHAnsi"/>
              </w:rPr>
              <w:t>Adults</w:t>
            </w:r>
          </w:p>
        </w:tc>
        <w:tc>
          <w:tcPr>
            <w:tcW w:w="1985" w:type="dxa"/>
          </w:tcPr>
          <w:p w14:paraId="70728568" w14:textId="77777777" w:rsidR="002C6B67" w:rsidRPr="009F3803" w:rsidRDefault="002C6B67" w:rsidP="00CF3643">
            <w:pPr>
              <w:rPr>
                <w:rFonts w:cstheme="minorHAnsi"/>
              </w:rPr>
            </w:pPr>
            <w:r>
              <w:rPr>
                <w:rFonts w:cstheme="minorHAnsi"/>
              </w:rPr>
              <w:t>321 / 142651 (0.23)</w:t>
            </w:r>
          </w:p>
        </w:tc>
        <w:tc>
          <w:tcPr>
            <w:tcW w:w="3969" w:type="dxa"/>
          </w:tcPr>
          <w:p w14:paraId="7474D0A7" w14:textId="77777777" w:rsidR="002C6B67" w:rsidRPr="009F3803" w:rsidRDefault="002C6B67" w:rsidP="00CF3643">
            <w:pPr>
              <w:rPr>
                <w:rFonts w:cstheme="minorHAnsi"/>
              </w:rPr>
            </w:pPr>
            <w:r>
              <w:rPr>
                <w:rFonts w:cstheme="minorHAnsi"/>
              </w:rPr>
              <w:t>Frequency and outcomes of CMEX relationship with gender, age, hospitalisation status, CM viscosity and injection rate.</w:t>
            </w:r>
          </w:p>
        </w:tc>
        <w:tc>
          <w:tcPr>
            <w:tcW w:w="992" w:type="dxa"/>
          </w:tcPr>
          <w:p w14:paraId="407589D5" w14:textId="77777777" w:rsidR="002C6B67" w:rsidRPr="009F3803" w:rsidRDefault="002C6B67" w:rsidP="00CF3643">
            <w:pPr>
              <w:rPr>
                <w:rFonts w:cstheme="minorHAnsi"/>
              </w:rPr>
            </w:pPr>
            <w:r>
              <w:rPr>
                <w:rFonts w:cstheme="minorHAnsi"/>
              </w:rPr>
              <w:t>Good</w:t>
            </w:r>
          </w:p>
        </w:tc>
        <w:tc>
          <w:tcPr>
            <w:tcW w:w="1134" w:type="dxa"/>
          </w:tcPr>
          <w:p w14:paraId="78359142" w14:textId="77777777" w:rsidR="002C6B67" w:rsidRPr="009F3803" w:rsidRDefault="002C6B67" w:rsidP="00CF3643">
            <w:pPr>
              <w:rPr>
                <w:rFonts w:cstheme="minorHAnsi"/>
              </w:rPr>
            </w:pPr>
            <w:r>
              <w:rPr>
                <w:rFonts w:cstheme="minorHAnsi"/>
              </w:rPr>
              <w:t>3b</w:t>
            </w:r>
          </w:p>
        </w:tc>
      </w:tr>
      <w:tr w:rsidR="002C6B67" w14:paraId="783DAC85" w14:textId="77777777" w:rsidTr="00CF3643">
        <w:tc>
          <w:tcPr>
            <w:tcW w:w="2972" w:type="dxa"/>
          </w:tcPr>
          <w:p w14:paraId="748C4C90" w14:textId="2C38A84F" w:rsidR="002C6B67" w:rsidRPr="00707F4C" w:rsidRDefault="002C6B67" w:rsidP="00CF3643">
            <w:pPr>
              <w:rPr>
                <w:rFonts w:cstheme="minorHAnsi"/>
              </w:rPr>
            </w:pPr>
            <w:proofErr w:type="spellStart"/>
            <w:r w:rsidRPr="009301DD">
              <w:rPr>
                <w:rFonts w:cstheme="minorHAnsi"/>
              </w:rPr>
              <w:t>Sonis</w:t>
            </w:r>
            <w:proofErr w:type="spellEnd"/>
            <w:r w:rsidRPr="009301DD">
              <w:rPr>
                <w:rFonts w:cstheme="minorHAnsi"/>
              </w:rPr>
              <w:t xml:space="preserve"> et al</w:t>
            </w:r>
            <w:r>
              <w:rPr>
                <w:rFonts w:cstheme="minorHAnsi"/>
              </w:rPr>
              <w:t xml:space="preserve">, </w:t>
            </w:r>
            <w:r w:rsidRPr="009301DD">
              <w:rPr>
                <w:rFonts w:cstheme="minorHAnsi"/>
              </w:rPr>
              <w:t>2018</w:t>
            </w:r>
            <w:r>
              <w:rPr>
                <w:rFonts w:cstheme="minorHAnsi"/>
              </w:rPr>
              <w:fldChar w:fldCharType="begin"/>
            </w:r>
            <w:r w:rsidR="00731981">
              <w:rPr>
                <w:rFonts w:cstheme="minorHAnsi"/>
              </w:rPr>
              <w:instrText xml:space="preserve"> ADDIN ZOTERO_ITEM CSL_CITATION {"citationID":"kRj91eFU","properties":{"formattedCitation":"[53]","plainCitation":"[53]","noteIndex":0},"citationItems":[{"id":37,"uris":["http://zotero.org/users/2960325/items/IGH9P45G"],"uri":["http://zotero.org/users/2960325/items/IGH9P45G"],"itemData":{"id":37,"type":"article-journal","abstract":"PURPOSE: To characterize the management, outcomes, and emergency department (ED) length of stay (LOS) following iodinated contrast media extravasation events in the ED.\nMETHODS: All ED patients who developed iodinated contrast media extravasation following contrast-enhanced CT (CECT) from October 2007-December 2016 were retrospectively identified. Medical records were reviewed and management, complications, frequency of surgical consultation, and ED LOS were quantified using descriptive statistics. The Wilcoxon rank sum test was used to compare ED LOS in patients who did and did not receive surgical consultation.\nRESULTS: A total of 199 contrast extravasation episodes occurred in ED patients during the 9-year study period. Of these, 42 patients underwent surgical consultation to evaluate the contrast extravasation event. No patient developed progressive symptoms, compartment syndrome, or tissue necrosis, and none received treatment beyond supportive care (warm/cold packs, elevation, compression). Median ED LOS for patients who did and did not receive surgical consultation was 11.3h versus 9.0h, respectively (p&lt;0.01).\nCONCLUSION: Close observation and supportive care are sufficient for contrast extravasation events in the ED without concerning symptoms (progressive pain/swelling, altered tissue perfusion, sensory changes, or blistering/ulceration). Routine surgical consultation is likely unnecessary in the absence of these symptoms - concordant with the current American College of Radiology guidelines - and may be associated with longer ED LOS without impacting management.","container-title":"The American Journal of Emergency Medicine","DOI":"10.1016/j.ajem.2017.11.012","ISSN":"1532-8171","issue":"2","journalAbbreviation":"Am J Emerg Med","language":"eng","note":"PMID: 29137904","page":"294-296","source":"PubMed","title":"Implications of iodinated contrast media extravasation in the emergency department","volume":"36","author":[{"family":"Sonis","given":"Jonathan D."},{"family":"Gottumukkala","given":"Ravi V."},{"family":"Glover","given":"McKinley"},{"family":"Yun","given":"Brian J."},{"family":"White","given":"Benjamin A."},{"family":"Kalra","given":"Mannudeep K."},{"family":"Otrakji","given":"Alexi"},{"family":"Raja","given":"Ali S."},{"family":"Prabhakar","given":"Anand M."}],"issued":{"date-parts":[["2018",2]]}}}],"schema":"https://github.com/citation-style-language/schema/raw/master/csl-citation.json"} </w:instrText>
            </w:r>
            <w:r>
              <w:rPr>
                <w:rFonts w:cstheme="minorHAnsi"/>
              </w:rPr>
              <w:fldChar w:fldCharType="separate"/>
            </w:r>
            <w:r w:rsidR="00731981">
              <w:rPr>
                <w:rFonts w:cstheme="minorHAnsi"/>
                <w:noProof/>
              </w:rPr>
              <w:t>[53]</w:t>
            </w:r>
            <w:r>
              <w:rPr>
                <w:rFonts w:cstheme="minorHAnsi"/>
              </w:rPr>
              <w:fldChar w:fldCharType="end"/>
            </w:r>
          </w:p>
        </w:tc>
        <w:tc>
          <w:tcPr>
            <w:tcW w:w="1701" w:type="dxa"/>
          </w:tcPr>
          <w:p w14:paraId="456221C1" w14:textId="77777777" w:rsidR="002C6B67" w:rsidRPr="009F3803" w:rsidRDefault="002C6B67" w:rsidP="00CF3643">
            <w:pPr>
              <w:rPr>
                <w:rFonts w:cstheme="minorHAnsi"/>
              </w:rPr>
            </w:pPr>
            <w:r>
              <w:rPr>
                <w:rFonts w:cstheme="minorHAnsi"/>
              </w:rPr>
              <w:t>Retrospective</w:t>
            </w:r>
          </w:p>
        </w:tc>
        <w:tc>
          <w:tcPr>
            <w:tcW w:w="1701" w:type="dxa"/>
          </w:tcPr>
          <w:p w14:paraId="60B5C340" w14:textId="77777777" w:rsidR="002C6B67" w:rsidRPr="009F3803" w:rsidRDefault="002C6B67" w:rsidP="00CF3643">
            <w:pPr>
              <w:rPr>
                <w:rFonts w:cstheme="minorHAnsi"/>
              </w:rPr>
            </w:pPr>
            <w:r>
              <w:rPr>
                <w:rFonts w:cstheme="minorHAnsi"/>
              </w:rPr>
              <w:t>Adults</w:t>
            </w:r>
          </w:p>
        </w:tc>
        <w:tc>
          <w:tcPr>
            <w:tcW w:w="1985" w:type="dxa"/>
          </w:tcPr>
          <w:p w14:paraId="38105BCC" w14:textId="77777777" w:rsidR="002C6B67" w:rsidRPr="009F3803" w:rsidRDefault="002C6B67" w:rsidP="00CF3643">
            <w:pPr>
              <w:rPr>
                <w:rFonts w:cstheme="minorHAnsi"/>
              </w:rPr>
            </w:pPr>
            <w:r>
              <w:rPr>
                <w:rFonts w:cstheme="minorHAnsi"/>
              </w:rPr>
              <w:t>Unknown</w:t>
            </w:r>
          </w:p>
        </w:tc>
        <w:tc>
          <w:tcPr>
            <w:tcW w:w="3969" w:type="dxa"/>
          </w:tcPr>
          <w:p w14:paraId="669E6A03" w14:textId="77777777" w:rsidR="002C6B67" w:rsidRPr="009F3803" w:rsidRDefault="002C6B67" w:rsidP="00CF3643">
            <w:pPr>
              <w:rPr>
                <w:rFonts w:cstheme="minorHAnsi"/>
              </w:rPr>
            </w:pPr>
            <w:r>
              <w:rPr>
                <w:rFonts w:cstheme="minorHAnsi"/>
              </w:rPr>
              <w:t>Comparison of different management strategies of CMEX.</w:t>
            </w:r>
          </w:p>
        </w:tc>
        <w:tc>
          <w:tcPr>
            <w:tcW w:w="992" w:type="dxa"/>
          </w:tcPr>
          <w:p w14:paraId="6655EB2D" w14:textId="77777777" w:rsidR="002C6B67" w:rsidRPr="009F3803" w:rsidRDefault="002C6B67" w:rsidP="00CF3643">
            <w:pPr>
              <w:rPr>
                <w:rFonts w:cstheme="minorHAnsi"/>
              </w:rPr>
            </w:pPr>
            <w:r>
              <w:rPr>
                <w:rFonts w:cstheme="minorHAnsi"/>
              </w:rPr>
              <w:t>Good</w:t>
            </w:r>
          </w:p>
        </w:tc>
        <w:tc>
          <w:tcPr>
            <w:tcW w:w="1134" w:type="dxa"/>
          </w:tcPr>
          <w:p w14:paraId="092C0161" w14:textId="77777777" w:rsidR="002C6B67" w:rsidRPr="009F3803" w:rsidRDefault="002C6B67" w:rsidP="00CF3643">
            <w:pPr>
              <w:rPr>
                <w:rFonts w:cstheme="minorHAnsi"/>
              </w:rPr>
            </w:pPr>
            <w:r>
              <w:rPr>
                <w:rFonts w:cstheme="minorHAnsi"/>
              </w:rPr>
              <w:t>4</w:t>
            </w:r>
          </w:p>
        </w:tc>
      </w:tr>
      <w:tr w:rsidR="002C6B67" w14:paraId="46AA2AD4" w14:textId="77777777" w:rsidTr="00CF3643">
        <w:tc>
          <w:tcPr>
            <w:tcW w:w="2972" w:type="dxa"/>
          </w:tcPr>
          <w:p w14:paraId="711052B0" w14:textId="6C345330" w:rsidR="002C6B67" w:rsidRPr="00707F4C" w:rsidRDefault="002C6B67" w:rsidP="00CF3643">
            <w:pPr>
              <w:rPr>
                <w:rFonts w:cstheme="minorHAnsi"/>
              </w:rPr>
            </w:pPr>
            <w:proofErr w:type="spellStart"/>
            <w:r w:rsidRPr="00707F4C">
              <w:rPr>
                <w:rFonts w:cstheme="minorHAnsi"/>
              </w:rPr>
              <w:t>Hrycyk</w:t>
            </w:r>
            <w:proofErr w:type="spellEnd"/>
            <w:r w:rsidRPr="00707F4C">
              <w:rPr>
                <w:rFonts w:cstheme="minorHAnsi"/>
              </w:rPr>
              <w:t xml:space="preserve"> et al</w:t>
            </w:r>
            <w:r>
              <w:rPr>
                <w:rFonts w:cstheme="minorHAnsi"/>
              </w:rPr>
              <w:t xml:space="preserve">, </w:t>
            </w:r>
            <w:r w:rsidRPr="00707F4C">
              <w:rPr>
                <w:rFonts w:cstheme="minorHAnsi"/>
              </w:rPr>
              <w:t>2018</w:t>
            </w:r>
            <w:r>
              <w:rPr>
                <w:rFonts w:cstheme="minorHAnsi"/>
              </w:rPr>
              <w:fldChar w:fldCharType="begin"/>
            </w:r>
            <w:r w:rsidR="00731981">
              <w:rPr>
                <w:rFonts w:cstheme="minorHAnsi"/>
              </w:rPr>
              <w:instrText xml:space="preserve"> ADDIN ZOTERO_ITEM CSL_CITATION {"citationID":"Yfm6Yz1P","properties":{"formattedCitation":"[54]","plainCitation":"[54]","noteIndex":0},"citationItems":[{"id":55,"uris":["http://zotero.org/users/2960325/items/RDDAMWSZ"],"uri":["http://zotero.org/users/2960325/items/RDDAMWSZ"],"itemData":{"id":55,"type":"article-journal","abstract":"In addition to anaphylactic reactions induced by contrast media (CM), extravasation is an adverse reaction that occurs immediately, requires special treatment, and attention. Since radiologists are often not familiar with either prophylactic or treatment modalities, the goal of this paper is to summarize the major facts and recommendations with respect to CM extravasation under practical clinical aspects.","container-title":"Acta Radiologica (Stockholm, Sweden: 1987)","DOI":"10.1177/0284185118782000","ISSN":"1600-0455","issue":"4","journalAbbreviation":"Acta Radiol","language":"eng","note":"PMID: 29896979","page":"496-500","source":"PubMed","title":"What you should know about prophylaxis and treatment of radiographic and magnetic resonance contrast medium extravasation","volume":"60","author":[{"family":"Hrycyk","given":"Joris"},{"family":"Heverhagen","given":"Johannes T."},{"family":"Boehm","given":"Ingrid"}],"issued":{"date-parts":[["2019",4]]}}}],"schema":"https://github.com/citation-style-language/schema/raw/master/csl-citation.json"} </w:instrText>
            </w:r>
            <w:r>
              <w:rPr>
                <w:rFonts w:cstheme="minorHAnsi"/>
              </w:rPr>
              <w:fldChar w:fldCharType="separate"/>
            </w:r>
            <w:r w:rsidR="00731981">
              <w:rPr>
                <w:rFonts w:cstheme="minorHAnsi"/>
                <w:noProof/>
              </w:rPr>
              <w:t>[54]</w:t>
            </w:r>
            <w:r>
              <w:rPr>
                <w:rFonts w:cstheme="minorHAnsi"/>
              </w:rPr>
              <w:fldChar w:fldCharType="end"/>
            </w:r>
          </w:p>
        </w:tc>
        <w:tc>
          <w:tcPr>
            <w:tcW w:w="1701" w:type="dxa"/>
          </w:tcPr>
          <w:p w14:paraId="1A412B31" w14:textId="77777777" w:rsidR="002C6B67" w:rsidRPr="009F3803" w:rsidRDefault="002C6B67" w:rsidP="00CF3643">
            <w:pPr>
              <w:rPr>
                <w:rFonts w:cstheme="minorHAnsi"/>
              </w:rPr>
            </w:pPr>
            <w:r>
              <w:rPr>
                <w:rFonts w:cstheme="minorHAnsi"/>
              </w:rPr>
              <w:t>Review article</w:t>
            </w:r>
          </w:p>
        </w:tc>
        <w:tc>
          <w:tcPr>
            <w:tcW w:w="1701" w:type="dxa"/>
          </w:tcPr>
          <w:p w14:paraId="5122B703" w14:textId="77777777" w:rsidR="002C6B67" w:rsidRPr="009F3803" w:rsidRDefault="002C6B67" w:rsidP="00CF3643">
            <w:pPr>
              <w:rPr>
                <w:rFonts w:cstheme="minorHAnsi"/>
              </w:rPr>
            </w:pPr>
            <w:r>
              <w:rPr>
                <w:rFonts w:cstheme="minorHAnsi"/>
              </w:rPr>
              <w:t>Adults</w:t>
            </w:r>
          </w:p>
        </w:tc>
        <w:tc>
          <w:tcPr>
            <w:tcW w:w="1985" w:type="dxa"/>
          </w:tcPr>
          <w:p w14:paraId="3BD3E17B" w14:textId="77777777" w:rsidR="002C6B67" w:rsidRPr="009F3803" w:rsidRDefault="002C6B67" w:rsidP="00CF3643">
            <w:pPr>
              <w:rPr>
                <w:rFonts w:cstheme="minorHAnsi"/>
              </w:rPr>
            </w:pPr>
            <w:r>
              <w:rPr>
                <w:rFonts w:cstheme="minorHAnsi"/>
              </w:rPr>
              <w:t>Not applicable</w:t>
            </w:r>
          </w:p>
        </w:tc>
        <w:tc>
          <w:tcPr>
            <w:tcW w:w="3969" w:type="dxa"/>
          </w:tcPr>
          <w:p w14:paraId="4A7DFB08" w14:textId="77777777" w:rsidR="002C6B67" w:rsidRPr="009F3803" w:rsidRDefault="002C6B67" w:rsidP="00CF3643">
            <w:pPr>
              <w:rPr>
                <w:rFonts w:cstheme="minorHAnsi"/>
              </w:rPr>
            </w:pPr>
            <w:r>
              <w:rPr>
                <w:rFonts w:cstheme="minorHAnsi"/>
              </w:rPr>
              <w:t xml:space="preserve">Frequency, risk factors, </w:t>
            </w:r>
            <w:proofErr w:type="gramStart"/>
            <w:r>
              <w:rPr>
                <w:rFonts w:cstheme="minorHAnsi"/>
              </w:rPr>
              <w:t>symptoms</w:t>
            </w:r>
            <w:proofErr w:type="gramEnd"/>
            <w:r>
              <w:rPr>
                <w:rFonts w:cstheme="minorHAnsi"/>
              </w:rPr>
              <w:t xml:space="preserve"> and treatments of CMEX.</w:t>
            </w:r>
          </w:p>
        </w:tc>
        <w:tc>
          <w:tcPr>
            <w:tcW w:w="992" w:type="dxa"/>
          </w:tcPr>
          <w:p w14:paraId="5E144975" w14:textId="77777777" w:rsidR="002C6B67" w:rsidRPr="009F3803" w:rsidRDefault="002C6B67" w:rsidP="00CF3643">
            <w:pPr>
              <w:rPr>
                <w:rFonts w:cstheme="minorHAnsi"/>
              </w:rPr>
            </w:pPr>
            <w:r>
              <w:rPr>
                <w:rFonts w:cstheme="minorHAnsi"/>
              </w:rPr>
              <w:t>Poor</w:t>
            </w:r>
          </w:p>
        </w:tc>
        <w:tc>
          <w:tcPr>
            <w:tcW w:w="1134" w:type="dxa"/>
          </w:tcPr>
          <w:p w14:paraId="4B52E864" w14:textId="77777777" w:rsidR="002C6B67" w:rsidRPr="009F3803" w:rsidRDefault="002C6B67" w:rsidP="00CF3643">
            <w:pPr>
              <w:rPr>
                <w:rFonts w:cstheme="minorHAnsi"/>
              </w:rPr>
            </w:pPr>
            <w:r>
              <w:rPr>
                <w:rFonts w:cstheme="minorHAnsi"/>
              </w:rPr>
              <w:t>4</w:t>
            </w:r>
          </w:p>
        </w:tc>
      </w:tr>
      <w:tr w:rsidR="002C6B67" w14:paraId="2FC8791E" w14:textId="77777777" w:rsidTr="00CF3643">
        <w:tc>
          <w:tcPr>
            <w:tcW w:w="2972" w:type="dxa"/>
          </w:tcPr>
          <w:p w14:paraId="0939F371" w14:textId="53BA412F" w:rsidR="002C6B67" w:rsidRPr="00707F4C" w:rsidRDefault="002C6B67" w:rsidP="00CF3643">
            <w:pPr>
              <w:rPr>
                <w:rFonts w:cstheme="minorHAnsi"/>
              </w:rPr>
            </w:pPr>
            <w:r>
              <w:rPr>
                <w:rFonts w:cstheme="minorHAnsi"/>
              </w:rPr>
              <w:t>Ko et al, 2018</w:t>
            </w:r>
            <w:r>
              <w:rPr>
                <w:rFonts w:cstheme="minorHAnsi"/>
              </w:rPr>
              <w:fldChar w:fldCharType="begin"/>
            </w:r>
            <w:r w:rsidR="00731981">
              <w:rPr>
                <w:rFonts w:cstheme="minorHAnsi"/>
              </w:rPr>
              <w:instrText xml:space="preserve"> ADDIN ZOTERO_ITEM CSL_CITATION {"citationID":"J5PLRKaf","properties":{"formattedCitation":"[55]","plainCitation":"[55]","noteIndex":0},"citationItems":[{"id":36,"uris":["http://zotero.org/users/2960325/items/SUK4ECF6"],"uri":["http://zotero.org/users/2960325/items/SUK4ECF6"],"itemData":{"id":36,"type":"article-journal","abstract":"OBJECTIVES: Our aim was to retrospectively investigate the frequency and outcome of large-volume iodinated contrast medium (CM) extravasation in our institution and to compare our management protocol to current practice.\nMETHODS: Institutional review board approval was obtained, and informed consent was waived because the study was retrospective. From January 2008 to September 2016, radiological examinations with intravenous non-ionic iodinated CM administration were performed in 67,129 patients. Contrast medium extravasation events on CT scans and intravenous pyelograms but not on angiograms were included. All data were collected prospectively and stratified according to age, injection method (manual vs auto-injection), prevention of extravasation by various means (including intercom alarm), management of extravasation (routine application of silver sulfadiazine ointment, clobetasol propionate cream, and damp gauze at room temperature), etc. RESULTS: The incidence of large-volume CM extravasation was very low (0.04% [27/67,129] overall; 0.03% related to manual injection [age range, 59-92 years; mean, 75.4 years], and 0.045% related to auto-injection [age range, 36-86 years; mean, 65.8 years]). The CM extravasation volume in majority of patients was 20-40 ml in 5 of 9 patients (55.6%) in the manual injection group and 14 of 18 (77.8%) in the auto-injection group. Swelling and pain were the most common symptoms. No patient developed severe signs or needed surgical intervention.\nCONCLUSIONS: Results show a very low incidence of large-volume CM extravasation without severe complications or sequelae. The casual effect between our protocols and good outcome cannot be scrutinised thoroughly because the study lacks a control group and is retrospective.\nKEY POINTS: • The incidence of large-volume contrast medium extravasation (≥20 ml) was 0.04%. • No patient needed surgical intervention, and most recovered within 7 days. • Each element of our management protocol contributed to good outcome.","container-title":"European Radiology","DOI":"10.1007/s00330-018-5514-z","ISSN":"1432-1084","issue":"12","journalAbbreviation":"Eur Radiol","language":"eng","note":"PMID: 29948071","page":"5376-5383","source":"PubMed","title":"Large-volume iodinated contrast medium extravasation: low frequency and good outcome after conservative management in a single-centre cohort of more than 67,000 patients","title-short":"Large-volume iodinated contrast medium extravasation","volume":"28","author":[{"family":"Ko","given":"Chih-Hsiang"},{"family":"Tay","given":"Shee Yen"},{"family":"Chang","given":"Hsiu-Chin"},{"family":"Chan","given":"Wing P."}],"issued":{"date-parts":[["2018",12]]}}}],"schema":"https://github.com/citation-style-language/schema/raw/master/csl-citation.json"} </w:instrText>
            </w:r>
            <w:r>
              <w:rPr>
                <w:rFonts w:cstheme="minorHAnsi"/>
              </w:rPr>
              <w:fldChar w:fldCharType="separate"/>
            </w:r>
            <w:r w:rsidR="00731981">
              <w:rPr>
                <w:rFonts w:cstheme="minorHAnsi"/>
                <w:noProof/>
              </w:rPr>
              <w:t>[55]</w:t>
            </w:r>
            <w:r>
              <w:rPr>
                <w:rFonts w:cstheme="minorHAnsi"/>
              </w:rPr>
              <w:fldChar w:fldCharType="end"/>
            </w:r>
          </w:p>
        </w:tc>
        <w:tc>
          <w:tcPr>
            <w:tcW w:w="1701" w:type="dxa"/>
          </w:tcPr>
          <w:p w14:paraId="0F3CE329" w14:textId="77777777" w:rsidR="002C6B67" w:rsidRPr="009F3803" w:rsidRDefault="002C6B67" w:rsidP="00CF3643">
            <w:pPr>
              <w:rPr>
                <w:rFonts w:cstheme="minorHAnsi"/>
              </w:rPr>
            </w:pPr>
            <w:r>
              <w:rPr>
                <w:rFonts w:cstheme="minorHAnsi"/>
              </w:rPr>
              <w:t>Prospective</w:t>
            </w:r>
          </w:p>
        </w:tc>
        <w:tc>
          <w:tcPr>
            <w:tcW w:w="1701" w:type="dxa"/>
          </w:tcPr>
          <w:p w14:paraId="2DE35CB5" w14:textId="77777777" w:rsidR="002C6B67" w:rsidRPr="009F3803" w:rsidRDefault="002C6B67" w:rsidP="00CF3643">
            <w:pPr>
              <w:rPr>
                <w:rFonts w:cstheme="minorHAnsi"/>
              </w:rPr>
            </w:pPr>
            <w:r>
              <w:rPr>
                <w:rFonts w:cstheme="minorHAnsi"/>
              </w:rPr>
              <w:t>Adults</w:t>
            </w:r>
          </w:p>
        </w:tc>
        <w:tc>
          <w:tcPr>
            <w:tcW w:w="1985" w:type="dxa"/>
          </w:tcPr>
          <w:p w14:paraId="06686A2B" w14:textId="77777777" w:rsidR="002C6B67" w:rsidRPr="009F3803" w:rsidRDefault="002C6B67" w:rsidP="00CF3643">
            <w:pPr>
              <w:rPr>
                <w:rFonts w:cstheme="minorHAnsi"/>
              </w:rPr>
            </w:pPr>
            <w:r>
              <w:rPr>
                <w:rFonts w:cstheme="minorHAnsi"/>
              </w:rPr>
              <w:t>27 / 67129 (0.04)</w:t>
            </w:r>
          </w:p>
        </w:tc>
        <w:tc>
          <w:tcPr>
            <w:tcW w:w="3969" w:type="dxa"/>
          </w:tcPr>
          <w:p w14:paraId="6EBDA200" w14:textId="77777777" w:rsidR="002C6B67" w:rsidRPr="009F3803" w:rsidRDefault="002C6B67" w:rsidP="00CF3643">
            <w:pPr>
              <w:rPr>
                <w:rFonts w:cstheme="minorHAnsi"/>
              </w:rPr>
            </w:pPr>
            <w:r>
              <w:rPr>
                <w:rFonts w:cstheme="minorHAnsi"/>
              </w:rPr>
              <w:t>Role of age, injection method, different preventative techniques and management of CMEX.</w:t>
            </w:r>
          </w:p>
        </w:tc>
        <w:tc>
          <w:tcPr>
            <w:tcW w:w="992" w:type="dxa"/>
          </w:tcPr>
          <w:p w14:paraId="7BFCC48B" w14:textId="77777777" w:rsidR="002C6B67" w:rsidRPr="009F3803" w:rsidRDefault="002C6B67" w:rsidP="00CF3643">
            <w:pPr>
              <w:rPr>
                <w:rFonts w:cstheme="minorHAnsi"/>
              </w:rPr>
            </w:pPr>
            <w:r>
              <w:rPr>
                <w:rFonts w:cstheme="minorHAnsi"/>
              </w:rPr>
              <w:t>Good</w:t>
            </w:r>
          </w:p>
        </w:tc>
        <w:tc>
          <w:tcPr>
            <w:tcW w:w="1134" w:type="dxa"/>
          </w:tcPr>
          <w:p w14:paraId="2B0D1417" w14:textId="77777777" w:rsidR="002C6B67" w:rsidRPr="009F3803" w:rsidRDefault="002C6B67" w:rsidP="00CF3643">
            <w:pPr>
              <w:rPr>
                <w:rFonts w:cstheme="minorHAnsi"/>
              </w:rPr>
            </w:pPr>
            <w:r>
              <w:rPr>
                <w:rFonts w:cstheme="minorHAnsi"/>
              </w:rPr>
              <w:t>2b</w:t>
            </w:r>
          </w:p>
        </w:tc>
      </w:tr>
      <w:tr w:rsidR="002C6B67" w14:paraId="14780A16" w14:textId="77777777" w:rsidTr="00CF3643">
        <w:tc>
          <w:tcPr>
            <w:tcW w:w="2972" w:type="dxa"/>
          </w:tcPr>
          <w:p w14:paraId="38DB47AB" w14:textId="233F8259" w:rsidR="002C6B67" w:rsidRDefault="002C6B67" w:rsidP="00CF3643">
            <w:pPr>
              <w:rPr>
                <w:rFonts w:cstheme="minorHAnsi"/>
              </w:rPr>
            </w:pPr>
            <w:r>
              <w:rPr>
                <w:rFonts w:cstheme="minorHAnsi"/>
              </w:rPr>
              <w:t>Mandlik et al, 2019</w:t>
            </w:r>
            <w:r>
              <w:rPr>
                <w:rFonts w:cstheme="minorHAnsi"/>
              </w:rPr>
              <w:fldChar w:fldCharType="begin"/>
            </w:r>
            <w:r w:rsidR="00731981">
              <w:rPr>
                <w:rFonts w:cstheme="minorHAnsi"/>
              </w:rPr>
              <w:instrText xml:space="preserve"> ADDIN ZOTERO_ITEM CSL_CITATION {"citationID":"zTnbYRMB","properties":{"formattedCitation":"[56]","plainCitation":"[56]","noteIndex":0},"citationItems":[{"id":54,"uris":["http://zotero.org/users/2960325/items/4CSJJ5J2"],"uri":["http://zotero.org/users/2960325/items/4CSJJ5J2"],"itemData":{"id":54,"type":"article-journal","abstract":"BACKGROUND: Contrast extravasation events in daily radiological routine may lead to serious complications, especially during CT examinations. The resulting symptoms may vary from local pain up to skin ulcers, necrosis or even acute compartment syndrome.There are no uniformly accepted radiological guidelines or recommendations regarding detection and treatment of extravasation events and immanent complications in a timely manner.\nMETHOD: Systematic literature research considering the last 35 years via PubMed using search terms \"contrast medium extravasation/paravasation\".\nRESULTS: In the literature, there are conservative management approaches of contrast media extravasation without major evidence base, such as unguent dressings, cooling or splinting. This therapy is mostly symptomatic. Additionally, various invasive techniques are described. We discuss these techniques in the context of contemporary literature, such as the hyaluronidase Injection into the site of extravasation, suction/aspiration technique including flushing of the affected tissue areas and the squeezing technique. However, most citations lack scientific evidence: many articles include anecdotal enumerations, case studies or cite publications from the era, when ionic high osmolar contrast media was state-of-the-art. Besides, many authors derive their extravasation management from studies, where agents other than contrast media were investigated.\nCONCLUSION: After detailed literature review, we suggest early (plastic) surgical consultation when non-ionic, low-osmolar contrast medium extravasation is about 150 cc or more. In case of extravasation less than 150 cc but in presence of additional symptoms such as impaired perfusion or altered sensibility, the (plastic) surgeon should also be consulted instantly. We do not recommend any invasive first line therapy when contrast media extravasation is less than 150 cc and the patient presents no additional symptoms, besides swelling and local pain. Nevertheless continuous monitoring and accurate conservative management such as active cooling and elevation, splinting of the affected extremity are mandatory as early detection of critical symptoms helps to initiate prompt surgical intervention and avoid sequelae.\nKEY POINTS: · Morbidity after contrast media extravasation is extremely rare.. · Predicting sequelae after contrast extravasation is difficult at first sight.. · Treatments such as hyaluronidase injection, suction/aspiration, squeeze technique have been described.. · Surgical consultation is recommended for extravasation &gt; 150 cc or when additional symptoms occur..\nCITATION FORMAT: · Mandlik V, Prantl L, Schreyer AG. Contrast Media Extravasation in CT and MRI - A Literature Review and Strategies for Therapy. Fortschr Röntgenstr 2019; 191: 25 - 32.","container-title":"RoFo: Fortschritte Auf Dem Gebiete Der Rontgenstrahlen Und Der Nuklearmedizin","DOI":"10.1055/a-0628-7095","ISSN":"1438-9010","issue":"1","journalAbbreviation":"Rofo","language":"eng, ger","note":"PMID: 29913522","page":"25-32","source":"PubMed","title":"Contrast Media Extravasation in CT and MRI - A Literature Review and Strategies for Therapy","volume":"191","author":[{"family":"Mandlik","given":"Veronika"},{"family":"Prantl","given":"Lukas"},{"family":"Schreyer","given":"Andreas G."}],"issued":{"date-parts":[["2019",1]]}}}],"schema":"https://github.com/citation-style-language/schema/raw/master/csl-citation.json"} </w:instrText>
            </w:r>
            <w:r>
              <w:rPr>
                <w:rFonts w:cstheme="minorHAnsi"/>
              </w:rPr>
              <w:fldChar w:fldCharType="separate"/>
            </w:r>
            <w:r w:rsidR="00731981">
              <w:rPr>
                <w:rFonts w:cstheme="minorHAnsi"/>
                <w:noProof/>
              </w:rPr>
              <w:t>[56]</w:t>
            </w:r>
            <w:r>
              <w:rPr>
                <w:rFonts w:cstheme="minorHAnsi"/>
              </w:rPr>
              <w:fldChar w:fldCharType="end"/>
            </w:r>
          </w:p>
        </w:tc>
        <w:tc>
          <w:tcPr>
            <w:tcW w:w="1701" w:type="dxa"/>
          </w:tcPr>
          <w:p w14:paraId="4F5947CF" w14:textId="77777777" w:rsidR="002C6B67" w:rsidRDefault="002C6B67" w:rsidP="00CF3643">
            <w:pPr>
              <w:rPr>
                <w:rFonts w:cstheme="minorHAnsi"/>
              </w:rPr>
            </w:pPr>
            <w:r>
              <w:rPr>
                <w:rFonts w:cstheme="minorHAnsi"/>
              </w:rPr>
              <w:t>Review article</w:t>
            </w:r>
          </w:p>
        </w:tc>
        <w:tc>
          <w:tcPr>
            <w:tcW w:w="1701" w:type="dxa"/>
          </w:tcPr>
          <w:p w14:paraId="2F249E20" w14:textId="77777777" w:rsidR="002C6B67" w:rsidRDefault="002C6B67" w:rsidP="00CF3643">
            <w:pPr>
              <w:rPr>
                <w:rFonts w:cstheme="minorHAnsi"/>
              </w:rPr>
            </w:pPr>
            <w:r>
              <w:rPr>
                <w:rFonts w:cstheme="minorHAnsi"/>
              </w:rPr>
              <w:t>Adults</w:t>
            </w:r>
          </w:p>
        </w:tc>
        <w:tc>
          <w:tcPr>
            <w:tcW w:w="1985" w:type="dxa"/>
          </w:tcPr>
          <w:p w14:paraId="2AD307DE" w14:textId="77777777" w:rsidR="002C6B67" w:rsidRDefault="002C6B67" w:rsidP="00CF3643">
            <w:pPr>
              <w:rPr>
                <w:rFonts w:cstheme="minorHAnsi"/>
              </w:rPr>
            </w:pPr>
            <w:r>
              <w:rPr>
                <w:rFonts w:cstheme="minorHAnsi"/>
              </w:rPr>
              <w:t>Not applicable</w:t>
            </w:r>
          </w:p>
        </w:tc>
        <w:tc>
          <w:tcPr>
            <w:tcW w:w="3969" w:type="dxa"/>
          </w:tcPr>
          <w:p w14:paraId="7CE1AC1B" w14:textId="77777777" w:rsidR="002C6B67" w:rsidRDefault="002C6B67" w:rsidP="00CF3643">
            <w:pPr>
              <w:rPr>
                <w:rFonts w:cstheme="minorHAnsi"/>
              </w:rPr>
            </w:pPr>
            <w:r>
              <w:rPr>
                <w:rFonts w:cstheme="minorHAnsi"/>
              </w:rPr>
              <w:t xml:space="preserve">Incidence, risk factors, </w:t>
            </w:r>
            <w:proofErr w:type="gramStart"/>
            <w:r>
              <w:rPr>
                <w:rFonts w:cstheme="minorHAnsi"/>
              </w:rPr>
              <w:t>management</w:t>
            </w:r>
            <w:proofErr w:type="gramEnd"/>
            <w:r>
              <w:rPr>
                <w:rFonts w:cstheme="minorHAnsi"/>
              </w:rPr>
              <w:t xml:space="preserve"> and suggested protocol of CMEX.</w:t>
            </w:r>
          </w:p>
        </w:tc>
        <w:tc>
          <w:tcPr>
            <w:tcW w:w="992" w:type="dxa"/>
          </w:tcPr>
          <w:p w14:paraId="78948D8D" w14:textId="77777777" w:rsidR="002C6B67" w:rsidRDefault="002C6B67" w:rsidP="00CF3643">
            <w:pPr>
              <w:rPr>
                <w:rFonts w:cstheme="minorHAnsi"/>
              </w:rPr>
            </w:pPr>
            <w:r>
              <w:rPr>
                <w:rFonts w:cstheme="minorHAnsi"/>
              </w:rPr>
              <w:t>Poor</w:t>
            </w:r>
          </w:p>
        </w:tc>
        <w:tc>
          <w:tcPr>
            <w:tcW w:w="1134" w:type="dxa"/>
          </w:tcPr>
          <w:p w14:paraId="76076343" w14:textId="77777777" w:rsidR="002C6B67" w:rsidRDefault="002C6B67" w:rsidP="00CF3643">
            <w:pPr>
              <w:rPr>
                <w:rFonts w:cstheme="minorHAnsi"/>
              </w:rPr>
            </w:pPr>
            <w:r>
              <w:rPr>
                <w:rFonts w:cstheme="minorHAnsi"/>
              </w:rPr>
              <w:t>3a</w:t>
            </w:r>
          </w:p>
        </w:tc>
      </w:tr>
      <w:tr w:rsidR="002C6B67" w14:paraId="1832DE17" w14:textId="77777777" w:rsidTr="00CF3643">
        <w:tc>
          <w:tcPr>
            <w:tcW w:w="2972" w:type="dxa"/>
          </w:tcPr>
          <w:p w14:paraId="5C27B480" w14:textId="2A286851" w:rsidR="002C6B67" w:rsidRPr="00707F4C" w:rsidRDefault="002C6B67" w:rsidP="00CF3643">
            <w:pPr>
              <w:rPr>
                <w:rFonts w:cstheme="minorHAnsi"/>
              </w:rPr>
            </w:pPr>
            <w:r>
              <w:rPr>
                <w:rFonts w:cstheme="minorHAnsi"/>
              </w:rPr>
              <w:t>Barrera et al, 2019</w:t>
            </w:r>
            <w:r>
              <w:rPr>
                <w:rFonts w:cstheme="minorHAnsi"/>
              </w:rPr>
              <w:fldChar w:fldCharType="begin"/>
            </w:r>
            <w:r w:rsidR="00731981">
              <w:rPr>
                <w:rFonts w:cstheme="minorHAnsi"/>
              </w:rPr>
              <w:instrText xml:space="preserve"> ADDIN ZOTERO_ITEM CSL_CITATION {"citationID":"paaDqgaG","properties":{"formattedCitation":"[57]","plainCitation":"[57]","noteIndex":0},"citationItems":[{"id":199,"uris":["http://zotero.org/users/2960325/items/ZZ5GPV54"],"uri":["http://zotero.org/users/2960325/items/ZZ5GPV54"],"itemData":{"id":199,"type":"article-journal","abstract":"PURPOSE: To evaluate the safety of power injectors for contrast-enhanced computed tomography (CT) in children, namely: the prevalence and injury severity of contrast extravasations related to power injectors and the factors associated with these events.\nMETHODS: The need to obtain informed consent was waived for this HIPAA-compliant and IRB approved retrospective study. Around 2429 contrast-enhanced CT performed with a power injector were identified during a 3-year period. Data collected included patient demographic, power injector, and contrast agent information. The patients' symptoms, severity of injury and treatment with contrast extravasation were recorded. Around 1496 cases (823 boys, 673 girls) were included in the analysis. Independent-sample t test and Chi-square were used. For a sub-analysis using the extravasation cases, nonparametric tests were used.\nRESULTS: The mean age was 9.5 ± 6.1 years. The most common access site, catheter site, and contrast agent used were the antecubital fossa, 22 gauge and Iohexol. The mean peak pressure was 68.9 ± 62.3 psi and the flow rate was 1.7 ± 0.9 mL/s. Eighteen cases of contrast extravasation were identified with a mean age of 11.2 ± 6.2 years. There were seven mild, six moderate, and five severe. Cases with extravasation had significantly higher peak pressure (p &lt; 0.001) and flow rate (p &lt; 0.001) compared to those without extravasation. Patients who received Iohexol-350 had significantly more contrast extravasation compared to those who used Iohexol-300 (p = 0.03). However, after post-hoc correction, only peak pressure (p &lt; 0.01) and flow rate (p = 0.01) remained significant.\nCONCLUSION: The use of power injectors in children undergoing contrast-enhanced CT is associated with a low rate of extravasation and of long-term injury.","container-title":"Academic Radiology","DOI":"10.1016/j.acra.2019.04.008","ISSN":"1878-4046","journalAbbreviation":"Acad Radiol","language":"eng","note":"PMID: 31138458","source":"PubMed","title":"Contrast Extravasation using Power Injectors for Contrast-Enhanced Computed Tomography in Children: Frequency and Injury Severity","title-short":"Contrast Extravasation using Power Injectors for Contrast-Enhanced Computed Tomography in Children","author":[{"family":"Barrera","given":"Christian A."},{"family":"White","given":"Ammie M."},{"family":"Shepherd","given":"Ashley M."},{"family":"Mecca","given":"Patricia"},{"family":"Biko","given":"David M."},{"family":"Saul","given":"David"},{"family":"Otero","given":"Hansel J."}],"issued":{"date-parts":[["2019",5,25]]}}}],"schema":"https://github.com/citation-style-language/schema/raw/master/csl-citation.json"} </w:instrText>
            </w:r>
            <w:r>
              <w:rPr>
                <w:rFonts w:cstheme="minorHAnsi"/>
              </w:rPr>
              <w:fldChar w:fldCharType="separate"/>
            </w:r>
            <w:r w:rsidR="00731981">
              <w:rPr>
                <w:rFonts w:cstheme="minorHAnsi"/>
                <w:noProof/>
              </w:rPr>
              <w:t>[57]</w:t>
            </w:r>
            <w:r>
              <w:rPr>
                <w:rFonts w:cstheme="minorHAnsi"/>
              </w:rPr>
              <w:fldChar w:fldCharType="end"/>
            </w:r>
          </w:p>
        </w:tc>
        <w:tc>
          <w:tcPr>
            <w:tcW w:w="1701" w:type="dxa"/>
          </w:tcPr>
          <w:p w14:paraId="7A44696A" w14:textId="77777777" w:rsidR="002C6B67" w:rsidRPr="009F3803" w:rsidRDefault="002C6B67" w:rsidP="00CF3643">
            <w:pPr>
              <w:rPr>
                <w:rFonts w:cstheme="minorHAnsi"/>
              </w:rPr>
            </w:pPr>
            <w:r>
              <w:rPr>
                <w:rFonts w:cstheme="minorHAnsi"/>
              </w:rPr>
              <w:t>Retrospective</w:t>
            </w:r>
          </w:p>
        </w:tc>
        <w:tc>
          <w:tcPr>
            <w:tcW w:w="1701" w:type="dxa"/>
          </w:tcPr>
          <w:p w14:paraId="2D8CFC53" w14:textId="77777777" w:rsidR="002C6B67" w:rsidRPr="009F3803" w:rsidRDefault="002C6B67" w:rsidP="00CF3643">
            <w:pPr>
              <w:rPr>
                <w:rFonts w:cstheme="minorHAnsi"/>
              </w:rPr>
            </w:pPr>
            <w:r>
              <w:rPr>
                <w:rFonts w:cstheme="minorHAnsi"/>
              </w:rPr>
              <w:t>Children</w:t>
            </w:r>
          </w:p>
        </w:tc>
        <w:tc>
          <w:tcPr>
            <w:tcW w:w="1985" w:type="dxa"/>
          </w:tcPr>
          <w:p w14:paraId="14B8B686" w14:textId="77777777" w:rsidR="002C6B67" w:rsidRPr="009F3803" w:rsidRDefault="002C6B67" w:rsidP="00CF3643">
            <w:pPr>
              <w:rPr>
                <w:rFonts w:cstheme="minorHAnsi"/>
              </w:rPr>
            </w:pPr>
            <w:r>
              <w:rPr>
                <w:rFonts w:cstheme="minorHAnsi"/>
              </w:rPr>
              <w:t>18 / 2429 (0.7)</w:t>
            </w:r>
          </w:p>
        </w:tc>
        <w:tc>
          <w:tcPr>
            <w:tcW w:w="3969" w:type="dxa"/>
          </w:tcPr>
          <w:p w14:paraId="0D3EF944" w14:textId="77777777" w:rsidR="002C6B67" w:rsidRPr="009F3803" w:rsidRDefault="002C6B67" w:rsidP="00CF3643">
            <w:pPr>
              <w:rPr>
                <w:rFonts w:cstheme="minorHAnsi"/>
              </w:rPr>
            </w:pPr>
            <w:r>
              <w:rPr>
                <w:rFonts w:cstheme="minorHAnsi"/>
              </w:rPr>
              <w:t>Age, height, weight, gender, manual vs. power-injector, type of CM, injection site, flow rate, volume of CM used, peak pressure, catheter size impact on frequency, severity and need for surgical consult in relation to CMEX.</w:t>
            </w:r>
          </w:p>
        </w:tc>
        <w:tc>
          <w:tcPr>
            <w:tcW w:w="992" w:type="dxa"/>
          </w:tcPr>
          <w:p w14:paraId="43ED5D3A" w14:textId="77777777" w:rsidR="002C6B67" w:rsidRPr="009F3803" w:rsidRDefault="002C6B67" w:rsidP="00CF3643">
            <w:pPr>
              <w:rPr>
                <w:rFonts w:cstheme="minorHAnsi"/>
              </w:rPr>
            </w:pPr>
            <w:r>
              <w:rPr>
                <w:rFonts w:cstheme="minorHAnsi"/>
              </w:rPr>
              <w:t>Good</w:t>
            </w:r>
          </w:p>
        </w:tc>
        <w:tc>
          <w:tcPr>
            <w:tcW w:w="1134" w:type="dxa"/>
          </w:tcPr>
          <w:p w14:paraId="041E4467" w14:textId="77777777" w:rsidR="002C6B67" w:rsidRPr="009F3803" w:rsidRDefault="002C6B67" w:rsidP="00CF3643">
            <w:pPr>
              <w:rPr>
                <w:rFonts w:cstheme="minorHAnsi"/>
              </w:rPr>
            </w:pPr>
            <w:r>
              <w:rPr>
                <w:rFonts w:cstheme="minorHAnsi"/>
              </w:rPr>
              <w:t>3b</w:t>
            </w:r>
          </w:p>
        </w:tc>
      </w:tr>
      <w:tr w:rsidR="002C6B67" w14:paraId="672E91F1" w14:textId="77777777" w:rsidTr="00CF3643">
        <w:tc>
          <w:tcPr>
            <w:tcW w:w="2972" w:type="dxa"/>
          </w:tcPr>
          <w:p w14:paraId="727ED472" w14:textId="30D56525" w:rsidR="002C6B67" w:rsidRDefault="002C6B67" w:rsidP="00CF3643">
            <w:pPr>
              <w:rPr>
                <w:rFonts w:cstheme="minorHAnsi"/>
              </w:rPr>
            </w:pPr>
            <w:r>
              <w:rPr>
                <w:rFonts w:cstheme="minorHAnsi"/>
              </w:rPr>
              <w:t>Raveendran et al, 2019</w:t>
            </w:r>
            <w:r>
              <w:rPr>
                <w:rFonts w:cstheme="minorHAnsi"/>
              </w:rPr>
              <w:fldChar w:fldCharType="begin"/>
            </w:r>
            <w:r w:rsidR="00731981">
              <w:rPr>
                <w:rFonts w:cstheme="minorHAnsi"/>
              </w:rPr>
              <w:instrText xml:space="preserve"> ADDIN ZOTERO_ITEM CSL_CITATION {"citationID":"PvNUvk56","properties":{"formattedCitation":"[58]","plainCitation":"[58]","noteIndex":0},"citationItems":[{"id":197,"uris":["http://zotero.org/users/2960325/items/XA4ALI9S"],"uri":["http://zotero.org/users/2960325/items/XA4ALI9S"],"itemData":{"id":197,"type":"article-journal","abstract":"Extravasation of intravenous contrast agents in the hand and forearm during computed tomography scanning is rising with the use of automated pressure injectors. The main concern in such a situation is progression to acute compartment syndrome and necrosis of the overlying skin. Management has been mainly nonsurgical comprising upper limb elevation and orthosis, with surgical techniques such as liposuction and saline evacuation mainly used for large volume (&gt;50 mL) extravasations. We have developed a technique of multiple stab incisions and drainage for the treatment of contrast extravasations.","container-title":"The Journal of Hand Surgery","DOI":"10.1016/j.jhsa.2018.08.009","ISSN":"1531-6564","issue":"1","journalAbbreviation":"J Hand Surg Am","language":"eng","note":"PMID: 30292713","page":"71.e1-71.e5","source":"PubMed","title":"Multiple Stab Incisions and Evacuation Technique for Contrast Extravasation of the Hand and Forearm","volume":"44","author":[{"family":"Raveendran","given":"Sreekanth"},{"family":"Rajendra Benny","given":"K."},{"family":"Monica","given":"S."},{"family":"Pallapati","given":"Samuel R."},{"family":"Keshava","given":"ShyamKumar Nidugala"},{"family":"Thomas","given":"Binu Prathap"}],"issued":{"date-parts":[["2019",1]]}}}],"schema":"https://github.com/citation-style-language/schema/raw/master/csl-citation.json"} </w:instrText>
            </w:r>
            <w:r>
              <w:rPr>
                <w:rFonts w:cstheme="minorHAnsi"/>
              </w:rPr>
              <w:fldChar w:fldCharType="separate"/>
            </w:r>
            <w:r w:rsidR="00731981">
              <w:rPr>
                <w:rFonts w:cstheme="minorHAnsi"/>
                <w:noProof/>
              </w:rPr>
              <w:t>[58]</w:t>
            </w:r>
            <w:r>
              <w:rPr>
                <w:rFonts w:cstheme="minorHAnsi"/>
              </w:rPr>
              <w:fldChar w:fldCharType="end"/>
            </w:r>
          </w:p>
        </w:tc>
        <w:tc>
          <w:tcPr>
            <w:tcW w:w="1701" w:type="dxa"/>
          </w:tcPr>
          <w:p w14:paraId="06A90D2F" w14:textId="77777777" w:rsidR="002C6B67" w:rsidRDefault="002C6B67" w:rsidP="00CF3643">
            <w:pPr>
              <w:rPr>
                <w:rFonts w:cstheme="minorHAnsi"/>
              </w:rPr>
            </w:pPr>
            <w:r>
              <w:rPr>
                <w:rFonts w:cstheme="minorHAnsi"/>
              </w:rPr>
              <w:t>Case-series</w:t>
            </w:r>
          </w:p>
        </w:tc>
        <w:tc>
          <w:tcPr>
            <w:tcW w:w="1701" w:type="dxa"/>
          </w:tcPr>
          <w:p w14:paraId="1E6B699E" w14:textId="77777777" w:rsidR="002C6B67" w:rsidRDefault="002C6B67" w:rsidP="00CF3643">
            <w:pPr>
              <w:rPr>
                <w:rFonts w:cstheme="minorHAnsi"/>
              </w:rPr>
            </w:pPr>
            <w:r>
              <w:rPr>
                <w:rFonts w:cstheme="minorHAnsi"/>
              </w:rPr>
              <w:t>Adults</w:t>
            </w:r>
          </w:p>
        </w:tc>
        <w:tc>
          <w:tcPr>
            <w:tcW w:w="1985" w:type="dxa"/>
          </w:tcPr>
          <w:p w14:paraId="19BF85F4" w14:textId="77777777" w:rsidR="002C6B67" w:rsidRDefault="002C6B67" w:rsidP="00CF3643">
            <w:pPr>
              <w:rPr>
                <w:rFonts w:cstheme="minorHAnsi"/>
              </w:rPr>
            </w:pPr>
            <w:r>
              <w:rPr>
                <w:rFonts w:cstheme="minorHAnsi"/>
              </w:rPr>
              <w:t>Not applicable</w:t>
            </w:r>
          </w:p>
        </w:tc>
        <w:tc>
          <w:tcPr>
            <w:tcW w:w="3969" w:type="dxa"/>
          </w:tcPr>
          <w:p w14:paraId="638293EA" w14:textId="77777777" w:rsidR="002C6B67" w:rsidRDefault="002C6B67" w:rsidP="00CF3643">
            <w:pPr>
              <w:rPr>
                <w:rFonts w:cstheme="minorHAnsi"/>
              </w:rPr>
            </w:pPr>
            <w:r>
              <w:rPr>
                <w:rFonts w:cstheme="minorHAnsi"/>
              </w:rPr>
              <w:t xml:space="preserve">Use of </w:t>
            </w:r>
            <w:r>
              <w:t>m</w:t>
            </w:r>
            <w:r w:rsidRPr="000E434A">
              <w:t xml:space="preserve">ultiple </w:t>
            </w:r>
            <w:r>
              <w:t>s</w:t>
            </w:r>
            <w:r w:rsidRPr="000E434A">
              <w:t xml:space="preserve">tab </w:t>
            </w:r>
            <w:r>
              <w:t>i</w:t>
            </w:r>
            <w:r w:rsidRPr="000E434A">
              <w:t xml:space="preserve">ncisions and </w:t>
            </w:r>
            <w:r>
              <w:t>e</w:t>
            </w:r>
            <w:r w:rsidRPr="000E434A">
              <w:t xml:space="preserve">vacuation </w:t>
            </w:r>
            <w:r>
              <w:t>t</w:t>
            </w:r>
            <w:r w:rsidRPr="000E434A">
              <w:t>echnique</w:t>
            </w:r>
            <w:r>
              <w:t xml:space="preserve"> in CMEX.</w:t>
            </w:r>
          </w:p>
        </w:tc>
        <w:tc>
          <w:tcPr>
            <w:tcW w:w="992" w:type="dxa"/>
          </w:tcPr>
          <w:p w14:paraId="237173A4" w14:textId="77777777" w:rsidR="002C6B67" w:rsidRDefault="002C6B67" w:rsidP="00CF3643">
            <w:pPr>
              <w:rPr>
                <w:rFonts w:cstheme="minorHAnsi"/>
              </w:rPr>
            </w:pPr>
            <w:r>
              <w:rPr>
                <w:rFonts w:cstheme="minorHAnsi"/>
              </w:rPr>
              <w:t>Fair</w:t>
            </w:r>
          </w:p>
        </w:tc>
        <w:tc>
          <w:tcPr>
            <w:tcW w:w="1134" w:type="dxa"/>
          </w:tcPr>
          <w:p w14:paraId="526E292D" w14:textId="77777777" w:rsidR="002C6B67" w:rsidRDefault="002C6B67" w:rsidP="00CF3643">
            <w:pPr>
              <w:rPr>
                <w:rFonts w:cstheme="minorHAnsi"/>
              </w:rPr>
            </w:pPr>
            <w:r>
              <w:rPr>
                <w:rFonts w:cstheme="minorHAnsi"/>
              </w:rPr>
              <w:t>4</w:t>
            </w:r>
          </w:p>
        </w:tc>
      </w:tr>
      <w:tr w:rsidR="002C6B67" w14:paraId="343D5D11" w14:textId="77777777" w:rsidTr="00CF3643">
        <w:tc>
          <w:tcPr>
            <w:tcW w:w="2972" w:type="dxa"/>
          </w:tcPr>
          <w:p w14:paraId="00A1A84A" w14:textId="0BC11E14" w:rsidR="002C6B67" w:rsidRDefault="002C6B67" w:rsidP="00CF3643">
            <w:pPr>
              <w:rPr>
                <w:rFonts w:cstheme="minorHAnsi"/>
              </w:rPr>
            </w:pPr>
            <w:proofErr w:type="spellStart"/>
            <w:r>
              <w:rPr>
                <w:rFonts w:cstheme="minorHAnsi"/>
              </w:rPr>
              <w:lastRenderedPageBreak/>
              <w:t>Favot</w:t>
            </w:r>
            <w:proofErr w:type="spellEnd"/>
            <w:r>
              <w:rPr>
                <w:rFonts w:cstheme="minorHAnsi"/>
              </w:rPr>
              <w:t xml:space="preserve"> et al, 2019</w:t>
            </w:r>
            <w:r>
              <w:rPr>
                <w:rFonts w:cstheme="minorHAnsi"/>
              </w:rPr>
              <w:fldChar w:fldCharType="begin"/>
            </w:r>
            <w:r w:rsidR="00731981">
              <w:rPr>
                <w:rFonts w:cstheme="minorHAnsi"/>
              </w:rPr>
              <w:instrText xml:space="preserve"> ADDIN ZOTERO_ITEM CSL_CITATION {"citationID":"BY7vpejC","properties":{"formattedCitation":"[59]","plainCitation":"[59]","noteIndex":0},"citationItems":[{"id":220,"uris":["http://zotero.org/users/2960325/items/PPI8VUBB"],"uri":["http://zotero.org/users/2960325/items/PPI8VUBB"],"itemData":{"id":220,"type":"article-journal","abstract":"INTRODUCTION: Vascular access procedures are among the most commonly performed procedures in the emergency department. The objective of the current study was to compare the contrast extravasation rate for ultrasound-guided peripheral intravenous (USGPIV) catheter placement by emergency nurses with peripheral intravenous catheters placed by standard landmark techniques.\nMETHODS: A retrospective chart review of all ED patients at our urban tertiary-care institution who underwent contrasted computed tomography examination and suffered contrast extravasation events was performed. A logbook of all ED patients who underwent USGPIV placement and an institution-wide electronic patient safety incident-reporting system was reviewed for all contrast extravasation events between May 2014, and February 2017. Data were analyzed using descriptive statistics, Student t-tests for continuous data, and χ2 or Fisher's exact test for categorical data.\nRESULTS: One thousand five hundred USGPIV catheters were placed by 27 emergency nurses. Contrast material was administered 29,508 times, and, of these, 291 were administered via USGPIV placement. There were 74 peripheral IV lines with documented contrast extravasations (0.25%) as reported in the safety-event database; 12 (4.1%) were from the USGPIV population, and 62 (0.21%) occurred in the standard landmark technique population. Relative risk of contrast extravasation events with USGPIV placement was 19.4 (95% confidence interval [CI], 10.6-35.6), and the absolute risk difference was 3.9% (95% CI 1.6%-6.2%).\nDISCUSSION: USGPIV placement by trained emergency nurses has higher rates of contrast extravasation than with standard landmark technique placement.","container-title":"Journal of Emergency Nursing","DOI":"10.1016/j.jen.2019.05.016","ISSN":"1527-2966","issue":"5","journalAbbreviation":"J Emerg Nurs","language":"eng","note":"PMID: 31445627","page":"512-516","source":"PubMed","title":"Contrast Extravasation as a Complication of Emergency Nurse-Performed Ultrasound-Guided Peripheral Intravenous Catheter Placement","volume":"45","author":[{"family":"Favot","given":"Mark"},{"family":"Gallien","given":"John"},{"family":"Malik","given":"Adrienne"},{"family":"Kasten","given":"Adam"},{"family":"Wells","given":"Robert"},{"family":"Ehrman","given":"Robert"}],"issued":{"date-parts":[["2019",9]]}}}],"schema":"https://github.com/citation-style-language/schema/raw/master/csl-citation.json"} </w:instrText>
            </w:r>
            <w:r>
              <w:rPr>
                <w:rFonts w:cstheme="minorHAnsi"/>
              </w:rPr>
              <w:fldChar w:fldCharType="separate"/>
            </w:r>
            <w:r w:rsidR="00731981">
              <w:rPr>
                <w:rFonts w:cstheme="minorHAnsi"/>
                <w:noProof/>
              </w:rPr>
              <w:t>[59]</w:t>
            </w:r>
            <w:r>
              <w:rPr>
                <w:rFonts w:cstheme="minorHAnsi"/>
              </w:rPr>
              <w:fldChar w:fldCharType="end"/>
            </w:r>
          </w:p>
        </w:tc>
        <w:tc>
          <w:tcPr>
            <w:tcW w:w="1701" w:type="dxa"/>
          </w:tcPr>
          <w:p w14:paraId="54C1DB46" w14:textId="77777777" w:rsidR="002C6B67" w:rsidRDefault="002C6B67" w:rsidP="00CF3643">
            <w:pPr>
              <w:rPr>
                <w:rFonts w:cstheme="minorHAnsi"/>
              </w:rPr>
            </w:pPr>
            <w:r>
              <w:rPr>
                <w:rFonts w:cstheme="minorHAnsi"/>
              </w:rPr>
              <w:t>Retrospective</w:t>
            </w:r>
          </w:p>
        </w:tc>
        <w:tc>
          <w:tcPr>
            <w:tcW w:w="1701" w:type="dxa"/>
          </w:tcPr>
          <w:p w14:paraId="2C05F5B5" w14:textId="77777777" w:rsidR="002C6B67" w:rsidRDefault="002C6B67" w:rsidP="00CF3643">
            <w:pPr>
              <w:rPr>
                <w:rFonts w:cstheme="minorHAnsi"/>
              </w:rPr>
            </w:pPr>
            <w:r>
              <w:rPr>
                <w:rFonts w:cstheme="minorHAnsi"/>
              </w:rPr>
              <w:t>Adults</w:t>
            </w:r>
          </w:p>
        </w:tc>
        <w:tc>
          <w:tcPr>
            <w:tcW w:w="1985" w:type="dxa"/>
          </w:tcPr>
          <w:p w14:paraId="7BAFE78F" w14:textId="77777777" w:rsidR="002C6B67" w:rsidRDefault="002C6B67" w:rsidP="00CF3643">
            <w:pPr>
              <w:rPr>
                <w:rFonts w:cstheme="minorHAnsi"/>
              </w:rPr>
            </w:pPr>
            <w:r>
              <w:rPr>
                <w:rFonts w:cstheme="minorHAnsi"/>
              </w:rPr>
              <w:t>74 / 29508 (0.2)</w:t>
            </w:r>
          </w:p>
        </w:tc>
        <w:tc>
          <w:tcPr>
            <w:tcW w:w="3969" w:type="dxa"/>
          </w:tcPr>
          <w:p w14:paraId="26534BBE" w14:textId="77777777" w:rsidR="002C6B67" w:rsidRDefault="002C6B67" w:rsidP="00CF3643">
            <w:pPr>
              <w:rPr>
                <w:rFonts w:cstheme="minorHAnsi"/>
              </w:rPr>
            </w:pPr>
            <w:r>
              <w:rPr>
                <w:rFonts w:cstheme="minorHAnsi"/>
              </w:rPr>
              <w:t xml:space="preserve">CMEX rates for nurse-led placement of ultrasound guided IV catheters. Demographic factors are also studied association with CMEX. </w:t>
            </w:r>
          </w:p>
        </w:tc>
        <w:tc>
          <w:tcPr>
            <w:tcW w:w="992" w:type="dxa"/>
          </w:tcPr>
          <w:p w14:paraId="648D75FD" w14:textId="77777777" w:rsidR="002C6B67" w:rsidRDefault="002C6B67" w:rsidP="00CF3643">
            <w:pPr>
              <w:rPr>
                <w:rFonts w:cstheme="minorHAnsi"/>
              </w:rPr>
            </w:pPr>
            <w:r>
              <w:rPr>
                <w:rFonts w:cstheme="minorHAnsi"/>
              </w:rPr>
              <w:t>Good</w:t>
            </w:r>
          </w:p>
        </w:tc>
        <w:tc>
          <w:tcPr>
            <w:tcW w:w="1134" w:type="dxa"/>
          </w:tcPr>
          <w:p w14:paraId="21F44D12" w14:textId="77777777" w:rsidR="002C6B67" w:rsidRDefault="002C6B67" w:rsidP="00CF3643">
            <w:pPr>
              <w:rPr>
                <w:rFonts w:cstheme="minorHAnsi"/>
              </w:rPr>
            </w:pPr>
            <w:r>
              <w:rPr>
                <w:rFonts w:cstheme="minorHAnsi"/>
              </w:rPr>
              <w:t>3b</w:t>
            </w:r>
          </w:p>
        </w:tc>
      </w:tr>
      <w:tr w:rsidR="002C6B67" w14:paraId="2C518E23" w14:textId="77777777" w:rsidTr="00CF3643">
        <w:tc>
          <w:tcPr>
            <w:tcW w:w="2972" w:type="dxa"/>
          </w:tcPr>
          <w:p w14:paraId="3128317D" w14:textId="0C666E86" w:rsidR="002C6B67" w:rsidRDefault="002C6B67" w:rsidP="00CF3643">
            <w:pPr>
              <w:rPr>
                <w:rFonts w:cstheme="minorHAnsi"/>
              </w:rPr>
            </w:pPr>
            <w:r>
              <w:rPr>
                <w:rFonts w:cstheme="minorHAnsi"/>
              </w:rPr>
              <w:t xml:space="preserve">Stroeder et al, 2020 </w:t>
            </w:r>
            <w:r>
              <w:rPr>
                <w:rFonts w:cstheme="minorHAnsi"/>
              </w:rPr>
              <w:fldChar w:fldCharType="begin"/>
            </w:r>
            <w:r w:rsidR="00731981">
              <w:rPr>
                <w:rFonts w:cstheme="minorHAnsi"/>
              </w:rPr>
              <w:instrText xml:space="preserve"> ADDIN ZOTERO_ITEM CSL_CITATION {"citationID":"AGbkU3Hz","properties":{"formattedCitation":"[60]","plainCitation":"[60]","noteIndex":0},"citationItems":[{"id":253,"uris":["http://zotero.org/users/2960325/items/D58SVPT8"],"uri":["http://zotero.org/users/2960325/items/D58SVPT8"],"itemData":{"id":253,"type":"article-journal","abstract":"AIM: To evaluate prospectively the safety of contrast medium injection through standard peripheral intravenous cannulas at standard injection sites during clinical routine using iomeprol 400, a contrast agent with high viscosity.\nMATERIALS AND METHODS: Three thousand, five hundred and fourteen clinical CT examinations undertaken at Saarland University Medical Center were included in this prospective observational trial. The size and site of the cannula as well as the contrast medium injection rate and volume were assessed for each patient. In addition, the ability to aspirate blood though the cannula and the occurrence of complications, such as extravasation or abortion of injection by the automated injector, were recorded.\nRESULTS: The overall complication rate was 30/3,514 (0.85%). With 22 G cannulas, the complication rate was 8/541 (1.48%) applying flow rates of 1-3.5 ml/s (mean 2.1 ml/s). With 20 G cannulas, complications occurred in 21/2,601 cases (0.81%) with flow rates of 1.5-5 ml/s (mean 3 ml/s). The complication rate using 18 G cannulas was 1/377 (0.26%) for flow rates of 2-6 ml/s (mean 3.5 ml/s). No relationship between the site and size of the cannula to the occurrence of complications was found. The inability to aspirate blood correlated with the development of extravasation.\nCONCLUSIONS: The injection of contrast agent using standard peripheral venous cannulas is a safe and reliable procedure yielding diagnostic image contrast, even when using highly viscous contrast agents such as iomeprol 400; an aspiration test should be performed before each injection.","container-title":"Clinical Radiology","DOI":"10.1016/j.crad.2019.12.013","ISSN":"1365-229X","issue":"5","journalAbbreviation":"Clin Radiol","language":"eng","note":"PMID: 31969250","page":"396.e1-396.e6","source":"PubMed","title":"Prospective safety evaluation of automated iomeprol 400 injections for CT through peripheral venous cannulas","volume":"75","author":[{"family":"Stroeder","given":"J."},{"family":"Fries","given":"P."},{"family":"Raczeck","given":"P."},{"family":"Buecker","given":"A."},{"family":"Jagoda","given":"P."}],"issued":{"date-parts":[["2020",5]]}}}],"schema":"https://github.com/citation-style-language/schema/raw/master/csl-citation.json"} </w:instrText>
            </w:r>
            <w:r>
              <w:rPr>
                <w:rFonts w:cstheme="minorHAnsi"/>
              </w:rPr>
              <w:fldChar w:fldCharType="separate"/>
            </w:r>
            <w:r w:rsidR="00731981">
              <w:rPr>
                <w:rFonts w:cstheme="minorHAnsi"/>
                <w:noProof/>
              </w:rPr>
              <w:t>[60]</w:t>
            </w:r>
            <w:r>
              <w:rPr>
                <w:rFonts w:cstheme="minorHAnsi"/>
              </w:rPr>
              <w:fldChar w:fldCharType="end"/>
            </w:r>
          </w:p>
        </w:tc>
        <w:tc>
          <w:tcPr>
            <w:tcW w:w="1701" w:type="dxa"/>
          </w:tcPr>
          <w:p w14:paraId="6DFF59DB" w14:textId="77777777" w:rsidR="002C6B67" w:rsidRDefault="002C6B67" w:rsidP="00CF3643">
            <w:pPr>
              <w:rPr>
                <w:rFonts w:cstheme="minorHAnsi"/>
              </w:rPr>
            </w:pPr>
            <w:r>
              <w:rPr>
                <w:rFonts w:cstheme="minorHAnsi"/>
              </w:rPr>
              <w:t>Prospective</w:t>
            </w:r>
          </w:p>
        </w:tc>
        <w:tc>
          <w:tcPr>
            <w:tcW w:w="1701" w:type="dxa"/>
          </w:tcPr>
          <w:p w14:paraId="78271167" w14:textId="77777777" w:rsidR="002C6B67" w:rsidRDefault="002C6B67" w:rsidP="00CF3643">
            <w:pPr>
              <w:rPr>
                <w:rFonts w:cstheme="minorHAnsi"/>
              </w:rPr>
            </w:pPr>
            <w:r>
              <w:rPr>
                <w:rFonts w:cstheme="minorHAnsi"/>
              </w:rPr>
              <w:t>Adults</w:t>
            </w:r>
          </w:p>
        </w:tc>
        <w:tc>
          <w:tcPr>
            <w:tcW w:w="1985" w:type="dxa"/>
          </w:tcPr>
          <w:p w14:paraId="0DD39D86" w14:textId="77777777" w:rsidR="002C6B67" w:rsidRDefault="002C6B67" w:rsidP="00CF3643">
            <w:pPr>
              <w:rPr>
                <w:rFonts w:cstheme="minorHAnsi"/>
              </w:rPr>
            </w:pPr>
            <w:r>
              <w:rPr>
                <w:rFonts w:cstheme="minorHAnsi"/>
              </w:rPr>
              <w:t>25 / 3514 (0.71)</w:t>
            </w:r>
          </w:p>
        </w:tc>
        <w:tc>
          <w:tcPr>
            <w:tcW w:w="3969" w:type="dxa"/>
          </w:tcPr>
          <w:p w14:paraId="0A4ECFF6" w14:textId="77777777" w:rsidR="002C6B67" w:rsidRDefault="002C6B67" w:rsidP="00CF3643">
            <w:pPr>
              <w:rPr>
                <w:rFonts w:cstheme="minorHAnsi"/>
              </w:rPr>
            </w:pPr>
            <w:r>
              <w:rPr>
                <w:rFonts w:cstheme="minorHAnsi"/>
              </w:rPr>
              <w:t xml:space="preserve">Complication rates, including CMEX, with use of </w:t>
            </w:r>
            <w:proofErr w:type="spellStart"/>
            <w:r>
              <w:rPr>
                <w:rFonts w:cstheme="minorHAnsi"/>
              </w:rPr>
              <w:t>I</w:t>
            </w:r>
            <w:r w:rsidRPr="00EF2D10">
              <w:rPr>
                <w:rFonts w:cstheme="minorHAnsi"/>
              </w:rPr>
              <w:t>omeprol</w:t>
            </w:r>
            <w:proofErr w:type="spellEnd"/>
            <w:r w:rsidRPr="00EF2D10">
              <w:rPr>
                <w:rFonts w:cstheme="minorHAnsi"/>
              </w:rPr>
              <w:t xml:space="preserve"> 400 injections for CT through </w:t>
            </w:r>
            <w:r>
              <w:rPr>
                <w:rFonts w:cstheme="minorHAnsi"/>
              </w:rPr>
              <w:t>various sized</w:t>
            </w:r>
            <w:r w:rsidRPr="00EF2D10">
              <w:rPr>
                <w:rFonts w:cstheme="minorHAnsi"/>
              </w:rPr>
              <w:t xml:space="preserve"> cannulas</w:t>
            </w:r>
            <w:r>
              <w:rPr>
                <w:rFonts w:cstheme="minorHAnsi"/>
              </w:rPr>
              <w:t xml:space="preserve">. Additional significant finding suggesting </w:t>
            </w:r>
            <w:r w:rsidRPr="00EF2D10">
              <w:rPr>
                <w:rFonts w:cstheme="minorHAnsi"/>
              </w:rPr>
              <w:t>aspiration test should be performed before each injection.</w:t>
            </w:r>
          </w:p>
        </w:tc>
        <w:tc>
          <w:tcPr>
            <w:tcW w:w="992" w:type="dxa"/>
          </w:tcPr>
          <w:p w14:paraId="0C8CBF47" w14:textId="77777777" w:rsidR="002C6B67" w:rsidRDefault="002C6B67" w:rsidP="00CF3643">
            <w:pPr>
              <w:rPr>
                <w:rFonts w:cstheme="minorHAnsi"/>
              </w:rPr>
            </w:pPr>
            <w:r>
              <w:rPr>
                <w:rFonts w:cstheme="minorHAnsi"/>
              </w:rPr>
              <w:t>Good</w:t>
            </w:r>
          </w:p>
        </w:tc>
        <w:tc>
          <w:tcPr>
            <w:tcW w:w="1134" w:type="dxa"/>
          </w:tcPr>
          <w:p w14:paraId="0E92AF08" w14:textId="77777777" w:rsidR="002C6B67" w:rsidRDefault="002C6B67" w:rsidP="00CF3643">
            <w:pPr>
              <w:rPr>
                <w:rFonts w:cstheme="minorHAnsi"/>
              </w:rPr>
            </w:pPr>
            <w:r>
              <w:rPr>
                <w:rFonts w:cstheme="minorHAnsi"/>
              </w:rPr>
              <w:t>2b</w:t>
            </w:r>
          </w:p>
        </w:tc>
      </w:tr>
      <w:tr w:rsidR="002C6B67" w14:paraId="794F30CB" w14:textId="77777777" w:rsidTr="00CF3643">
        <w:tc>
          <w:tcPr>
            <w:tcW w:w="2972" w:type="dxa"/>
          </w:tcPr>
          <w:p w14:paraId="4FC6B273" w14:textId="6D995605" w:rsidR="002C6B67" w:rsidRDefault="002C6B67" w:rsidP="00CF3643">
            <w:pPr>
              <w:rPr>
                <w:rFonts w:cstheme="minorHAnsi"/>
              </w:rPr>
            </w:pPr>
            <w:r>
              <w:rPr>
                <w:rFonts w:cstheme="minorHAnsi"/>
              </w:rPr>
              <w:t xml:space="preserve">Van </w:t>
            </w:r>
            <w:proofErr w:type="spellStart"/>
            <w:r>
              <w:rPr>
                <w:rFonts w:cstheme="minorHAnsi"/>
              </w:rPr>
              <w:t>Veelen</w:t>
            </w:r>
            <w:proofErr w:type="spellEnd"/>
            <w:r>
              <w:rPr>
                <w:rFonts w:cstheme="minorHAnsi"/>
              </w:rPr>
              <w:t xml:space="preserve"> et al, 2020 </w:t>
            </w:r>
            <w:r>
              <w:rPr>
                <w:rFonts w:cstheme="minorHAnsi"/>
              </w:rPr>
              <w:fldChar w:fldCharType="begin"/>
            </w:r>
            <w:r w:rsidR="00731981">
              <w:rPr>
                <w:rFonts w:cstheme="minorHAnsi"/>
              </w:rPr>
              <w:instrText xml:space="preserve"> ADDIN ZOTERO_ITEM CSL_CITATION {"citationID":"IaDnwp2V","properties":{"formattedCitation":"[61]","plainCitation":"[61]","noteIndex":0},"citationItems":[{"id":255,"uris":["http://zotero.org/users/2960325/items/UFNT5K3U"],"uri":["http://zotero.org/users/2960325/items/UFNT5K3U"],"itemData":{"id":255,"type":"article-journal","abstract":"Compartment syndrome is a rare but serious complication of contrast medium extravasation. To avoid permanent damage, it is important to recognize the symptoms quickly and immediately initiate treatment. We report a patient, who developed compartment syndrome of the forearm after extravasation of contrast medium and review the available literature on this subject. To our knowledge this is the first reported case of compartment syndrome of the forearm due to contrast medium application for a trauma CT in a patient that had no direct trauma to the affected limb.","container-title":"Clinical Imaging","DOI":"10.1016/j.clinimag.2020.01.013","ISSN":"1873-4499","journalAbbreviation":"Clin Imaging","language":"eng","note":"PMID: 31978761","page":"58-61","source":"PubMed","title":"Compartment syndrome of the forearm caused by contrast medium extravasation: A case report and review of the literature","title-short":"Compartment syndrome of the forearm caused by contrast medium extravasation","volume":"61","author":[{"family":"Veelen","given":"Nicole M.","non-dropping-particle":"van"},{"family":"Link","given":"Björn-Christian"},{"family":"Donner","given":"Georg"},{"family":"Babst","given":"Reto"},{"family":"Beeres","given":"Frank J. P."}],"issued":{"date-parts":[["2020",5]]}}}],"schema":"https://github.com/citation-style-language/schema/raw/master/csl-citation.json"} </w:instrText>
            </w:r>
            <w:r>
              <w:rPr>
                <w:rFonts w:cstheme="minorHAnsi"/>
              </w:rPr>
              <w:fldChar w:fldCharType="separate"/>
            </w:r>
            <w:r w:rsidR="00731981">
              <w:rPr>
                <w:rFonts w:cstheme="minorHAnsi"/>
                <w:noProof/>
              </w:rPr>
              <w:t>[61]</w:t>
            </w:r>
            <w:r>
              <w:rPr>
                <w:rFonts w:cstheme="minorHAnsi"/>
              </w:rPr>
              <w:fldChar w:fldCharType="end"/>
            </w:r>
          </w:p>
        </w:tc>
        <w:tc>
          <w:tcPr>
            <w:tcW w:w="1701" w:type="dxa"/>
          </w:tcPr>
          <w:p w14:paraId="14B8C889" w14:textId="77777777" w:rsidR="002C6B67" w:rsidRDefault="002C6B67" w:rsidP="00CF3643">
            <w:pPr>
              <w:rPr>
                <w:rFonts w:cstheme="minorHAnsi"/>
              </w:rPr>
            </w:pPr>
            <w:r>
              <w:rPr>
                <w:rFonts w:cstheme="minorHAnsi"/>
              </w:rPr>
              <w:t>Case report and literature review</w:t>
            </w:r>
          </w:p>
        </w:tc>
        <w:tc>
          <w:tcPr>
            <w:tcW w:w="1701" w:type="dxa"/>
          </w:tcPr>
          <w:p w14:paraId="0FF1F2AF" w14:textId="77777777" w:rsidR="002C6B67" w:rsidRDefault="002C6B67" w:rsidP="00CF3643">
            <w:pPr>
              <w:rPr>
                <w:rFonts w:cstheme="minorHAnsi"/>
              </w:rPr>
            </w:pPr>
            <w:r>
              <w:rPr>
                <w:rFonts w:cstheme="minorHAnsi"/>
              </w:rPr>
              <w:t>Adults</w:t>
            </w:r>
          </w:p>
        </w:tc>
        <w:tc>
          <w:tcPr>
            <w:tcW w:w="1985" w:type="dxa"/>
          </w:tcPr>
          <w:p w14:paraId="4FF7DEEB" w14:textId="77777777" w:rsidR="002C6B67" w:rsidRDefault="002C6B67" w:rsidP="00CF3643">
            <w:pPr>
              <w:rPr>
                <w:rFonts w:cstheme="minorHAnsi"/>
              </w:rPr>
            </w:pPr>
            <w:r>
              <w:rPr>
                <w:rFonts w:cstheme="minorHAnsi"/>
              </w:rPr>
              <w:t>Not applicable</w:t>
            </w:r>
          </w:p>
        </w:tc>
        <w:tc>
          <w:tcPr>
            <w:tcW w:w="3969" w:type="dxa"/>
          </w:tcPr>
          <w:p w14:paraId="732FB1D0" w14:textId="77777777" w:rsidR="002C6B67" w:rsidRDefault="002C6B67" w:rsidP="00CF3643">
            <w:pPr>
              <w:rPr>
                <w:rFonts w:cstheme="minorHAnsi"/>
              </w:rPr>
            </w:pPr>
            <w:r>
              <w:rPr>
                <w:rFonts w:cstheme="minorHAnsi"/>
              </w:rPr>
              <w:t>Descriptive analysis of 12 case reports of compartment syndrome due to CMEX.</w:t>
            </w:r>
          </w:p>
        </w:tc>
        <w:tc>
          <w:tcPr>
            <w:tcW w:w="992" w:type="dxa"/>
          </w:tcPr>
          <w:p w14:paraId="07C56D9B" w14:textId="77777777" w:rsidR="002C6B67" w:rsidRDefault="002C6B67" w:rsidP="00CF3643">
            <w:pPr>
              <w:rPr>
                <w:rFonts w:cstheme="minorHAnsi"/>
              </w:rPr>
            </w:pPr>
            <w:r>
              <w:rPr>
                <w:rFonts w:cstheme="minorHAnsi"/>
              </w:rPr>
              <w:t>Good</w:t>
            </w:r>
          </w:p>
        </w:tc>
        <w:tc>
          <w:tcPr>
            <w:tcW w:w="1134" w:type="dxa"/>
          </w:tcPr>
          <w:p w14:paraId="3C0A7C4C" w14:textId="77777777" w:rsidR="002C6B67" w:rsidRDefault="002C6B67" w:rsidP="00CF3643">
            <w:pPr>
              <w:rPr>
                <w:rFonts w:cstheme="minorHAnsi"/>
              </w:rPr>
            </w:pPr>
            <w:r>
              <w:rPr>
                <w:rFonts w:cstheme="minorHAnsi"/>
              </w:rPr>
              <w:t>4</w:t>
            </w:r>
          </w:p>
        </w:tc>
      </w:tr>
      <w:tr w:rsidR="002C6B67" w14:paraId="719E0936" w14:textId="77777777" w:rsidTr="00CF3643">
        <w:tc>
          <w:tcPr>
            <w:tcW w:w="14454" w:type="dxa"/>
            <w:gridSpan w:val="7"/>
          </w:tcPr>
          <w:p w14:paraId="6E0FDCFF" w14:textId="775EE6B5" w:rsidR="002C6B67" w:rsidRPr="008F7F2A" w:rsidRDefault="002C6B67" w:rsidP="00CF3643">
            <w:pPr>
              <w:rPr>
                <w:rFonts w:cstheme="minorHAnsi"/>
                <w:i/>
                <w:iCs/>
              </w:rPr>
            </w:pPr>
            <w:r w:rsidRPr="008F7F2A">
              <w:rPr>
                <w:rFonts w:cstheme="minorHAnsi"/>
                <w:i/>
                <w:iCs/>
              </w:rPr>
              <w:t>*Study Quality Assessment Tools. National Heart, Lung and Blood Institute, National Institutes of Health.</w:t>
            </w:r>
            <w:r>
              <w:rPr>
                <w:rFonts w:cstheme="minorHAnsi"/>
                <w:i/>
                <w:iCs/>
              </w:rPr>
              <w:fldChar w:fldCharType="begin"/>
            </w:r>
            <w:r w:rsidR="00731981">
              <w:rPr>
                <w:rFonts w:cstheme="minorHAnsi"/>
                <w:i/>
                <w:iCs/>
              </w:rPr>
              <w:instrText xml:space="preserve"> ADDIN ZOTERO_ITEM CSL_CITATION {"citationID":"LFD83YTB","properties":{"formattedCitation":"[62]","plainCitation":"[62]","noteIndex":0},"citationItems":[{"id":223,"uris":["http://zotero.org/users/2960325/items/NEY445FU"],"uri":["http://zotero.org/users/2960325/items/NEY445FU"],"itemData":{"id":223,"type":"webpage","title":"National Heart, Lung, and Blood Institute. (2019). Study Quality Assessment Tools","URL":"https://www.nhlbi.nih.gov/health-topics/study-quality-assessment-tools","accessed":{"date-parts":[["2020",9,6]]},"issued":{"date-parts":[["2019"]]}}}],"schema":"https://github.com/citation-style-language/schema/raw/master/csl-citation.json"} </w:instrText>
            </w:r>
            <w:r>
              <w:rPr>
                <w:rFonts w:cstheme="minorHAnsi"/>
                <w:i/>
                <w:iCs/>
              </w:rPr>
              <w:fldChar w:fldCharType="separate"/>
            </w:r>
            <w:r w:rsidR="00731981">
              <w:rPr>
                <w:rFonts w:cstheme="minorHAnsi"/>
                <w:i/>
                <w:iCs/>
                <w:noProof/>
              </w:rPr>
              <w:t>[62]</w:t>
            </w:r>
            <w:r>
              <w:rPr>
                <w:rFonts w:cstheme="minorHAnsi"/>
                <w:i/>
                <w:iCs/>
              </w:rPr>
              <w:fldChar w:fldCharType="end"/>
            </w:r>
          </w:p>
        </w:tc>
      </w:tr>
      <w:tr w:rsidR="002C6B67" w14:paraId="2A110C06" w14:textId="77777777" w:rsidTr="00CF3643">
        <w:tc>
          <w:tcPr>
            <w:tcW w:w="14454" w:type="dxa"/>
            <w:gridSpan w:val="7"/>
          </w:tcPr>
          <w:p w14:paraId="56D45015" w14:textId="53BC7B8F" w:rsidR="002C6B67" w:rsidRPr="008F7F2A" w:rsidRDefault="002C6B67" w:rsidP="00CF3643">
            <w:pPr>
              <w:rPr>
                <w:rFonts w:cstheme="minorHAnsi"/>
                <w:i/>
                <w:iCs/>
              </w:rPr>
            </w:pPr>
            <w:r w:rsidRPr="008F7F2A">
              <w:rPr>
                <w:rFonts w:cstheme="minorHAnsi"/>
                <w:i/>
                <w:iCs/>
              </w:rPr>
              <w:t xml:space="preserve">** Levels of Evidence. OCEBM Levels of Evidence Working Group*. “The Oxford Levels of Evidence 2”. </w:t>
            </w:r>
            <w:r>
              <w:rPr>
                <w:rFonts w:cstheme="minorHAnsi"/>
                <w:i/>
                <w:iCs/>
              </w:rPr>
              <w:fldChar w:fldCharType="begin"/>
            </w:r>
            <w:r w:rsidR="00731981">
              <w:rPr>
                <w:rFonts w:cstheme="minorHAnsi"/>
                <w:i/>
                <w:iCs/>
              </w:rPr>
              <w:instrText xml:space="preserve"> ADDIN ZOTERO_ITEM CSL_CITATION {"citationID":"mVsDWaYQ","properties":{"formattedCitation":"[63]","plainCitation":"[63]","noteIndex":0},"citationItems":[{"id":204,"uris":["http://zotero.org/users/2960325/items/IHSPT2LM"],"uri":["http://zotero.org/users/2960325/items/IHSPT2LM"],"itemData":{"id":204,"type":"webpage","abstract":"The Levels of Evidence help you to target your search at the type of evidence that is most likely to provide a reliable answer.","container-title":"CEBM","language":"en","title":"OCEBM Levels of Evidence","URL":"https://www.cebm.net/2016/05/ocebm-levels-of-evidence/","accessed":{"date-parts":[["2019",11,10]]},"issued":{"date-parts":[["2016",5,1]]}}}],"schema":"https://github.com/citation-style-language/schema/raw/master/csl-citation.json"} </w:instrText>
            </w:r>
            <w:r>
              <w:rPr>
                <w:rFonts w:cstheme="minorHAnsi"/>
                <w:i/>
                <w:iCs/>
              </w:rPr>
              <w:fldChar w:fldCharType="separate"/>
            </w:r>
            <w:r w:rsidR="00731981">
              <w:rPr>
                <w:rFonts w:cstheme="minorHAnsi"/>
                <w:i/>
                <w:iCs/>
                <w:noProof/>
              </w:rPr>
              <w:t>[63]</w:t>
            </w:r>
            <w:r>
              <w:rPr>
                <w:rFonts w:cstheme="minorHAnsi"/>
                <w:i/>
                <w:iCs/>
              </w:rPr>
              <w:fldChar w:fldCharType="end"/>
            </w:r>
          </w:p>
        </w:tc>
      </w:tr>
    </w:tbl>
    <w:p w14:paraId="5D3D57EC" w14:textId="77777777" w:rsidR="002C6B67" w:rsidRDefault="002C6B67" w:rsidP="00A6111E">
      <w:pPr>
        <w:rPr>
          <w:rFonts w:cstheme="minorHAnsi"/>
          <w:b/>
          <w:bCs/>
        </w:rPr>
      </w:pPr>
    </w:p>
    <w:p w14:paraId="0EA17D19" w14:textId="77777777" w:rsidR="00731981" w:rsidRPr="00731981" w:rsidRDefault="00731981" w:rsidP="00731981">
      <w:pPr>
        <w:pStyle w:val="Bibliography"/>
        <w:rPr>
          <w:rFonts w:ascii="Calibri" w:cs="Calibri"/>
        </w:rPr>
      </w:pPr>
      <w:r>
        <w:rPr>
          <w:rFonts w:cstheme="minorHAnsi"/>
          <w:b/>
          <w:bCs/>
        </w:rPr>
        <w:fldChar w:fldCharType="begin"/>
      </w:r>
      <w:r>
        <w:rPr>
          <w:rFonts w:cstheme="minorHAnsi"/>
          <w:b/>
          <w:bCs/>
        </w:rPr>
        <w:instrText xml:space="preserve"> ADDIN ZOTERO_BIBL {"uncited":[],"omitted":[],"custom":[]} CSL_BIBLIOGRAPHY </w:instrText>
      </w:r>
      <w:r>
        <w:rPr>
          <w:rFonts w:cstheme="minorHAnsi"/>
          <w:b/>
          <w:bCs/>
        </w:rPr>
        <w:fldChar w:fldCharType="separate"/>
      </w:r>
      <w:r w:rsidRPr="00731981">
        <w:rPr>
          <w:rFonts w:ascii="Calibri" w:cs="Calibri"/>
        </w:rPr>
        <w:t xml:space="preserve">1. </w:t>
      </w:r>
      <w:r w:rsidRPr="00731981">
        <w:rPr>
          <w:rFonts w:ascii="Calibri" w:cs="Calibri"/>
        </w:rPr>
        <w:tab/>
        <w:t xml:space="preserve">Miles SG, Rasmussen JF, </w:t>
      </w:r>
      <w:proofErr w:type="spellStart"/>
      <w:r w:rsidRPr="00731981">
        <w:rPr>
          <w:rFonts w:ascii="Calibri" w:cs="Calibri"/>
        </w:rPr>
        <w:t>Litwiller</w:t>
      </w:r>
      <w:proofErr w:type="spellEnd"/>
      <w:r w:rsidRPr="00731981">
        <w:rPr>
          <w:rFonts w:ascii="Calibri" w:cs="Calibri"/>
        </w:rPr>
        <w:t xml:space="preserve"> T, </w:t>
      </w:r>
      <w:proofErr w:type="spellStart"/>
      <w:r w:rsidRPr="00731981">
        <w:rPr>
          <w:rFonts w:ascii="Calibri" w:cs="Calibri"/>
        </w:rPr>
        <w:t>Osik</w:t>
      </w:r>
      <w:proofErr w:type="spellEnd"/>
      <w:r w:rsidRPr="00731981">
        <w:rPr>
          <w:rFonts w:ascii="Calibri" w:cs="Calibri"/>
        </w:rPr>
        <w:t xml:space="preserve"> A (1990) Safe use of an intravenous power injector for CT: experience and protocol. Radiology 176:69–70. https://doi.org/10.1148/radiology.176.1.2353114</w:t>
      </w:r>
    </w:p>
    <w:p w14:paraId="6448DA35" w14:textId="77777777" w:rsidR="00731981" w:rsidRPr="00731981" w:rsidRDefault="00731981" w:rsidP="00731981">
      <w:pPr>
        <w:pStyle w:val="Bibliography"/>
        <w:rPr>
          <w:rFonts w:ascii="Calibri" w:cs="Calibri"/>
        </w:rPr>
      </w:pPr>
      <w:r w:rsidRPr="00731981">
        <w:rPr>
          <w:rFonts w:ascii="Calibri" w:cs="Calibri"/>
        </w:rPr>
        <w:t xml:space="preserve">2. </w:t>
      </w:r>
      <w:r w:rsidRPr="00731981">
        <w:rPr>
          <w:rFonts w:ascii="Calibri" w:cs="Calibri"/>
        </w:rPr>
        <w:tab/>
        <w:t xml:space="preserve">Hastings-Tolsma MT, </w:t>
      </w:r>
      <w:proofErr w:type="spellStart"/>
      <w:r w:rsidRPr="00731981">
        <w:rPr>
          <w:rFonts w:ascii="Calibri" w:cs="Calibri"/>
        </w:rPr>
        <w:t>Yucha</w:t>
      </w:r>
      <w:proofErr w:type="spellEnd"/>
      <w:r w:rsidRPr="00731981">
        <w:rPr>
          <w:rFonts w:ascii="Calibri" w:cs="Calibri"/>
        </w:rPr>
        <w:t xml:space="preserve"> CB, Tompkins J, et al (1993) Effect of warm and cold applications on the resolution of </w:t>
      </w:r>
      <w:proofErr w:type="spellStart"/>
      <w:r w:rsidRPr="00731981">
        <w:rPr>
          <w:rFonts w:ascii="Calibri" w:cs="Calibri"/>
        </w:rPr>
        <w:t>i.v.</w:t>
      </w:r>
      <w:proofErr w:type="spellEnd"/>
      <w:r w:rsidRPr="00731981">
        <w:rPr>
          <w:rFonts w:ascii="Calibri" w:cs="Calibri"/>
        </w:rPr>
        <w:t xml:space="preserve"> infiltrations. Res </w:t>
      </w:r>
      <w:proofErr w:type="spellStart"/>
      <w:r w:rsidRPr="00731981">
        <w:rPr>
          <w:rFonts w:ascii="Calibri" w:cs="Calibri"/>
        </w:rPr>
        <w:t>Nurs</w:t>
      </w:r>
      <w:proofErr w:type="spellEnd"/>
      <w:r w:rsidRPr="00731981">
        <w:rPr>
          <w:rFonts w:ascii="Calibri" w:cs="Calibri"/>
        </w:rPr>
        <w:t xml:space="preserve"> Health 16:171–178</w:t>
      </w:r>
    </w:p>
    <w:p w14:paraId="59E810F3" w14:textId="77777777" w:rsidR="00731981" w:rsidRPr="00731981" w:rsidRDefault="00731981" w:rsidP="00731981">
      <w:pPr>
        <w:pStyle w:val="Bibliography"/>
        <w:rPr>
          <w:rFonts w:ascii="Calibri" w:cs="Calibri"/>
        </w:rPr>
      </w:pPr>
      <w:r w:rsidRPr="00731981">
        <w:rPr>
          <w:rFonts w:ascii="Calibri" w:cs="Calibri"/>
        </w:rPr>
        <w:t xml:space="preserve">3. </w:t>
      </w:r>
      <w:r w:rsidRPr="00731981">
        <w:rPr>
          <w:rFonts w:ascii="Calibri" w:cs="Calibri"/>
        </w:rPr>
        <w:tab/>
        <w:t xml:space="preserve">Cohan RH, Bullard MA, Ellis JH, et al (1997) Local reactions after injection of iodinated contrast material: detection, management, and outcome. </w:t>
      </w:r>
      <w:proofErr w:type="spellStart"/>
      <w:r w:rsidRPr="00731981">
        <w:rPr>
          <w:rFonts w:ascii="Calibri" w:cs="Calibri"/>
        </w:rPr>
        <w:t>Acad</w:t>
      </w:r>
      <w:proofErr w:type="spellEnd"/>
      <w:r w:rsidRPr="00731981">
        <w:rPr>
          <w:rFonts w:ascii="Calibri" w:cs="Calibri"/>
        </w:rPr>
        <w:t xml:space="preserve"> </w:t>
      </w:r>
      <w:proofErr w:type="spellStart"/>
      <w:r w:rsidRPr="00731981">
        <w:rPr>
          <w:rFonts w:ascii="Calibri" w:cs="Calibri"/>
        </w:rPr>
        <w:t>Radiol</w:t>
      </w:r>
      <w:proofErr w:type="spellEnd"/>
      <w:r w:rsidRPr="00731981">
        <w:rPr>
          <w:rFonts w:ascii="Calibri" w:cs="Calibri"/>
        </w:rPr>
        <w:t xml:space="preserve"> 4:711–718</w:t>
      </w:r>
    </w:p>
    <w:p w14:paraId="36DF111F" w14:textId="77777777" w:rsidR="00731981" w:rsidRPr="00731981" w:rsidRDefault="00731981" w:rsidP="00731981">
      <w:pPr>
        <w:pStyle w:val="Bibliography"/>
        <w:rPr>
          <w:rFonts w:ascii="Calibri" w:cs="Calibri"/>
        </w:rPr>
      </w:pPr>
      <w:r w:rsidRPr="00731981">
        <w:rPr>
          <w:rFonts w:ascii="Calibri" w:cs="Calibri"/>
        </w:rPr>
        <w:t xml:space="preserve">4. </w:t>
      </w:r>
      <w:r w:rsidRPr="00731981">
        <w:rPr>
          <w:rFonts w:ascii="Calibri" w:cs="Calibri"/>
        </w:rPr>
        <w:tab/>
        <w:t xml:space="preserve">Federle MP, Chang PJ, Confer S, </w:t>
      </w:r>
      <w:proofErr w:type="spellStart"/>
      <w:r w:rsidRPr="00731981">
        <w:rPr>
          <w:rFonts w:ascii="Calibri" w:cs="Calibri"/>
        </w:rPr>
        <w:t>Ozgun</w:t>
      </w:r>
      <w:proofErr w:type="spellEnd"/>
      <w:r w:rsidRPr="00731981">
        <w:rPr>
          <w:rFonts w:ascii="Calibri" w:cs="Calibri"/>
        </w:rPr>
        <w:t xml:space="preserve"> B (1998) Frequency and effects of extravasation of ionic and </w:t>
      </w:r>
      <w:proofErr w:type="spellStart"/>
      <w:r w:rsidRPr="00731981">
        <w:rPr>
          <w:rFonts w:ascii="Calibri" w:cs="Calibri"/>
        </w:rPr>
        <w:t>nonionic</w:t>
      </w:r>
      <w:proofErr w:type="spellEnd"/>
      <w:r w:rsidRPr="00731981">
        <w:rPr>
          <w:rFonts w:ascii="Calibri" w:cs="Calibri"/>
        </w:rPr>
        <w:t xml:space="preserve"> CT contrast media during rapid bolus injection. Radiology 206:637–640. https://doi.org/10.1148/radiology.206.3.9494479</w:t>
      </w:r>
    </w:p>
    <w:p w14:paraId="26A099BF" w14:textId="77777777" w:rsidR="00731981" w:rsidRPr="00731981" w:rsidRDefault="00731981" w:rsidP="00731981">
      <w:pPr>
        <w:pStyle w:val="Bibliography"/>
        <w:rPr>
          <w:rFonts w:ascii="Calibri" w:cs="Calibri"/>
        </w:rPr>
      </w:pPr>
      <w:r w:rsidRPr="00731981">
        <w:rPr>
          <w:rFonts w:ascii="Calibri" w:cs="Calibri"/>
        </w:rPr>
        <w:t xml:space="preserve">5. </w:t>
      </w:r>
      <w:r w:rsidRPr="00731981">
        <w:rPr>
          <w:rFonts w:ascii="Calibri" w:cs="Calibri"/>
        </w:rPr>
        <w:tab/>
        <w:t xml:space="preserve">Jacobs JE, Birnbaum BA, </w:t>
      </w:r>
      <w:proofErr w:type="spellStart"/>
      <w:r w:rsidRPr="00731981">
        <w:rPr>
          <w:rFonts w:ascii="Calibri" w:cs="Calibri"/>
        </w:rPr>
        <w:t>Langlotz</w:t>
      </w:r>
      <w:proofErr w:type="spellEnd"/>
      <w:r w:rsidRPr="00731981">
        <w:rPr>
          <w:rFonts w:ascii="Calibri" w:cs="Calibri"/>
        </w:rPr>
        <w:t xml:space="preserve"> CP (1998) Contrast media reactions and extravasation: relationship to intravenous injection rates. Radiology 209:411–416. https://doi.org/10.1148/radiology.209.2.9807567</w:t>
      </w:r>
    </w:p>
    <w:p w14:paraId="7A36F2CC" w14:textId="77777777" w:rsidR="00731981" w:rsidRPr="00731981" w:rsidRDefault="00731981" w:rsidP="00731981">
      <w:pPr>
        <w:pStyle w:val="Bibliography"/>
        <w:rPr>
          <w:rFonts w:ascii="Calibri" w:cs="Calibri"/>
        </w:rPr>
      </w:pPr>
      <w:r w:rsidRPr="00731981">
        <w:rPr>
          <w:rFonts w:ascii="Calibri" w:cs="Calibri"/>
        </w:rPr>
        <w:lastRenderedPageBreak/>
        <w:t xml:space="preserve">6. </w:t>
      </w:r>
      <w:r w:rsidRPr="00731981">
        <w:rPr>
          <w:rFonts w:ascii="Calibri" w:cs="Calibri"/>
        </w:rPr>
        <w:tab/>
        <w:t>Nelson RC, Anderson FA, Birnbaum BA, et al (1998) Contrast media extravasation during dynamic CT: detection with an extravasation detection accessory. Radiology 209:837–843. https://doi.org/10.1148/radiology.209.3.9844684</w:t>
      </w:r>
    </w:p>
    <w:p w14:paraId="290D8814" w14:textId="77777777" w:rsidR="00731981" w:rsidRPr="00731981" w:rsidRDefault="00731981" w:rsidP="00731981">
      <w:pPr>
        <w:pStyle w:val="Bibliography"/>
        <w:rPr>
          <w:rFonts w:ascii="Calibri" w:cs="Calibri"/>
        </w:rPr>
      </w:pPr>
      <w:r w:rsidRPr="00731981">
        <w:rPr>
          <w:rFonts w:ascii="Calibri" w:cs="Calibri"/>
        </w:rPr>
        <w:t xml:space="preserve">7. </w:t>
      </w:r>
      <w:r w:rsidRPr="00731981">
        <w:rPr>
          <w:rFonts w:ascii="Calibri" w:cs="Calibri"/>
        </w:rPr>
        <w:tab/>
        <w:t xml:space="preserve">Birnbaum BA, Nelson RC, </w:t>
      </w:r>
      <w:proofErr w:type="spellStart"/>
      <w:r w:rsidRPr="00731981">
        <w:rPr>
          <w:rFonts w:ascii="Calibri" w:cs="Calibri"/>
        </w:rPr>
        <w:t>Chezmar</w:t>
      </w:r>
      <w:proofErr w:type="spellEnd"/>
      <w:r w:rsidRPr="00731981">
        <w:rPr>
          <w:rFonts w:ascii="Calibri" w:cs="Calibri"/>
        </w:rPr>
        <w:t xml:space="preserve"> JL, Glick SN (1999) Extravasation detection accessory: clinical evaluation in 500 patients. Radiology 212:431–438. https://doi.org/10.1148/radiology.212.2.r99au14431</w:t>
      </w:r>
    </w:p>
    <w:p w14:paraId="072A266F" w14:textId="77777777" w:rsidR="00731981" w:rsidRPr="00731981" w:rsidRDefault="00731981" w:rsidP="00731981">
      <w:pPr>
        <w:pStyle w:val="Bibliography"/>
        <w:rPr>
          <w:rFonts w:ascii="Calibri" w:cs="Calibri"/>
        </w:rPr>
      </w:pPr>
      <w:r w:rsidRPr="00731981">
        <w:rPr>
          <w:rFonts w:ascii="Calibri" w:cs="Calibri"/>
        </w:rPr>
        <w:t xml:space="preserve">8. </w:t>
      </w:r>
      <w:r w:rsidRPr="00731981">
        <w:rPr>
          <w:rFonts w:ascii="Calibri" w:cs="Calibri"/>
        </w:rPr>
        <w:tab/>
        <w:t xml:space="preserve">Powell CC, Li J </w:t>
      </w:r>
      <w:proofErr w:type="spellStart"/>
      <w:r w:rsidRPr="00731981">
        <w:rPr>
          <w:rFonts w:ascii="Calibri" w:cs="Calibri"/>
        </w:rPr>
        <w:t>ming</w:t>
      </w:r>
      <w:proofErr w:type="spellEnd"/>
      <w:r w:rsidRPr="00731981">
        <w:rPr>
          <w:rFonts w:ascii="Calibri" w:cs="Calibri"/>
        </w:rPr>
        <w:t xml:space="preserve">, </w:t>
      </w:r>
      <w:proofErr w:type="spellStart"/>
      <w:r w:rsidRPr="00731981">
        <w:rPr>
          <w:rFonts w:ascii="Calibri" w:cs="Calibri"/>
        </w:rPr>
        <w:t>Rodino</w:t>
      </w:r>
      <w:proofErr w:type="spellEnd"/>
      <w:r w:rsidRPr="00731981">
        <w:rPr>
          <w:rFonts w:ascii="Calibri" w:cs="Calibri"/>
        </w:rPr>
        <w:t xml:space="preserve"> L, Anderson FA (2000) A New Device to Limit Extravasation During Contrast-Enhanced CT. Am J </w:t>
      </w:r>
      <w:proofErr w:type="spellStart"/>
      <w:r w:rsidRPr="00731981">
        <w:rPr>
          <w:rFonts w:ascii="Calibri" w:cs="Calibri"/>
        </w:rPr>
        <w:t>Roentgenol</w:t>
      </w:r>
      <w:proofErr w:type="spellEnd"/>
      <w:r w:rsidRPr="00731981">
        <w:rPr>
          <w:rFonts w:ascii="Calibri" w:cs="Calibri"/>
        </w:rPr>
        <w:t xml:space="preserve"> 174:315–318. https://doi.org/10.2214/ajr.174.2.1740315</w:t>
      </w:r>
    </w:p>
    <w:p w14:paraId="77112884" w14:textId="77777777" w:rsidR="00731981" w:rsidRPr="00731981" w:rsidRDefault="00731981" w:rsidP="00731981">
      <w:pPr>
        <w:pStyle w:val="Bibliography"/>
        <w:rPr>
          <w:rFonts w:ascii="Calibri" w:cs="Calibri"/>
        </w:rPr>
      </w:pPr>
      <w:r w:rsidRPr="00731981">
        <w:rPr>
          <w:rFonts w:ascii="Calibri" w:cs="Calibri"/>
        </w:rPr>
        <w:t xml:space="preserve">9. </w:t>
      </w:r>
      <w:r w:rsidRPr="00731981">
        <w:rPr>
          <w:rFonts w:ascii="Calibri" w:cs="Calibri"/>
        </w:rPr>
        <w:tab/>
        <w:t xml:space="preserve">Vandeweyer E, Heymans O, </w:t>
      </w:r>
      <w:proofErr w:type="spellStart"/>
      <w:r w:rsidRPr="00731981">
        <w:rPr>
          <w:rFonts w:ascii="Calibri" w:cs="Calibri"/>
        </w:rPr>
        <w:t>Deraemaecker</w:t>
      </w:r>
      <w:proofErr w:type="spellEnd"/>
      <w:r w:rsidRPr="00731981">
        <w:rPr>
          <w:rFonts w:ascii="Calibri" w:cs="Calibri"/>
        </w:rPr>
        <w:t xml:space="preserve"> R (2000) Extravasation injuries and emergency suction as treatment. </w:t>
      </w:r>
      <w:proofErr w:type="spellStart"/>
      <w:r w:rsidRPr="00731981">
        <w:rPr>
          <w:rFonts w:ascii="Calibri" w:cs="Calibri"/>
        </w:rPr>
        <w:t>Plast</w:t>
      </w:r>
      <w:proofErr w:type="spellEnd"/>
      <w:r w:rsidRPr="00731981">
        <w:rPr>
          <w:rFonts w:ascii="Calibri" w:cs="Calibri"/>
        </w:rPr>
        <w:t xml:space="preserve"> </w:t>
      </w:r>
      <w:proofErr w:type="spellStart"/>
      <w:r w:rsidRPr="00731981">
        <w:rPr>
          <w:rFonts w:ascii="Calibri" w:cs="Calibri"/>
        </w:rPr>
        <w:t>Reconstr</w:t>
      </w:r>
      <w:proofErr w:type="spellEnd"/>
      <w:r w:rsidRPr="00731981">
        <w:rPr>
          <w:rFonts w:ascii="Calibri" w:cs="Calibri"/>
        </w:rPr>
        <w:t xml:space="preserve"> </w:t>
      </w:r>
      <w:proofErr w:type="spellStart"/>
      <w:r w:rsidRPr="00731981">
        <w:rPr>
          <w:rFonts w:ascii="Calibri" w:cs="Calibri"/>
        </w:rPr>
        <w:t>Surg</w:t>
      </w:r>
      <w:proofErr w:type="spellEnd"/>
      <w:r w:rsidRPr="00731981">
        <w:rPr>
          <w:rFonts w:ascii="Calibri" w:cs="Calibri"/>
        </w:rPr>
        <w:t xml:space="preserve"> 105:109–110. https://doi.org/10.1097/00006534-200001000-00019</w:t>
      </w:r>
    </w:p>
    <w:p w14:paraId="684C58FF" w14:textId="77777777" w:rsidR="00731981" w:rsidRPr="00731981" w:rsidRDefault="00731981" w:rsidP="00731981">
      <w:pPr>
        <w:pStyle w:val="Bibliography"/>
        <w:rPr>
          <w:rFonts w:ascii="Calibri" w:cs="Calibri"/>
        </w:rPr>
      </w:pPr>
      <w:r w:rsidRPr="00731981">
        <w:rPr>
          <w:rFonts w:ascii="Calibri" w:cs="Calibri"/>
        </w:rPr>
        <w:t xml:space="preserve">10. </w:t>
      </w:r>
      <w:r w:rsidRPr="00731981">
        <w:rPr>
          <w:rFonts w:ascii="Calibri" w:cs="Calibri"/>
        </w:rPr>
        <w:tab/>
        <w:t xml:space="preserve">Bellin M-F, Jakobsen JA, </w:t>
      </w:r>
      <w:proofErr w:type="spellStart"/>
      <w:r w:rsidRPr="00731981">
        <w:rPr>
          <w:rFonts w:ascii="Calibri" w:cs="Calibri"/>
        </w:rPr>
        <w:t>Tomassin</w:t>
      </w:r>
      <w:proofErr w:type="spellEnd"/>
      <w:r w:rsidRPr="00731981">
        <w:rPr>
          <w:rFonts w:ascii="Calibri" w:cs="Calibri"/>
        </w:rPr>
        <w:t xml:space="preserve"> I, et al (2002) Contrast medium extravasation injury: guidelines for prevention and management. Eur </w:t>
      </w:r>
      <w:proofErr w:type="spellStart"/>
      <w:r w:rsidRPr="00731981">
        <w:rPr>
          <w:rFonts w:ascii="Calibri" w:cs="Calibri"/>
        </w:rPr>
        <w:t>Radiol</w:t>
      </w:r>
      <w:proofErr w:type="spellEnd"/>
      <w:r w:rsidRPr="00731981">
        <w:rPr>
          <w:rFonts w:ascii="Calibri" w:cs="Calibri"/>
        </w:rPr>
        <w:t xml:space="preserve"> 12:2807–2812. https://doi.org/10.1007/s00330-002-1630-9</w:t>
      </w:r>
    </w:p>
    <w:p w14:paraId="53FF1104" w14:textId="77777777" w:rsidR="00731981" w:rsidRPr="00731981" w:rsidRDefault="00731981" w:rsidP="00731981">
      <w:pPr>
        <w:pStyle w:val="Bibliography"/>
        <w:rPr>
          <w:rFonts w:ascii="Calibri" w:cs="Calibri"/>
        </w:rPr>
      </w:pPr>
      <w:r w:rsidRPr="00731981">
        <w:rPr>
          <w:rFonts w:ascii="Calibri" w:cs="Calibri"/>
        </w:rPr>
        <w:t xml:space="preserve">11. </w:t>
      </w:r>
      <w:r w:rsidRPr="00731981">
        <w:rPr>
          <w:rFonts w:ascii="Calibri" w:cs="Calibri"/>
        </w:rPr>
        <w:tab/>
        <w:t xml:space="preserve">Khan MS, Holmes JD (2002) Reducing the morbidity from extravasation injuries. Ann </w:t>
      </w:r>
      <w:proofErr w:type="spellStart"/>
      <w:r w:rsidRPr="00731981">
        <w:rPr>
          <w:rFonts w:ascii="Calibri" w:cs="Calibri"/>
        </w:rPr>
        <w:t>Plast</w:t>
      </w:r>
      <w:proofErr w:type="spellEnd"/>
      <w:r w:rsidRPr="00731981">
        <w:rPr>
          <w:rFonts w:ascii="Calibri" w:cs="Calibri"/>
        </w:rPr>
        <w:t xml:space="preserve"> </w:t>
      </w:r>
      <w:proofErr w:type="spellStart"/>
      <w:r w:rsidRPr="00731981">
        <w:rPr>
          <w:rFonts w:ascii="Calibri" w:cs="Calibri"/>
        </w:rPr>
        <w:t>Surg</w:t>
      </w:r>
      <w:proofErr w:type="spellEnd"/>
      <w:r w:rsidRPr="00731981">
        <w:rPr>
          <w:rFonts w:ascii="Calibri" w:cs="Calibri"/>
        </w:rPr>
        <w:t xml:space="preserve"> 48:628–632; discussion 632. https://doi.org/10.1097/00000637-200206000-00011</w:t>
      </w:r>
    </w:p>
    <w:p w14:paraId="7B3CB33F" w14:textId="77777777" w:rsidR="00731981" w:rsidRPr="00731981" w:rsidRDefault="00731981" w:rsidP="00731981">
      <w:pPr>
        <w:pStyle w:val="Bibliography"/>
        <w:rPr>
          <w:rFonts w:ascii="Calibri" w:cs="Calibri"/>
        </w:rPr>
      </w:pPr>
      <w:r w:rsidRPr="00731981">
        <w:rPr>
          <w:rFonts w:ascii="Calibri" w:cs="Calibri"/>
        </w:rPr>
        <w:t xml:space="preserve">12. </w:t>
      </w:r>
      <w:r w:rsidRPr="00731981">
        <w:rPr>
          <w:rFonts w:ascii="Calibri" w:cs="Calibri"/>
        </w:rPr>
        <w:tab/>
        <w:t>Sinan T, Al-</w:t>
      </w:r>
      <w:proofErr w:type="spellStart"/>
      <w:r w:rsidRPr="00731981">
        <w:rPr>
          <w:rFonts w:ascii="Calibri" w:cs="Calibri"/>
        </w:rPr>
        <w:t>Khawari</w:t>
      </w:r>
      <w:proofErr w:type="spellEnd"/>
      <w:r w:rsidRPr="00731981">
        <w:rPr>
          <w:rFonts w:ascii="Calibri" w:cs="Calibri"/>
        </w:rPr>
        <w:t xml:space="preserve"> H, Chishti FA, et al (2005) Contrast media extravasation: manual versus power injector. Med </w:t>
      </w:r>
      <w:proofErr w:type="spellStart"/>
      <w:r w:rsidRPr="00731981">
        <w:rPr>
          <w:rFonts w:ascii="Calibri" w:cs="Calibri"/>
        </w:rPr>
        <w:t>Princ</w:t>
      </w:r>
      <w:proofErr w:type="spellEnd"/>
      <w:r w:rsidRPr="00731981">
        <w:rPr>
          <w:rFonts w:ascii="Calibri" w:cs="Calibri"/>
        </w:rPr>
        <w:t xml:space="preserve"> </w:t>
      </w:r>
      <w:proofErr w:type="spellStart"/>
      <w:r w:rsidRPr="00731981">
        <w:rPr>
          <w:rFonts w:ascii="Calibri" w:cs="Calibri"/>
        </w:rPr>
        <w:t>Pract</w:t>
      </w:r>
      <w:proofErr w:type="spellEnd"/>
      <w:r w:rsidRPr="00731981">
        <w:rPr>
          <w:rFonts w:ascii="Calibri" w:cs="Calibri"/>
        </w:rPr>
        <w:t xml:space="preserve"> Int J Kuwait </w:t>
      </w:r>
      <w:proofErr w:type="spellStart"/>
      <w:r w:rsidRPr="00731981">
        <w:rPr>
          <w:rFonts w:ascii="Calibri" w:cs="Calibri"/>
        </w:rPr>
        <w:t>Univ</w:t>
      </w:r>
      <w:proofErr w:type="spellEnd"/>
      <w:r w:rsidRPr="00731981">
        <w:rPr>
          <w:rFonts w:ascii="Calibri" w:cs="Calibri"/>
        </w:rPr>
        <w:t xml:space="preserve"> Health Sci Cent 14:107–110. https://doi.org/10.1159/000083921</w:t>
      </w:r>
    </w:p>
    <w:p w14:paraId="62B56E32" w14:textId="77777777" w:rsidR="00731981" w:rsidRPr="00731981" w:rsidRDefault="00731981" w:rsidP="00731981">
      <w:pPr>
        <w:pStyle w:val="Bibliography"/>
        <w:rPr>
          <w:rFonts w:ascii="Calibri" w:cs="Calibri"/>
        </w:rPr>
      </w:pPr>
      <w:r w:rsidRPr="00731981">
        <w:rPr>
          <w:rFonts w:ascii="Calibri" w:cs="Calibri"/>
        </w:rPr>
        <w:t xml:space="preserve">13. </w:t>
      </w:r>
      <w:r w:rsidRPr="00731981">
        <w:rPr>
          <w:rFonts w:ascii="Calibri" w:cs="Calibri"/>
        </w:rPr>
        <w:tab/>
        <w:t xml:space="preserve">Amaral JG, </w:t>
      </w:r>
      <w:proofErr w:type="spellStart"/>
      <w:r w:rsidRPr="00731981">
        <w:rPr>
          <w:rFonts w:ascii="Calibri" w:cs="Calibri"/>
        </w:rPr>
        <w:t>Traubici</w:t>
      </w:r>
      <w:proofErr w:type="spellEnd"/>
      <w:r w:rsidRPr="00731981">
        <w:rPr>
          <w:rFonts w:ascii="Calibri" w:cs="Calibri"/>
        </w:rPr>
        <w:t xml:space="preserve"> J, </w:t>
      </w:r>
      <w:proofErr w:type="spellStart"/>
      <w:r w:rsidRPr="00731981">
        <w:rPr>
          <w:rFonts w:ascii="Calibri" w:cs="Calibri"/>
        </w:rPr>
        <w:t>BenDavid</w:t>
      </w:r>
      <w:proofErr w:type="spellEnd"/>
      <w:r w:rsidRPr="00731981">
        <w:rPr>
          <w:rFonts w:ascii="Calibri" w:cs="Calibri"/>
        </w:rPr>
        <w:t xml:space="preserve"> G, et al (2006) Safety of power injector use in children as measured by incidence of extravasation. AJR Am J </w:t>
      </w:r>
      <w:proofErr w:type="spellStart"/>
      <w:r w:rsidRPr="00731981">
        <w:rPr>
          <w:rFonts w:ascii="Calibri" w:cs="Calibri"/>
        </w:rPr>
        <w:t>Roentgenol</w:t>
      </w:r>
      <w:proofErr w:type="spellEnd"/>
      <w:r w:rsidRPr="00731981">
        <w:rPr>
          <w:rFonts w:ascii="Calibri" w:cs="Calibri"/>
        </w:rPr>
        <w:t xml:space="preserve"> 187:580–583. https://doi.org/10.2214/AJR.05.0667</w:t>
      </w:r>
    </w:p>
    <w:p w14:paraId="65516D2C" w14:textId="77777777" w:rsidR="00731981" w:rsidRPr="00731981" w:rsidRDefault="00731981" w:rsidP="00731981">
      <w:pPr>
        <w:pStyle w:val="Bibliography"/>
        <w:rPr>
          <w:rFonts w:ascii="Calibri" w:cs="Calibri"/>
        </w:rPr>
      </w:pPr>
      <w:r w:rsidRPr="00731981">
        <w:rPr>
          <w:rFonts w:ascii="Calibri" w:cs="Calibri"/>
        </w:rPr>
        <w:t xml:space="preserve">14. </w:t>
      </w:r>
      <w:r w:rsidRPr="00731981">
        <w:rPr>
          <w:rFonts w:ascii="Calibri" w:cs="Calibri"/>
        </w:rPr>
        <w:tab/>
      </w:r>
      <w:proofErr w:type="spellStart"/>
      <w:r w:rsidRPr="00731981">
        <w:rPr>
          <w:rFonts w:ascii="Calibri" w:cs="Calibri"/>
        </w:rPr>
        <w:t>Namasivayam</w:t>
      </w:r>
      <w:proofErr w:type="spellEnd"/>
      <w:r w:rsidRPr="00731981">
        <w:rPr>
          <w:rFonts w:ascii="Calibri" w:cs="Calibri"/>
        </w:rPr>
        <w:t xml:space="preserve"> S, Kalra MK, Torres WE, Small WC (2006) Adverse reactions to intravenous iodinated contrast media: an update. </w:t>
      </w:r>
      <w:proofErr w:type="spellStart"/>
      <w:r w:rsidRPr="00731981">
        <w:rPr>
          <w:rFonts w:ascii="Calibri" w:cs="Calibri"/>
        </w:rPr>
        <w:t>Curr</w:t>
      </w:r>
      <w:proofErr w:type="spellEnd"/>
      <w:r w:rsidRPr="00731981">
        <w:rPr>
          <w:rFonts w:ascii="Calibri" w:cs="Calibri"/>
        </w:rPr>
        <w:t xml:space="preserve"> </w:t>
      </w:r>
      <w:proofErr w:type="spellStart"/>
      <w:r w:rsidRPr="00731981">
        <w:rPr>
          <w:rFonts w:ascii="Calibri" w:cs="Calibri"/>
        </w:rPr>
        <w:t>Probl</w:t>
      </w:r>
      <w:proofErr w:type="spellEnd"/>
      <w:r w:rsidRPr="00731981">
        <w:rPr>
          <w:rFonts w:ascii="Calibri" w:cs="Calibri"/>
        </w:rPr>
        <w:t xml:space="preserve"> Diagn </w:t>
      </w:r>
      <w:proofErr w:type="spellStart"/>
      <w:r w:rsidRPr="00731981">
        <w:rPr>
          <w:rFonts w:ascii="Calibri" w:cs="Calibri"/>
        </w:rPr>
        <w:t>Radiol</w:t>
      </w:r>
      <w:proofErr w:type="spellEnd"/>
      <w:r w:rsidRPr="00731981">
        <w:rPr>
          <w:rFonts w:ascii="Calibri" w:cs="Calibri"/>
        </w:rPr>
        <w:t xml:space="preserve"> 35:164–169. https://doi.org/10.1067/j.cpradiol.2006.04.001</w:t>
      </w:r>
    </w:p>
    <w:p w14:paraId="7FD6183B" w14:textId="77777777" w:rsidR="00731981" w:rsidRPr="00731981" w:rsidRDefault="00731981" w:rsidP="00731981">
      <w:pPr>
        <w:pStyle w:val="Bibliography"/>
        <w:rPr>
          <w:rFonts w:ascii="Calibri" w:cs="Calibri"/>
        </w:rPr>
      </w:pPr>
      <w:r w:rsidRPr="00731981">
        <w:rPr>
          <w:rFonts w:ascii="Calibri" w:cs="Calibri"/>
        </w:rPr>
        <w:t xml:space="preserve">15. </w:t>
      </w:r>
      <w:r w:rsidRPr="00731981">
        <w:rPr>
          <w:rFonts w:ascii="Calibri" w:cs="Calibri"/>
        </w:rPr>
        <w:tab/>
      </w:r>
      <w:proofErr w:type="spellStart"/>
      <w:r w:rsidRPr="00731981">
        <w:rPr>
          <w:rFonts w:ascii="Calibri" w:cs="Calibri"/>
        </w:rPr>
        <w:t>Selek</w:t>
      </w:r>
      <w:proofErr w:type="spellEnd"/>
      <w:r w:rsidRPr="00731981">
        <w:rPr>
          <w:rFonts w:ascii="Calibri" w:cs="Calibri"/>
        </w:rPr>
        <w:t xml:space="preserve"> H, Ozer H, </w:t>
      </w:r>
      <w:proofErr w:type="spellStart"/>
      <w:r w:rsidRPr="00731981">
        <w:rPr>
          <w:rFonts w:ascii="Calibri" w:cs="Calibri"/>
        </w:rPr>
        <w:t>Aygencel</w:t>
      </w:r>
      <w:proofErr w:type="spellEnd"/>
      <w:r w:rsidRPr="00731981">
        <w:rPr>
          <w:rFonts w:ascii="Calibri" w:cs="Calibri"/>
        </w:rPr>
        <w:t xml:space="preserve"> G, </w:t>
      </w:r>
      <w:proofErr w:type="spellStart"/>
      <w:r w:rsidRPr="00731981">
        <w:rPr>
          <w:rFonts w:ascii="Calibri" w:cs="Calibri"/>
        </w:rPr>
        <w:t>Turanli</w:t>
      </w:r>
      <w:proofErr w:type="spellEnd"/>
      <w:r w:rsidRPr="00731981">
        <w:rPr>
          <w:rFonts w:ascii="Calibri" w:cs="Calibri"/>
        </w:rPr>
        <w:t xml:space="preserve"> S (2007) Compartment syndrome in the hand due to extravasation of contrast material. Arch </w:t>
      </w:r>
      <w:proofErr w:type="spellStart"/>
      <w:r w:rsidRPr="00731981">
        <w:rPr>
          <w:rFonts w:ascii="Calibri" w:cs="Calibri"/>
        </w:rPr>
        <w:t>Orthop</w:t>
      </w:r>
      <w:proofErr w:type="spellEnd"/>
      <w:r w:rsidRPr="00731981">
        <w:rPr>
          <w:rFonts w:ascii="Calibri" w:cs="Calibri"/>
        </w:rPr>
        <w:t xml:space="preserve"> Trauma </w:t>
      </w:r>
      <w:proofErr w:type="spellStart"/>
      <w:r w:rsidRPr="00731981">
        <w:rPr>
          <w:rFonts w:ascii="Calibri" w:cs="Calibri"/>
        </w:rPr>
        <w:t>Surg</w:t>
      </w:r>
      <w:proofErr w:type="spellEnd"/>
      <w:r w:rsidRPr="00731981">
        <w:rPr>
          <w:rFonts w:ascii="Calibri" w:cs="Calibri"/>
        </w:rPr>
        <w:t xml:space="preserve"> 127:425–427. https://doi.org/10.1007/s00402-006-0238-y</w:t>
      </w:r>
    </w:p>
    <w:p w14:paraId="536C9B2D" w14:textId="77777777" w:rsidR="00731981" w:rsidRPr="00731981" w:rsidRDefault="00731981" w:rsidP="00731981">
      <w:pPr>
        <w:pStyle w:val="Bibliography"/>
        <w:rPr>
          <w:rFonts w:ascii="Calibri" w:cs="Calibri"/>
        </w:rPr>
      </w:pPr>
      <w:r w:rsidRPr="00731981">
        <w:rPr>
          <w:rFonts w:ascii="Calibri" w:cs="Calibri"/>
        </w:rPr>
        <w:t xml:space="preserve">16. </w:t>
      </w:r>
      <w:r w:rsidRPr="00731981">
        <w:rPr>
          <w:rFonts w:ascii="Calibri" w:cs="Calibri"/>
        </w:rPr>
        <w:tab/>
        <w:t xml:space="preserve">Tsai YS, Cheng SM, Ng SP, et al (2007) Squeeze </w:t>
      </w:r>
      <w:proofErr w:type="spellStart"/>
      <w:r w:rsidRPr="00731981">
        <w:rPr>
          <w:rFonts w:ascii="Calibri" w:cs="Calibri"/>
        </w:rPr>
        <w:t>maneuver</w:t>
      </w:r>
      <w:proofErr w:type="spellEnd"/>
      <w:r w:rsidRPr="00731981">
        <w:rPr>
          <w:rFonts w:ascii="Calibri" w:cs="Calibri"/>
        </w:rPr>
        <w:t xml:space="preserve">: an easy way to manage radiological contrast-medium extravasation. Acta </w:t>
      </w:r>
      <w:proofErr w:type="spellStart"/>
      <w:r w:rsidRPr="00731981">
        <w:rPr>
          <w:rFonts w:ascii="Calibri" w:cs="Calibri"/>
        </w:rPr>
        <w:t>Radiol</w:t>
      </w:r>
      <w:proofErr w:type="spellEnd"/>
      <w:r w:rsidRPr="00731981">
        <w:rPr>
          <w:rFonts w:ascii="Calibri" w:cs="Calibri"/>
        </w:rPr>
        <w:t xml:space="preserve"> </w:t>
      </w:r>
      <w:proofErr w:type="spellStart"/>
      <w:r w:rsidRPr="00731981">
        <w:rPr>
          <w:rFonts w:ascii="Calibri" w:cs="Calibri"/>
        </w:rPr>
        <w:t>Stockh</w:t>
      </w:r>
      <w:proofErr w:type="spellEnd"/>
      <w:r w:rsidRPr="00731981">
        <w:rPr>
          <w:rFonts w:ascii="Calibri" w:cs="Calibri"/>
        </w:rPr>
        <w:t xml:space="preserve"> </w:t>
      </w:r>
      <w:proofErr w:type="spellStart"/>
      <w:r w:rsidRPr="00731981">
        <w:rPr>
          <w:rFonts w:ascii="Calibri" w:cs="Calibri"/>
        </w:rPr>
        <w:t>Swed</w:t>
      </w:r>
      <w:proofErr w:type="spellEnd"/>
      <w:r w:rsidRPr="00731981">
        <w:rPr>
          <w:rFonts w:ascii="Calibri" w:cs="Calibri"/>
        </w:rPr>
        <w:t xml:space="preserve"> 1987 48:605–607. https://doi.org/10.1080/02841850701324094</w:t>
      </w:r>
    </w:p>
    <w:p w14:paraId="0889DE0D" w14:textId="77777777" w:rsidR="00731981" w:rsidRPr="00731981" w:rsidRDefault="00731981" w:rsidP="00731981">
      <w:pPr>
        <w:pStyle w:val="Bibliography"/>
        <w:rPr>
          <w:rFonts w:ascii="Calibri" w:cs="Calibri"/>
        </w:rPr>
      </w:pPr>
      <w:r w:rsidRPr="00731981">
        <w:rPr>
          <w:rFonts w:ascii="Calibri" w:cs="Calibri"/>
        </w:rPr>
        <w:lastRenderedPageBreak/>
        <w:t xml:space="preserve">17. </w:t>
      </w:r>
      <w:r w:rsidRPr="00731981">
        <w:rPr>
          <w:rFonts w:ascii="Calibri" w:cs="Calibri"/>
        </w:rPr>
        <w:tab/>
        <w:t xml:space="preserve">Fallscheer P, </w:t>
      </w:r>
      <w:proofErr w:type="spellStart"/>
      <w:r w:rsidRPr="00731981">
        <w:rPr>
          <w:rFonts w:ascii="Calibri" w:cs="Calibri"/>
        </w:rPr>
        <w:t>Kammer</w:t>
      </w:r>
      <w:proofErr w:type="spellEnd"/>
      <w:r w:rsidRPr="00731981">
        <w:rPr>
          <w:rFonts w:ascii="Calibri" w:cs="Calibri"/>
        </w:rPr>
        <w:t xml:space="preserve"> E, </w:t>
      </w:r>
      <w:proofErr w:type="spellStart"/>
      <w:r w:rsidRPr="00731981">
        <w:rPr>
          <w:rFonts w:ascii="Calibri" w:cs="Calibri"/>
        </w:rPr>
        <w:t>Roeren</w:t>
      </w:r>
      <w:proofErr w:type="spellEnd"/>
      <w:r w:rsidRPr="00731981">
        <w:rPr>
          <w:rFonts w:ascii="Calibri" w:cs="Calibri"/>
        </w:rPr>
        <w:t xml:space="preserve"> T, </w:t>
      </w:r>
      <w:proofErr w:type="spellStart"/>
      <w:r w:rsidRPr="00731981">
        <w:rPr>
          <w:rFonts w:ascii="Calibri" w:cs="Calibri"/>
        </w:rPr>
        <w:t>Meuli-Simmen</w:t>
      </w:r>
      <w:proofErr w:type="spellEnd"/>
      <w:r w:rsidRPr="00731981">
        <w:rPr>
          <w:rFonts w:ascii="Calibri" w:cs="Calibri"/>
        </w:rPr>
        <w:t xml:space="preserve"> C (2007) Injury to the upper extremity caused by extravasation of contrast medium: a true emergency. </w:t>
      </w:r>
      <w:proofErr w:type="spellStart"/>
      <w:r w:rsidRPr="00731981">
        <w:rPr>
          <w:rFonts w:ascii="Calibri" w:cs="Calibri"/>
        </w:rPr>
        <w:t>Scand</w:t>
      </w:r>
      <w:proofErr w:type="spellEnd"/>
      <w:r w:rsidRPr="00731981">
        <w:rPr>
          <w:rFonts w:ascii="Calibri" w:cs="Calibri"/>
        </w:rPr>
        <w:t xml:space="preserve"> J </w:t>
      </w:r>
      <w:proofErr w:type="spellStart"/>
      <w:r w:rsidRPr="00731981">
        <w:rPr>
          <w:rFonts w:ascii="Calibri" w:cs="Calibri"/>
        </w:rPr>
        <w:t>Plast</w:t>
      </w:r>
      <w:proofErr w:type="spellEnd"/>
      <w:r w:rsidRPr="00731981">
        <w:rPr>
          <w:rFonts w:ascii="Calibri" w:cs="Calibri"/>
        </w:rPr>
        <w:t xml:space="preserve"> </w:t>
      </w:r>
      <w:proofErr w:type="spellStart"/>
      <w:r w:rsidRPr="00731981">
        <w:rPr>
          <w:rFonts w:ascii="Calibri" w:cs="Calibri"/>
        </w:rPr>
        <w:t>Reconstr</w:t>
      </w:r>
      <w:proofErr w:type="spellEnd"/>
      <w:r w:rsidRPr="00731981">
        <w:rPr>
          <w:rFonts w:ascii="Calibri" w:cs="Calibri"/>
        </w:rPr>
        <w:t xml:space="preserve"> </w:t>
      </w:r>
      <w:proofErr w:type="spellStart"/>
      <w:r w:rsidRPr="00731981">
        <w:rPr>
          <w:rFonts w:ascii="Calibri" w:cs="Calibri"/>
        </w:rPr>
        <w:t>Surg</w:t>
      </w:r>
      <w:proofErr w:type="spellEnd"/>
      <w:r w:rsidRPr="00731981">
        <w:rPr>
          <w:rFonts w:ascii="Calibri" w:cs="Calibri"/>
        </w:rPr>
        <w:t xml:space="preserve"> Hand </w:t>
      </w:r>
      <w:proofErr w:type="spellStart"/>
      <w:r w:rsidRPr="00731981">
        <w:rPr>
          <w:rFonts w:ascii="Calibri" w:cs="Calibri"/>
        </w:rPr>
        <w:t>Surg</w:t>
      </w:r>
      <w:proofErr w:type="spellEnd"/>
      <w:r w:rsidRPr="00731981">
        <w:rPr>
          <w:rFonts w:ascii="Calibri" w:cs="Calibri"/>
        </w:rPr>
        <w:t xml:space="preserve"> 41:26–32</w:t>
      </w:r>
    </w:p>
    <w:p w14:paraId="2C183DE3" w14:textId="77777777" w:rsidR="00731981" w:rsidRPr="00731981" w:rsidRDefault="00731981" w:rsidP="00731981">
      <w:pPr>
        <w:pStyle w:val="Bibliography"/>
        <w:rPr>
          <w:rFonts w:ascii="Calibri" w:cs="Calibri"/>
        </w:rPr>
      </w:pPr>
      <w:r w:rsidRPr="00731981">
        <w:rPr>
          <w:rFonts w:ascii="Calibri" w:cs="Calibri"/>
        </w:rPr>
        <w:t xml:space="preserve">18. </w:t>
      </w:r>
      <w:r w:rsidRPr="00731981">
        <w:rPr>
          <w:rFonts w:ascii="Calibri" w:cs="Calibri"/>
        </w:rPr>
        <w:tab/>
        <w:t xml:space="preserve">Wang CL, Cohan RH, Ellis JH, et al (2007) Frequency, management, and outcome of extravasation of </w:t>
      </w:r>
      <w:proofErr w:type="spellStart"/>
      <w:r w:rsidRPr="00731981">
        <w:rPr>
          <w:rFonts w:ascii="Calibri" w:cs="Calibri"/>
        </w:rPr>
        <w:t>nonionic</w:t>
      </w:r>
      <w:proofErr w:type="spellEnd"/>
      <w:r w:rsidRPr="00731981">
        <w:rPr>
          <w:rFonts w:ascii="Calibri" w:cs="Calibri"/>
        </w:rPr>
        <w:t xml:space="preserve"> iodinated contrast medium in 69,657 intravenous injections. Radiology 243:80–87. https://doi.org/10.1148/radiol.2431060554</w:t>
      </w:r>
    </w:p>
    <w:p w14:paraId="390B0AE7" w14:textId="77777777" w:rsidR="00731981" w:rsidRPr="00731981" w:rsidRDefault="00731981" w:rsidP="00731981">
      <w:pPr>
        <w:pStyle w:val="Bibliography"/>
        <w:rPr>
          <w:rFonts w:ascii="Calibri" w:cs="Calibri"/>
        </w:rPr>
      </w:pPr>
      <w:r w:rsidRPr="00731981">
        <w:rPr>
          <w:rFonts w:ascii="Calibri" w:cs="Calibri"/>
        </w:rPr>
        <w:t xml:space="preserve">19. </w:t>
      </w:r>
      <w:r w:rsidRPr="00731981">
        <w:rPr>
          <w:rFonts w:ascii="Calibri" w:cs="Calibri"/>
        </w:rPr>
        <w:tab/>
      </w:r>
      <w:proofErr w:type="spellStart"/>
      <w:r w:rsidRPr="00731981">
        <w:rPr>
          <w:rFonts w:ascii="Calibri" w:cs="Calibri"/>
        </w:rPr>
        <w:t>Schaverien</w:t>
      </w:r>
      <w:proofErr w:type="spellEnd"/>
      <w:r w:rsidRPr="00731981">
        <w:rPr>
          <w:rFonts w:ascii="Calibri" w:cs="Calibri"/>
        </w:rPr>
        <w:t xml:space="preserve"> MV, </w:t>
      </w:r>
      <w:proofErr w:type="spellStart"/>
      <w:r w:rsidRPr="00731981">
        <w:rPr>
          <w:rFonts w:ascii="Calibri" w:cs="Calibri"/>
        </w:rPr>
        <w:t>Evison</w:t>
      </w:r>
      <w:proofErr w:type="spellEnd"/>
      <w:r w:rsidRPr="00731981">
        <w:rPr>
          <w:rFonts w:ascii="Calibri" w:cs="Calibri"/>
        </w:rPr>
        <w:t xml:space="preserve"> D, McCulley SJ (2008) Management of large volume CT contrast medium extravasation injury: technical refinement and literature review. J </w:t>
      </w:r>
      <w:proofErr w:type="spellStart"/>
      <w:r w:rsidRPr="00731981">
        <w:rPr>
          <w:rFonts w:ascii="Calibri" w:cs="Calibri"/>
        </w:rPr>
        <w:t>Plast</w:t>
      </w:r>
      <w:proofErr w:type="spellEnd"/>
      <w:r w:rsidRPr="00731981">
        <w:rPr>
          <w:rFonts w:ascii="Calibri" w:cs="Calibri"/>
        </w:rPr>
        <w:t xml:space="preserve"> </w:t>
      </w:r>
      <w:proofErr w:type="spellStart"/>
      <w:r w:rsidRPr="00731981">
        <w:rPr>
          <w:rFonts w:ascii="Calibri" w:cs="Calibri"/>
        </w:rPr>
        <w:t>Reconstr</w:t>
      </w:r>
      <w:proofErr w:type="spellEnd"/>
      <w:r w:rsidRPr="00731981">
        <w:rPr>
          <w:rFonts w:ascii="Calibri" w:cs="Calibri"/>
        </w:rPr>
        <w:t xml:space="preserve"> Aesthetic </w:t>
      </w:r>
      <w:proofErr w:type="spellStart"/>
      <w:r w:rsidRPr="00731981">
        <w:rPr>
          <w:rFonts w:ascii="Calibri" w:cs="Calibri"/>
        </w:rPr>
        <w:t>Surg</w:t>
      </w:r>
      <w:proofErr w:type="spellEnd"/>
      <w:r w:rsidRPr="00731981">
        <w:rPr>
          <w:rFonts w:ascii="Calibri" w:cs="Calibri"/>
        </w:rPr>
        <w:t xml:space="preserve"> JPRAS 61:562–565; discussion 565. https://doi.org/10.1016/j.bjps.2007.02.024</w:t>
      </w:r>
    </w:p>
    <w:p w14:paraId="77AE06CC" w14:textId="77777777" w:rsidR="00731981" w:rsidRPr="00731981" w:rsidRDefault="00731981" w:rsidP="00731981">
      <w:pPr>
        <w:pStyle w:val="Bibliography"/>
        <w:rPr>
          <w:rFonts w:ascii="Calibri" w:cs="Calibri"/>
        </w:rPr>
      </w:pPr>
      <w:r w:rsidRPr="00731981">
        <w:rPr>
          <w:rFonts w:ascii="Calibri" w:cs="Calibri"/>
        </w:rPr>
        <w:t xml:space="preserve">20. </w:t>
      </w:r>
      <w:r w:rsidRPr="00731981">
        <w:rPr>
          <w:rFonts w:ascii="Calibri" w:cs="Calibri"/>
        </w:rPr>
        <w:tab/>
        <w:t xml:space="preserve">Schwab SA, </w:t>
      </w:r>
      <w:proofErr w:type="spellStart"/>
      <w:r w:rsidRPr="00731981">
        <w:rPr>
          <w:rFonts w:ascii="Calibri" w:cs="Calibri"/>
        </w:rPr>
        <w:t>Uder</w:t>
      </w:r>
      <w:proofErr w:type="spellEnd"/>
      <w:r w:rsidRPr="00731981">
        <w:rPr>
          <w:rFonts w:ascii="Calibri" w:cs="Calibri"/>
        </w:rPr>
        <w:t xml:space="preserve"> M, Anders K, et al (2009) Peripheral intravenous power injection of iodinated contrast media through 22G and 20G cannulas: can high flow rates be achieved safely? A clinical feasibility </w:t>
      </w:r>
      <w:proofErr w:type="gramStart"/>
      <w:r w:rsidRPr="00731981">
        <w:rPr>
          <w:rFonts w:ascii="Calibri" w:cs="Calibri"/>
        </w:rPr>
        <w:t>study</w:t>
      </w:r>
      <w:proofErr w:type="gramEnd"/>
      <w:r w:rsidRPr="00731981">
        <w:rPr>
          <w:rFonts w:ascii="Calibri" w:cs="Calibri"/>
        </w:rPr>
        <w:t xml:space="preserve">. ROFO </w:t>
      </w:r>
      <w:proofErr w:type="spellStart"/>
      <w:r w:rsidRPr="00731981">
        <w:rPr>
          <w:rFonts w:ascii="Calibri" w:cs="Calibri"/>
        </w:rPr>
        <w:t>Fortschr</w:t>
      </w:r>
      <w:proofErr w:type="spellEnd"/>
      <w:r w:rsidRPr="00731981">
        <w:rPr>
          <w:rFonts w:ascii="Calibri" w:cs="Calibri"/>
        </w:rPr>
        <w:t xml:space="preserve"> Geb </w:t>
      </w:r>
      <w:proofErr w:type="spellStart"/>
      <w:r w:rsidRPr="00731981">
        <w:rPr>
          <w:rFonts w:ascii="Calibri" w:cs="Calibri"/>
        </w:rPr>
        <w:t>Rontgenstr</w:t>
      </w:r>
      <w:proofErr w:type="spellEnd"/>
      <w:r w:rsidRPr="00731981">
        <w:rPr>
          <w:rFonts w:ascii="Calibri" w:cs="Calibri"/>
        </w:rPr>
        <w:t xml:space="preserve"> </w:t>
      </w:r>
      <w:proofErr w:type="spellStart"/>
      <w:r w:rsidRPr="00731981">
        <w:rPr>
          <w:rFonts w:ascii="Calibri" w:cs="Calibri"/>
        </w:rPr>
        <w:t>Nuklearmed</w:t>
      </w:r>
      <w:proofErr w:type="spellEnd"/>
      <w:r w:rsidRPr="00731981">
        <w:rPr>
          <w:rFonts w:ascii="Calibri" w:cs="Calibri"/>
        </w:rPr>
        <w:t xml:space="preserve"> 181:355–361. https://doi.org/10.1055/s-0028-1109181</w:t>
      </w:r>
    </w:p>
    <w:p w14:paraId="6A47B9DE" w14:textId="77777777" w:rsidR="00731981" w:rsidRPr="00731981" w:rsidRDefault="00731981" w:rsidP="00731981">
      <w:pPr>
        <w:pStyle w:val="Bibliography"/>
        <w:rPr>
          <w:rFonts w:ascii="Calibri" w:cs="Calibri"/>
        </w:rPr>
      </w:pPr>
      <w:r w:rsidRPr="00731981">
        <w:rPr>
          <w:rFonts w:ascii="Calibri" w:cs="Calibri"/>
        </w:rPr>
        <w:t xml:space="preserve">21. </w:t>
      </w:r>
      <w:r w:rsidRPr="00731981">
        <w:rPr>
          <w:rFonts w:ascii="Calibri" w:cs="Calibri"/>
        </w:rPr>
        <w:tab/>
        <w:t xml:space="preserve">Sbitany H, </w:t>
      </w:r>
      <w:proofErr w:type="spellStart"/>
      <w:r w:rsidRPr="00731981">
        <w:rPr>
          <w:rFonts w:ascii="Calibri" w:cs="Calibri"/>
        </w:rPr>
        <w:t>Koltz</w:t>
      </w:r>
      <w:proofErr w:type="spellEnd"/>
      <w:r w:rsidRPr="00731981">
        <w:rPr>
          <w:rFonts w:ascii="Calibri" w:cs="Calibri"/>
        </w:rPr>
        <w:t xml:space="preserve"> PF, Mays C, et al (2010) CT contrast extravasation in the upper extremity: strategies for management. Int J </w:t>
      </w:r>
      <w:proofErr w:type="spellStart"/>
      <w:r w:rsidRPr="00731981">
        <w:rPr>
          <w:rFonts w:ascii="Calibri" w:cs="Calibri"/>
        </w:rPr>
        <w:t>Surg</w:t>
      </w:r>
      <w:proofErr w:type="spellEnd"/>
      <w:r w:rsidRPr="00731981">
        <w:rPr>
          <w:rFonts w:ascii="Calibri" w:cs="Calibri"/>
        </w:rPr>
        <w:t xml:space="preserve"> </w:t>
      </w:r>
      <w:proofErr w:type="spellStart"/>
      <w:r w:rsidRPr="00731981">
        <w:rPr>
          <w:rFonts w:ascii="Calibri" w:cs="Calibri"/>
        </w:rPr>
        <w:t>Lond</w:t>
      </w:r>
      <w:proofErr w:type="spellEnd"/>
      <w:r w:rsidRPr="00731981">
        <w:rPr>
          <w:rFonts w:ascii="Calibri" w:cs="Calibri"/>
        </w:rPr>
        <w:t xml:space="preserve"> </w:t>
      </w:r>
      <w:proofErr w:type="spellStart"/>
      <w:r w:rsidRPr="00731981">
        <w:rPr>
          <w:rFonts w:ascii="Calibri" w:cs="Calibri"/>
        </w:rPr>
        <w:t>Engl</w:t>
      </w:r>
      <w:proofErr w:type="spellEnd"/>
      <w:r w:rsidRPr="00731981">
        <w:rPr>
          <w:rFonts w:ascii="Calibri" w:cs="Calibri"/>
        </w:rPr>
        <w:t xml:space="preserve"> 8:384–386. https://doi.org/10.1016/j.ijsu.2010.06.002</w:t>
      </w:r>
    </w:p>
    <w:p w14:paraId="5CB259EE" w14:textId="77777777" w:rsidR="00731981" w:rsidRPr="00731981" w:rsidRDefault="00731981" w:rsidP="00731981">
      <w:pPr>
        <w:pStyle w:val="Bibliography"/>
        <w:rPr>
          <w:rFonts w:ascii="Calibri" w:cs="Calibri"/>
        </w:rPr>
      </w:pPr>
      <w:r w:rsidRPr="00731981">
        <w:rPr>
          <w:rFonts w:ascii="Calibri" w:cs="Calibri"/>
        </w:rPr>
        <w:t xml:space="preserve">22. </w:t>
      </w:r>
      <w:r w:rsidRPr="00731981">
        <w:rPr>
          <w:rFonts w:ascii="Calibri" w:cs="Calibri"/>
        </w:rPr>
        <w:tab/>
      </w:r>
      <w:proofErr w:type="spellStart"/>
      <w:r w:rsidRPr="00731981">
        <w:rPr>
          <w:rFonts w:ascii="Calibri" w:cs="Calibri"/>
        </w:rPr>
        <w:t>Schummer</w:t>
      </w:r>
      <w:proofErr w:type="spellEnd"/>
      <w:r w:rsidRPr="00731981">
        <w:rPr>
          <w:rFonts w:ascii="Calibri" w:cs="Calibri"/>
        </w:rPr>
        <w:t xml:space="preserve"> C, </w:t>
      </w:r>
      <w:proofErr w:type="spellStart"/>
      <w:r w:rsidRPr="00731981">
        <w:rPr>
          <w:rFonts w:ascii="Calibri" w:cs="Calibri"/>
        </w:rPr>
        <w:t>Sakr</w:t>
      </w:r>
      <w:proofErr w:type="spellEnd"/>
      <w:r w:rsidRPr="00731981">
        <w:rPr>
          <w:rFonts w:ascii="Calibri" w:cs="Calibri"/>
        </w:rPr>
        <w:t xml:space="preserve"> Y, </w:t>
      </w:r>
      <w:proofErr w:type="spellStart"/>
      <w:r w:rsidRPr="00731981">
        <w:rPr>
          <w:rFonts w:ascii="Calibri" w:cs="Calibri"/>
        </w:rPr>
        <w:t>Steenbeck</w:t>
      </w:r>
      <w:proofErr w:type="spellEnd"/>
      <w:r w:rsidRPr="00731981">
        <w:rPr>
          <w:rFonts w:ascii="Calibri" w:cs="Calibri"/>
        </w:rPr>
        <w:t xml:space="preserve"> J, et al (2010) Risk of extravasation after power injection of contrast media via the proximal port of </w:t>
      </w:r>
      <w:proofErr w:type="spellStart"/>
      <w:r w:rsidRPr="00731981">
        <w:rPr>
          <w:rFonts w:ascii="Calibri" w:cs="Calibri"/>
        </w:rPr>
        <w:t>multilumen</w:t>
      </w:r>
      <w:proofErr w:type="spellEnd"/>
      <w:r w:rsidRPr="00731981">
        <w:rPr>
          <w:rFonts w:ascii="Calibri" w:cs="Calibri"/>
        </w:rPr>
        <w:t xml:space="preserve"> central venous catheters: case report and review of the literature. ROFO </w:t>
      </w:r>
      <w:proofErr w:type="spellStart"/>
      <w:r w:rsidRPr="00731981">
        <w:rPr>
          <w:rFonts w:ascii="Calibri" w:cs="Calibri"/>
        </w:rPr>
        <w:t>Fortschr</w:t>
      </w:r>
      <w:proofErr w:type="spellEnd"/>
      <w:r w:rsidRPr="00731981">
        <w:rPr>
          <w:rFonts w:ascii="Calibri" w:cs="Calibri"/>
        </w:rPr>
        <w:t xml:space="preserve"> Geb </w:t>
      </w:r>
      <w:proofErr w:type="spellStart"/>
      <w:r w:rsidRPr="00731981">
        <w:rPr>
          <w:rFonts w:ascii="Calibri" w:cs="Calibri"/>
        </w:rPr>
        <w:t>Rontgenstr</w:t>
      </w:r>
      <w:proofErr w:type="spellEnd"/>
      <w:r w:rsidRPr="00731981">
        <w:rPr>
          <w:rFonts w:ascii="Calibri" w:cs="Calibri"/>
        </w:rPr>
        <w:t xml:space="preserve"> </w:t>
      </w:r>
      <w:proofErr w:type="spellStart"/>
      <w:r w:rsidRPr="00731981">
        <w:rPr>
          <w:rFonts w:ascii="Calibri" w:cs="Calibri"/>
        </w:rPr>
        <w:t>Nuklearmed</w:t>
      </w:r>
      <w:proofErr w:type="spellEnd"/>
      <w:r w:rsidRPr="00731981">
        <w:rPr>
          <w:rFonts w:ascii="Calibri" w:cs="Calibri"/>
        </w:rPr>
        <w:t xml:space="preserve"> 182:14–19. https://doi.org/10.1055/s-0028-1109742</w:t>
      </w:r>
    </w:p>
    <w:p w14:paraId="4130E8F6" w14:textId="77777777" w:rsidR="00731981" w:rsidRPr="00731981" w:rsidRDefault="00731981" w:rsidP="00731981">
      <w:pPr>
        <w:pStyle w:val="Bibliography"/>
        <w:rPr>
          <w:rFonts w:ascii="Calibri" w:cs="Calibri"/>
        </w:rPr>
      </w:pPr>
      <w:r w:rsidRPr="00731981">
        <w:rPr>
          <w:rFonts w:ascii="Calibri" w:cs="Calibri"/>
        </w:rPr>
        <w:t xml:space="preserve">23. </w:t>
      </w:r>
      <w:r w:rsidRPr="00731981">
        <w:rPr>
          <w:rFonts w:ascii="Calibri" w:cs="Calibri"/>
        </w:rPr>
        <w:tab/>
        <w:t xml:space="preserve">Wienbeck S, Fischbach R, </w:t>
      </w:r>
      <w:proofErr w:type="spellStart"/>
      <w:r w:rsidRPr="00731981">
        <w:rPr>
          <w:rFonts w:ascii="Calibri" w:cs="Calibri"/>
        </w:rPr>
        <w:t>Kloska</w:t>
      </w:r>
      <w:proofErr w:type="spellEnd"/>
      <w:r w:rsidRPr="00731981">
        <w:rPr>
          <w:rFonts w:ascii="Calibri" w:cs="Calibri"/>
        </w:rPr>
        <w:t xml:space="preserve"> SP, et al (2010) Prospective study of access site complications of automated contrast injection with peripheral venous access in MDCT. AJR Am J </w:t>
      </w:r>
      <w:proofErr w:type="spellStart"/>
      <w:r w:rsidRPr="00731981">
        <w:rPr>
          <w:rFonts w:ascii="Calibri" w:cs="Calibri"/>
        </w:rPr>
        <w:t>Roentgenol</w:t>
      </w:r>
      <w:proofErr w:type="spellEnd"/>
      <w:r w:rsidRPr="00731981">
        <w:rPr>
          <w:rFonts w:ascii="Calibri" w:cs="Calibri"/>
        </w:rPr>
        <w:t xml:space="preserve"> 195:825–829. https://doi.org/10.2214/AJR.09.3739</w:t>
      </w:r>
    </w:p>
    <w:p w14:paraId="0C65F59E" w14:textId="77777777" w:rsidR="00731981" w:rsidRPr="00731981" w:rsidRDefault="00731981" w:rsidP="00731981">
      <w:pPr>
        <w:pStyle w:val="Bibliography"/>
        <w:rPr>
          <w:rFonts w:ascii="Calibri" w:cs="Calibri"/>
        </w:rPr>
      </w:pPr>
      <w:r w:rsidRPr="00731981">
        <w:rPr>
          <w:rFonts w:ascii="Calibri" w:cs="Calibri"/>
        </w:rPr>
        <w:t xml:space="preserve">24. </w:t>
      </w:r>
      <w:r w:rsidRPr="00731981">
        <w:rPr>
          <w:rFonts w:ascii="Calibri" w:cs="Calibri"/>
        </w:rPr>
        <w:tab/>
      </w:r>
      <w:proofErr w:type="spellStart"/>
      <w:r w:rsidRPr="00731981">
        <w:rPr>
          <w:rFonts w:ascii="Calibri" w:cs="Calibri"/>
        </w:rPr>
        <w:t>Belzunegui</w:t>
      </w:r>
      <w:proofErr w:type="spellEnd"/>
      <w:r w:rsidRPr="00731981">
        <w:rPr>
          <w:rFonts w:ascii="Calibri" w:cs="Calibri"/>
        </w:rPr>
        <w:t xml:space="preserve"> T, Louis CJ, </w:t>
      </w:r>
      <w:proofErr w:type="spellStart"/>
      <w:r w:rsidRPr="00731981">
        <w:rPr>
          <w:rFonts w:ascii="Calibri" w:cs="Calibri"/>
        </w:rPr>
        <w:t>Torrededia</w:t>
      </w:r>
      <w:proofErr w:type="spellEnd"/>
      <w:r w:rsidRPr="00731981">
        <w:rPr>
          <w:rFonts w:ascii="Calibri" w:cs="Calibri"/>
        </w:rPr>
        <w:t xml:space="preserve"> L, </w:t>
      </w:r>
      <w:proofErr w:type="spellStart"/>
      <w:r w:rsidRPr="00731981">
        <w:rPr>
          <w:rFonts w:ascii="Calibri" w:cs="Calibri"/>
        </w:rPr>
        <w:t>Oteiza</w:t>
      </w:r>
      <w:proofErr w:type="spellEnd"/>
      <w:r w:rsidRPr="00731981">
        <w:rPr>
          <w:rFonts w:ascii="Calibri" w:cs="Calibri"/>
        </w:rPr>
        <w:t xml:space="preserve"> J (2011) Extravasation of radiographic contrast material and compartment syndrome in the hand: a case report. </w:t>
      </w:r>
      <w:proofErr w:type="spellStart"/>
      <w:r w:rsidRPr="00731981">
        <w:rPr>
          <w:rFonts w:ascii="Calibri" w:cs="Calibri"/>
        </w:rPr>
        <w:t>Scand</w:t>
      </w:r>
      <w:proofErr w:type="spellEnd"/>
      <w:r w:rsidRPr="00731981">
        <w:rPr>
          <w:rFonts w:ascii="Calibri" w:cs="Calibri"/>
        </w:rPr>
        <w:t xml:space="preserve"> J Trauma </w:t>
      </w:r>
      <w:proofErr w:type="spellStart"/>
      <w:r w:rsidRPr="00731981">
        <w:rPr>
          <w:rFonts w:ascii="Calibri" w:cs="Calibri"/>
        </w:rPr>
        <w:t>Resusc</w:t>
      </w:r>
      <w:proofErr w:type="spellEnd"/>
      <w:r w:rsidRPr="00731981">
        <w:rPr>
          <w:rFonts w:ascii="Calibri" w:cs="Calibri"/>
        </w:rPr>
        <w:t xml:space="preserve"> </w:t>
      </w:r>
      <w:proofErr w:type="spellStart"/>
      <w:r w:rsidRPr="00731981">
        <w:rPr>
          <w:rFonts w:ascii="Calibri" w:cs="Calibri"/>
        </w:rPr>
        <w:t>Emerg</w:t>
      </w:r>
      <w:proofErr w:type="spellEnd"/>
      <w:r w:rsidRPr="00731981">
        <w:rPr>
          <w:rFonts w:ascii="Calibri" w:cs="Calibri"/>
        </w:rPr>
        <w:t xml:space="preserve"> Med 19:9. https://doi.org/10.1186/1757-7241-19-9</w:t>
      </w:r>
    </w:p>
    <w:p w14:paraId="3E8C767B" w14:textId="77777777" w:rsidR="00731981" w:rsidRPr="00731981" w:rsidRDefault="00731981" w:rsidP="00731981">
      <w:pPr>
        <w:pStyle w:val="Bibliography"/>
        <w:rPr>
          <w:rFonts w:ascii="Calibri" w:cs="Calibri"/>
        </w:rPr>
      </w:pPr>
      <w:r w:rsidRPr="00731981">
        <w:rPr>
          <w:rFonts w:ascii="Calibri" w:cs="Calibri"/>
        </w:rPr>
        <w:t xml:space="preserve">25. </w:t>
      </w:r>
      <w:r w:rsidRPr="00731981">
        <w:rPr>
          <w:rFonts w:ascii="Calibri" w:cs="Calibri"/>
        </w:rPr>
        <w:tab/>
        <w:t xml:space="preserve">Wilson BG (2011) Contrast media-induced compartment syndrome. </w:t>
      </w:r>
      <w:proofErr w:type="spellStart"/>
      <w:r w:rsidRPr="00731981">
        <w:rPr>
          <w:rFonts w:ascii="Calibri" w:cs="Calibri"/>
        </w:rPr>
        <w:t>Radiol</w:t>
      </w:r>
      <w:proofErr w:type="spellEnd"/>
      <w:r w:rsidRPr="00731981">
        <w:rPr>
          <w:rFonts w:ascii="Calibri" w:cs="Calibri"/>
        </w:rPr>
        <w:t xml:space="preserve"> </w:t>
      </w:r>
      <w:proofErr w:type="spellStart"/>
      <w:r w:rsidRPr="00731981">
        <w:rPr>
          <w:rFonts w:ascii="Calibri" w:cs="Calibri"/>
        </w:rPr>
        <w:t>Technol</w:t>
      </w:r>
      <w:proofErr w:type="spellEnd"/>
      <w:r w:rsidRPr="00731981">
        <w:rPr>
          <w:rFonts w:ascii="Calibri" w:cs="Calibri"/>
        </w:rPr>
        <w:t xml:space="preserve"> 83:63–77</w:t>
      </w:r>
    </w:p>
    <w:p w14:paraId="2DAA1C7C" w14:textId="77777777" w:rsidR="00731981" w:rsidRPr="00731981" w:rsidRDefault="00731981" w:rsidP="00731981">
      <w:pPr>
        <w:pStyle w:val="Bibliography"/>
        <w:rPr>
          <w:rFonts w:ascii="Calibri" w:cs="Calibri"/>
        </w:rPr>
      </w:pPr>
      <w:r w:rsidRPr="00731981">
        <w:rPr>
          <w:rFonts w:ascii="Calibri" w:cs="Calibri"/>
        </w:rPr>
        <w:t xml:space="preserve">26. </w:t>
      </w:r>
      <w:r w:rsidRPr="00731981">
        <w:rPr>
          <w:rFonts w:ascii="Calibri" w:cs="Calibri"/>
        </w:rPr>
        <w:tab/>
        <w:t xml:space="preserve">Alexander MD, Morrison HL (2012) Power-injectable ports: safety during placement, therapeutic use, and contrast administration during computed tomography procedures. J </w:t>
      </w:r>
      <w:proofErr w:type="spellStart"/>
      <w:r w:rsidRPr="00731981">
        <w:rPr>
          <w:rFonts w:ascii="Calibri" w:cs="Calibri"/>
        </w:rPr>
        <w:t>Vasc</w:t>
      </w:r>
      <w:proofErr w:type="spellEnd"/>
      <w:r w:rsidRPr="00731981">
        <w:rPr>
          <w:rFonts w:ascii="Calibri" w:cs="Calibri"/>
        </w:rPr>
        <w:t xml:space="preserve"> Access 13:432–437. https://doi.org/10.5301/jva.5000074</w:t>
      </w:r>
    </w:p>
    <w:p w14:paraId="721385AE" w14:textId="77777777" w:rsidR="00731981" w:rsidRPr="00731981" w:rsidRDefault="00731981" w:rsidP="00731981">
      <w:pPr>
        <w:pStyle w:val="Bibliography"/>
        <w:rPr>
          <w:rFonts w:ascii="Calibri" w:cs="Calibri"/>
        </w:rPr>
      </w:pPr>
      <w:r w:rsidRPr="00731981">
        <w:rPr>
          <w:rFonts w:ascii="Calibri" w:cs="Calibri"/>
        </w:rPr>
        <w:lastRenderedPageBreak/>
        <w:t xml:space="preserve">27. </w:t>
      </w:r>
      <w:r w:rsidRPr="00731981">
        <w:rPr>
          <w:rFonts w:ascii="Calibri" w:cs="Calibri"/>
        </w:rPr>
        <w:tab/>
        <w:t xml:space="preserve">Kingston RJ, Young N, </w:t>
      </w:r>
      <w:proofErr w:type="spellStart"/>
      <w:r w:rsidRPr="00731981">
        <w:rPr>
          <w:rFonts w:ascii="Calibri" w:cs="Calibri"/>
        </w:rPr>
        <w:t>Sindhusake</w:t>
      </w:r>
      <w:proofErr w:type="spellEnd"/>
      <w:r w:rsidRPr="00731981">
        <w:rPr>
          <w:rFonts w:ascii="Calibri" w:cs="Calibri"/>
        </w:rPr>
        <w:t xml:space="preserve"> DP, Truong M (2012) Study of patients with intravenous contrast extravasation on CT studies, with radiology staff and ward staff cannulations. J Med Imaging </w:t>
      </w:r>
      <w:proofErr w:type="spellStart"/>
      <w:r w:rsidRPr="00731981">
        <w:rPr>
          <w:rFonts w:ascii="Calibri" w:cs="Calibri"/>
        </w:rPr>
        <w:t>Radiat</w:t>
      </w:r>
      <w:proofErr w:type="spellEnd"/>
      <w:r w:rsidRPr="00731981">
        <w:rPr>
          <w:rFonts w:ascii="Calibri" w:cs="Calibri"/>
        </w:rPr>
        <w:t xml:space="preserve"> Oncol 56:163–167. https://doi.org/10.1111/j.1754-9485.2012.02355.x</w:t>
      </w:r>
    </w:p>
    <w:p w14:paraId="71FC4CBC" w14:textId="77777777" w:rsidR="00731981" w:rsidRPr="00731981" w:rsidRDefault="00731981" w:rsidP="00731981">
      <w:pPr>
        <w:pStyle w:val="Bibliography"/>
        <w:rPr>
          <w:rFonts w:ascii="Calibri" w:cs="Calibri"/>
        </w:rPr>
      </w:pPr>
      <w:r w:rsidRPr="00731981">
        <w:rPr>
          <w:rFonts w:ascii="Calibri" w:cs="Calibri"/>
        </w:rPr>
        <w:t xml:space="preserve">28. </w:t>
      </w:r>
      <w:r w:rsidRPr="00731981">
        <w:rPr>
          <w:rFonts w:ascii="Calibri" w:cs="Calibri"/>
        </w:rPr>
        <w:tab/>
        <w:t xml:space="preserve">Lambeth L, Goyal A, </w:t>
      </w:r>
      <w:proofErr w:type="spellStart"/>
      <w:r w:rsidRPr="00731981">
        <w:rPr>
          <w:rFonts w:ascii="Calibri" w:cs="Calibri"/>
        </w:rPr>
        <w:t>Tadros</w:t>
      </w:r>
      <w:proofErr w:type="spellEnd"/>
      <w:r w:rsidRPr="00731981">
        <w:rPr>
          <w:rFonts w:ascii="Calibri" w:cs="Calibri"/>
        </w:rPr>
        <w:t xml:space="preserve"> A, et al (2012) Peripherally inserted central catheter tip malposition caused by power contrast medium injection. J </w:t>
      </w:r>
      <w:proofErr w:type="spellStart"/>
      <w:r w:rsidRPr="00731981">
        <w:rPr>
          <w:rFonts w:ascii="Calibri" w:cs="Calibri"/>
        </w:rPr>
        <w:t>Vasc</w:t>
      </w:r>
      <w:proofErr w:type="spellEnd"/>
      <w:r w:rsidRPr="00731981">
        <w:rPr>
          <w:rFonts w:ascii="Calibri" w:cs="Calibri"/>
        </w:rPr>
        <w:t xml:space="preserve"> </w:t>
      </w:r>
      <w:proofErr w:type="spellStart"/>
      <w:r w:rsidRPr="00731981">
        <w:rPr>
          <w:rFonts w:ascii="Calibri" w:cs="Calibri"/>
        </w:rPr>
        <w:t>Interv</w:t>
      </w:r>
      <w:proofErr w:type="spellEnd"/>
      <w:r w:rsidRPr="00731981">
        <w:rPr>
          <w:rFonts w:ascii="Calibri" w:cs="Calibri"/>
        </w:rPr>
        <w:t xml:space="preserve"> </w:t>
      </w:r>
      <w:proofErr w:type="spellStart"/>
      <w:r w:rsidRPr="00731981">
        <w:rPr>
          <w:rFonts w:ascii="Calibri" w:cs="Calibri"/>
        </w:rPr>
        <w:t>Radiol</w:t>
      </w:r>
      <w:proofErr w:type="spellEnd"/>
      <w:r w:rsidRPr="00731981">
        <w:rPr>
          <w:rFonts w:ascii="Calibri" w:cs="Calibri"/>
        </w:rPr>
        <w:t xml:space="preserve"> JVIR 23:981–983. https://doi.org/10.1016/j.jvir.2012.04.024</w:t>
      </w:r>
    </w:p>
    <w:p w14:paraId="7718B11E" w14:textId="77777777" w:rsidR="00731981" w:rsidRPr="00731981" w:rsidRDefault="00731981" w:rsidP="00731981">
      <w:pPr>
        <w:pStyle w:val="Bibliography"/>
        <w:rPr>
          <w:rFonts w:ascii="Calibri" w:cs="Calibri"/>
        </w:rPr>
      </w:pPr>
      <w:r w:rsidRPr="00731981">
        <w:rPr>
          <w:rFonts w:ascii="Calibri" w:cs="Calibri"/>
        </w:rPr>
        <w:t xml:space="preserve">29. </w:t>
      </w:r>
      <w:r w:rsidRPr="00731981">
        <w:rPr>
          <w:rFonts w:ascii="Calibri" w:cs="Calibri"/>
        </w:rPr>
        <w:tab/>
        <w:t>Davenport MS, Wang CL, Bashir MR, et al (2012) Rate of Contrast Material Extravasations and Allergic-like Reactions: Effect of Extrinsic Warming of Low-Osmolality Iodinated CT Contrast Material to 37°C. Radiology 262:475–484. https://doi.org/10.1148/radiol.11111282</w:t>
      </w:r>
    </w:p>
    <w:p w14:paraId="094FD09A" w14:textId="77777777" w:rsidR="00731981" w:rsidRPr="00731981" w:rsidRDefault="00731981" w:rsidP="00731981">
      <w:pPr>
        <w:pStyle w:val="Bibliography"/>
        <w:rPr>
          <w:rFonts w:ascii="Calibri" w:cs="Calibri"/>
        </w:rPr>
      </w:pPr>
      <w:r w:rsidRPr="00731981">
        <w:rPr>
          <w:rFonts w:ascii="Calibri" w:cs="Calibri"/>
        </w:rPr>
        <w:t xml:space="preserve">30. </w:t>
      </w:r>
      <w:r w:rsidRPr="00731981">
        <w:rPr>
          <w:rFonts w:ascii="Calibri" w:cs="Calibri"/>
        </w:rPr>
        <w:tab/>
      </w:r>
      <w:proofErr w:type="spellStart"/>
      <w:r w:rsidRPr="00731981">
        <w:rPr>
          <w:rFonts w:ascii="Calibri" w:cs="Calibri"/>
        </w:rPr>
        <w:t>Tonolini</w:t>
      </w:r>
      <w:proofErr w:type="spellEnd"/>
      <w:r w:rsidRPr="00731981">
        <w:rPr>
          <w:rFonts w:ascii="Calibri" w:cs="Calibri"/>
        </w:rPr>
        <w:t xml:space="preserve"> M, Campari A, Bianco R (2012) Extravasation of radiographic contrast media: prevention, diagnosis, and treatment. </w:t>
      </w:r>
      <w:proofErr w:type="spellStart"/>
      <w:r w:rsidRPr="00731981">
        <w:rPr>
          <w:rFonts w:ascii="Calibri" w:cs="Calibri"/>
        </w:rPr>
        <w:t>Curr</w:t>
      </w:r>
      <w:proofErr w:type="spellEnd"/>
      <w:r w:rsidRPr="00731981">
        <w:rPr>
          <w:rFonts w:ascii="Calibri" w:cs="Calibri"/>
        </w:rPr>
        <w:t xml:space="preserve"> </w:t>
      </w:r>
      <w:proofErr w:type="spellStart"/>
      <w:r w:rsidRPr="00731981">
        <w:rPr>
          <w:rFonts w:ascii="Calibri" w:cs="Calibri"/>
        </w:rPr>
        <w:t>Probl</w:t>
      </w:r>
      <w:proofErr w:type="spellEnd"/>
      <w:r w:rsidRPr="00731981">
        <w:rPr>
          <w:rFonts w:ascii="Calibri" w:cs="Calibri"/>
        </w:rPr>
        <w:t xml:space="preserve"> Diagn </w:t>
      </w:r>
      <w:proofErr w:type="spellStart"/>
      <w:r w:rsidRPr="00731981">
        <w:rPr>
          <w:rFonts w:ascii="Calibri" w:cs="Calibri"/>
        </w:rPr>
        <w:t>Radiol</w:t>
      </w:r>
      <w:proofErr w:type="spellEnd"/>
      <w:r w:rsidRPr="00731981">
        <w:rPr>
          <w:rFonts w:ascii="Calibri" w:cs="Calibri"/>
        </w:rPr>
        <w:t xml:space="preserve"> 41:52–55. https://doi.org/10.1067/j.cpradiol.2011.07.004</w:t>
      </w:r>
    </w:p>
    <w:p w14:paraId="56024B6E" w14:textId="77777777" w:rsidR="00731981" w:rsidRPr="00731981" w:rsidRDefault="00731981" w:rsidP="00731981">
      <w:pPr>
        <w:pStyle w:val="Bibliography"/>
        <w:rPr>
          <w:rFonts w:ascii="Calibri" w:cs="Calibri"/>
        </w:rPr>
      </w:pPr>
      <w:r w:rsidRPr="00731981">
        <w:rPr>
          <w:rFonts w:ascii="Calibri" w:cs="Calibri"/>
        </w:rPr>
        <w:t xml:space="preserve">31. </w:t>
      </w:r>
      <w:r w:rsidRPr="00731981">
        <w:rPr>
          <w:rFonts w:ascii="Calibri" w:cs="Calibri"/>
        </w:rPr>
        <w:tab/>
        <w:t xml:space="preserve">Moreno CC, </w:t>
      </w:r>
      <w:proofErr w:type="spellStart"/>
      <w:r w:rsidRPr="00731981">
        <w:rPr>
          <w:rFonts w:ascii="Calibri" w:cs="Calibri"/>
        </w:rPr>
        <w:t>Pinho</w:t>
      </w:r>
      <w:proofErr w:type="spellEnd"/>
      <w:r w:rsidRPr="00731981">
        <w:rPr>
          <w:rFonts w:ascii="Calibri" w:cs="Calibri"/>
        </w:rPr>
        <w:t xml:space="preserve"> D, Nelson RC, et al (2013) Lessons learned from 118,970 multidetector computed tomographic intravenous contrast material administrations: impact of catheter dwell time and gauge, catheter location, rate of contrast material administration, and patient age and sex on volume of extravasate. J </w:t>
      </w:r>
      <w:proofErr w:type="spellStart"/>
      <w:r w:rsidRPr="00731981">
        <w:rPr>
          <w:rFonts w:ascii="Calibri" w:cs="Calibri"/>
        </w:rPr>
        <w:t>Comput</w:t>
      </w:r>
      <w:proofErr w:type="spellEnd"/>
      <w:r w:rsidRPr="00731981">
        <w:rPr>
          <w:rFonts w:ascii="Calibri" w:cs="Calibri"/>
        </w:rPr>
        <w:t xml:space="preserve"> Assist </w:t>
      </w:r>
      <w:proofErr w:type="spellStart"/>
      <w:r w:rsidRPr="00731981">
        <w:rPr>
          <w:rFonts w:ascii="Calibri" w:cs="Calibri"/>
        </w:rPr>
        <w:t>Tomogr</w:t>
      </w:r>
      <w:proofErr w:type="spellEnd"/>
      <w:r w:rsidRPr="00731981">
        <w:rPr>
          <w:rFonts w:ascii="Calibri" w:cs="Calibri"/>
        </w:rPr>
        <w:t xml:space="preserve"> 37:286–288. https://doi.org/10.1097/RCT.0b013e31828211da</w:t>
      </w:r>
    </w:p>
    <w:p w14:paraId="3114B099" w14:textId="77777777" w:rsidR="00731981" w:rsidRPr="00731981" w:rsidRDefault="00731981" w:rsidP="00731981">
      <w:pPr>
        <w:pStyle w:val="Bibliography"/>
        <w:rPr>
          <w:rFonts w:ascii="Calibri" w:cs="Calibri"/>
        </w:rPr>
      </w:pPr>
      <w:r w:rsidRPr="00731981">
        <w:rPr>
          <w:rFonts w:ascii="Calibri" w:cs="Calibri"/>
        </w:rPr>
        <w:t xml:space="preserve">32. </w:t>
      </w:r>
      <w:r w:rsidRPr="00731981">
        <w:rPr>
          <w:rFonts w:ascii="Calibri" w:cs="Calibri"/>
        </w:rPr>
        <w:tab/>
        <w:t xml:space="preserve">Johnson PT, Christensen GM, Fishman EK (2014) </w:t>
      </w:r>
      <w:proofErr w:type="spellStart"/>
      <w:r w:rsidRPr="00731981">
        <w:rPr>
          <w:rFonts w:ascii="Calibri" w:cs="Calibri"/>
        </w:rPr>
        <w:t>I.v.</w:t>
      </w:r>
      <w:proofErr w:type="spellEnd"/>
      <w:r w:rsidRPr="00731981">
        <w:rPr>
          <w:rFonts w:ascii="Calibri" w:cs="Calibri"/>
        </w:rPr>
        <w:t xml:space="preserve"> contrast administration with dual source 128-MDCT: a randomized controlled study comparing 18-gauge </w:t>
      </w:r>
      <w:proofErr w:type="spellStart"/>
      <w:r w:rsidRPr="00731981">
        <w:rPr>
          <w:rFonts w:ascii="Calibri" w:cs="Calibri"/>
        </w:rPr>
        <w:t>nonfenestrated</w:t>
      </w:r>
      <w:proofErr w:type="spellEnd"/>
      <w:r w:rsidRPr="00731981">
        <w:rPr>
          <w:rFonts w:ascii="Calibri" w:cs="Calibri"/>
        </w:rPr>
        <w:t xml:space="preserve"> and 20-gauge fenestrated catheters for catheter placement success, infusion rate, image quality, and complications. AJR Am J </w:t>
      </w:r>
      <w:proofErr w:type="spellStart"/>
      <w:r w:rsidRPr="00731981">
        <w:rPr>
          <w:rFonts w:ascii="Calibri" w:cs="Calibri"/>
        </w:rPr>
        <w:t>Roentgenol</w:t>
      </w:r>
      <w:proofErr w:type="spellEnd"/>
      <w:r w:rsidRPr="00731981">
        <w:rPr>
          <w:rFonts w:ascii="Calibri" w:cs="Calibri"/>
        </w:rPr>
        <w:t xml:space="preserve"> 202:1166–1170. https://doi.org/10.2214/AJR.13.11730</w:t>
      </w:r>
    </w:p>
    <w:p w14:paraId="01C7BE2B" w14:textId="77777777" w:rsidR="00731981" w:rsidRPr="00731981" w:rsidRDefault="00731981" w:rsidP="00731981">
      <w:pPr>
        <w:pStyle w:val="Bibliography"/>
        <w:rPr>
          <w:rFonts w:ascii="Calibri" w:cs="Calibri"/>
        </w:rPr>
      </w:pPr>
      <w:r w:rsidRPr="00731981">
        <w:rPr>
          <w:rFonts w:ascii="Calibri" w:cs="Calibri"/>
        </w:rPr>
        <w:t xml:space="preserve">33. </w:t>
      </w:r>
      <w:r w:rsidRPr="00731981">
        <w:rPr>
          <w:rFonts w:ascii="Calibri" w:cs="Calibri"/>
        </w:rPr>
        <w:tab/>
        <w:t xml:space="preserve">Niv G, Costa M, </w:t>
      </w:r>
      <w:proofErr w:type="spellStart"/>
      <w:r w:rsidRPr="00731981">
        <w:rPr>
          <w:rFonts w:ascii="Calibri" w:cs="Calibri"/>
        </w:rPr>
        <w:t>Kicak</w:t>
      </w:r>
      <w:proofErr w:type="spellEnd"/>
      <w:r w:rsidRPr="00731981">
        <w:rPr>
          <w:rFonts w:ascii="Calibri" w:cs="Calibri"/>
        </w:rPr>
        <w:t xml:space="preserve"> P, Richman K (2014) Vascular extravasation of contrast medium in radiological examinations: University of California San Diego Health System Experience. J Patient </w:t>
      </w:r>
      <w:proofErr w:type="spellStart"/>
      <w:r w:rsidRPr="00731981">
        <w:rPr>
          <w:rFonts w:ascii="Calibri" w:cs="Calibri"/>
        </w:rPr>
        <w:t>Saf</w:t>
      </w:r>
      <w:proofErr w:type="spellEnd"/>
      <w:r w:rsidRPr="00731981">
        <w:rPr>
          <w:rFonts w:ascii="Calibri" w:cs="Calibri"/>
        </w:rPr>
        <w:t xml:space="preserve"> 10:105–110. https://doi.org/10.1097/PTS.0000000000000114</w:t>
      </w:r>
    </w:p>
    <w:p w14:paraId="66D73044" w14:textId="77777777" w:rsidR="00731981" w:rsidRPr="00731981" w:rsidRDefault="00731981" w:rsidP="00731981">
      <w:pPr>
        <w:pStyle w:val="Bibliography"/>
        <w:rPr>
          <w:rFonts w:ascii="Calibri" w:cs="Calibri"/>
        </w:rPr>
      </w:pPr>
      <w:r w:rsidRPr="00731981">
        <w:rPr>
          <w:rFonts w:ascii="Calibri" w:cs="Calibri"/>
        </w:rPr>
        <w:t xml:space="preserve">34. </w:t>
      </w:r>
      <w:r w:rsidRPr="00731981">
        <w:rPr>
          <w:rFonts w:ascii="Calibri" w:cs="Calibri"/>
        </w:rPr>
        <w:tab/>
        <w:t xml:space="preserve">Pacheco </w:t>
      </w:r>
      <w:proofErr w:type="spellStart"/>
      <w:r w:rsidRPr="00731981">
        <w:rPr>
          <w:rFonts w:ascii="Calibri" w:cs="Calibri"/>
        </w:rPr>
        <w:t>Compaña</w:t>
      </w:r>
      <w:proofErr w:type="spellEnd"/>
      <w:r w:rsidRPr="00731981">
        <w:rPr>
          <w:rFonts w:ascii="Calibri" w:cs="Calibri"/>
        </w:rPr>
        <w:t xml:space="preserve"> FJ, Gago Vidal B, Méndez Díaz C (2014) [Extravasation of contrast media at the puncture site: Strategies for </w:t>
      </w:r>
      <w:proofErr w:type="spellStart"/>
      <w:r w:rsidRPr="00731981">
        <w:rPr>
          <w:rFonts w:ascii="Calibri" w:cs="Calibri"/>
        </w:rPr>
        <w:t>managment</w:t>
      </w:r>
      <w:proofErr w:type="spellEnd"/>
      <w:r w:rsidRPr="00731981">
        <w:rPr>
          <w:rFonts w:ascii="Calibri" w:cs="Calibri"/>
        </w:rPr>
        <w:t xml:space="preserve">]. </w:t>
      </w:r>
      <w:proofErr w:type="spellStart"/>
      <w:r w:rsidRPr="00731981">
        <w:rPr>
          <w:rFonts w:ascii="Calibri" w:cs="Calibri"/>
        </w:rPr>
        <w:t>Radiologia</w:t>
      </w:r>
      <w:proofErr w:type="spellEnd"/>
      <w:r w:rsidRPr="00731981">
        <w:rPr>
          <w:rFonts w:ascii="Calibri" w:cs="Calibri"/>
        </w:rPr>
        <w:t xml:space="preserve"> 56:295–302. https://doi.org/10.1016/j.rx.2014.02.003</w:t>
      </w:r>
    </w:p>
    <w:p w14:paraId="686386D5" w14:textId="77777777" w:rsidR="00731981" w:rsidRPr="00731981" w:rsidRDefault="00731981" w:rsidP="00731981">
      <w:pPr>
        <w:pStyle w:val="Bibliography"/>
        <w:rPr>
          <w:rFonts w:ascii="Calibri" w:cs="Calibri"/>
        </w:rPr>
      </w:pPr>
      <w:r w:rsidRPr="00731981">
        <w:rPr>
          <w:rFonts w:ascii="Calibri" w:cs="Calibri"/>
        </w:rPr>
        <w:t xml:space="preserve">35. </w:t>
      </w:r>
      <w:r w:rsidRPr="00731981">
        <w:rPr>
          <w:rFonts w:ascii="Calibri" w:cs="Calibri"/>
        </w:rPr>
        <w:tab/>
        <w:t xml:space="preserve">Shaqdan K, Aran S, Thrall J, </w:t>
      </w:r>
      <w:proofErr w:type="spellStart"/>
      <w:r w:rsidRPr="00731981">
        <w:rPr>
          <w:rFonts w:ascii="Calibri" w:cs="Calibri"/>
        </w:rPr>
        <w:t>Abujudeh</w:t>
      </w:r>
      <w:proofErr w:type="spellEnd"/>
      <w:r w:rsidRPr="00731981">
        <w:rPr>
          <w:rFonts w:ascii="Calibri" w:cs="Calibri"/>
        </w:rPr>
        <w:t xml:space="preserve"> H (2014) Incidence of contrast medium extravasation for CT and MRI in a large academic medical centre: a report on 502,391 injections. Clin </w:t>
      </w:r>
      <w:proofErr w:type="spellStart"/>
      <w:r w:rsidRPr="00731981">
        <w:rPr>
          <w:rFonts w:ascii="Calibri" w:cs="Calibri"/>
        </w:rPr>
        <w:t>Radiol</w:t>
      </w:r>
      <w:proofErr w:type="spellEnd"/>
      <w:r w:rsidRPr="00731981">
        <w:rPr>
          <w:rFonts w:ascii="Calibri" w:cs="Calibri"/>
        </w:rPr>
        <w:t xml:space="preserve"> 69:1264–1272. https://doi.org/10.1016/j.crad.2014.08.004</w:t>
      </w:r>
    </w:p>
    <w:p w14:paraId="4D3879F6" w14:textId="77777777" w:rsidR="00731981" w:rsidRPr="00731981" w:rsidRDefault="00731981" w:rsidP="00731981">
      <w:pPr>
        <w:pStyle w:val="Bibliography"/>
        <w:rPr>
          <w:rFonts w:ascii="Calibri" w:cs="Calibri"/>
        </w:rPr>
      </w:pPr>
      <w:r w:rsidRPr="00731981">
        <w:rPr>
          <w:rFonts w:ascii="Calibri" w:cs="Calibri"/>
        </w:rPr>
        <w:t xml:space="preserve">36. </w:t>
      </w:r>
      <w:r w:rsidRPr="00731981">
        <w:rPr>
          <w:rFonts w:ascii="Calibri" w:cs="Calibri"/>
        </w:rPr>
        <w:tab/>
        <w:t xml:space="preserve">Alami Z, </w:t>
      </w:r>
      <w:proofErr w:type="spellStart"/>
      <w:r w:rsidRPr="00731981">
        <w:rPr>
          <w:rFonts w:ascii="Calibri" w:cs="Calibri"/>
        </w:rPr>
        <w:t>Nasri</w:t>
      </w:r>
      <w:proofErr w:type="spellEnd"/>
      <w:r w:rsidRPr="00731981">
        <w:rPr>
          <w:rFonts w:ascii="Calibri" w:cs="Calibri"/>
        </w:rPr>
        <w:t xml:space="preserve"> S, </w:t>
      </w:r>
      <w:proofErr w:type="spellStart"/>
      <w:r w:rsidRPr="00731981">
        <w:rPr>
          <w:rFonts w:ascii="Calibri" w:cs="Calibri"/>
        </w:rPr>
        <w:t>Ahid</w:t>
      </w:r>
      <w:proofErr w:type="spellEnd"/>
      <w:r w:rsidRPr="00731981">
        <w:rPr>
          <w:rFonts w:ascii="Calibri" w:cs="Calibri"/>
        </w:rPr>
        <w:t xml:space="preserve"> S, </w:t>
      </w:r>
      <w:proofErr w:type="spellStart"/>
      <w:r w:rsidRPr="00731981">
        <w:rPr>
          <w:rFonts w:ascii="Calibri" w:cs="Calibri"/>
        </w:rPr>
        <w:t>Kacem</w:t>
      </w:r>
      <w:proofErr w:type="spellEnd"/>
      <w:r w:rsidRPr="00731981">
        <w:rPr>
          <w:rFonts w:ascii="Calibri" w:cs="Calibri"/>
        </w:rPr>
        <w:t xml:space="preserve"> HH (2015) Extravasation of contrast medium during CT examination: an observational case-control study. Pan </w:t>
      </w:r>
      <w:proofErr w:type="spellStart"/>
      <w:r w:rsidRPr="00731981">
        <w:rPr>
          <w:rFonts w:ascii="Calibri" w:cs="Calibri"/>
        </w:rPr>
        <w:t>Afr</w:t>
      </w:r>
      <w:proofErr w:type="spellEnd"/>
      <w:r w:rsidRPr="00731981">
        <w:rPr>
          <w:rFonts w:ascii="Calibri" w:cs="Calibri"/>
        </w:rPr>
        <w:t xml:space="preserve"> Med J </w:t>
      </w:r>
      <w:proofErr w:type="gramStart"/>
      <w:r w:rsidRPr="00731981">
        <w:rPr>
          <w:rFonts w:ascii="Calibri" w:cs="Calibri"/>
        </w:rPr>
        <w:t>20:.</w:t>
      </w:r>
      <w:proofErr w:type="gramEnd"/>
      <w:r w:rsidRPr="00731981">
        <w:rPr>
          <w:rFonts w:ascii="Calibri" w:cs="Calibri"/>
        </w:rPr>
        <w:t xml:space="preserve"> https://doi.org/10.11604/pamj.2015.20.89.3276</w:t>
      </w:r>
    </w:p>
    <w:p w14:paraId="0AABB161" w14:textId="77777777" w:rsidR="00731981" w:rsidRPr="00731981" w:rsidRDefault="00731981" w:rsidP="00731981">
      <w:pPr>
        <w:pStyle w:val="Bibliography"/>
        <w:rPr>
          <w:rFonts w:ascii="Calibri" w:cs="Calibri"/>
        </w:rPr>
      </w:pPr>
      <w:r w:rsidRPr="00731981">
        <w:rPr>
          <w:rFonts w:ascii="Calibri" w:cs="Calibri"/>
        </w:rPr>
        <w:lastRenderedPageBreak/>
        <w:t xml:space="preserve">37. </w:t>
      </w:r>
      <w:r w:rsidRPr="00731981">
        <w:rPr>
          <w:rFonts w:ascii="Calibri" w:cs="Calibri"/>
        </w:rPr>
        <w:tab/>
        <w:t xml:space="preserve">Beckett KR, </w:t>
      </w:r>
      <w:proofErr w:type="spellStart"/>
      <w:r w:rsidRPr="00731981">
        <w:rPr>
          <w:rFonts w:ascii="Calibri" w:cs="Calibri"/>
        </w:rPr>
        <w:t>Moriarity</w:t>
      </w:r>
      <w:proofErr w:type="spellEnd"/>
      <w:r w:rsidRPr="00731981">
        <w:rPr>
          <w:rFonts w:ascii="Calibri" w:cs="Calibri"/>
        </w:rPr>
        <w:t xml:space="preserve"> AK, Langer JM (2015) Safe Use of Contrast Media: What the Radiologist Needs to Know. </w:t>
      </w:r>
      <w:proofErr w:type="spellStart"/>
      <w:r w:rsidRPr="00731981">
        <w:rPr>
          <w:rFonts w:ascii="Calibri" w:cs="Calibri"/>
        </w:rPr>
        <w:t>Radiogr</w:t>
      </w:r>
      <w:proofErr w:type="spellEnd"/>
      <w:r w:rsidRPr="00731981">
        <w:rPr>
          <w:rFonts w:ascii="Calibri" w:cs="Calibri"/>
        </w:rPr>
        <w:t xml:space="preserve"> Rev </w:t>
      </w:r>
      <w:proofErr w:type="spellStart"/>
      <w:r w:rsidRPr="00731981">
        <w:rPr>
          <w:rFonts w:ascii="Calibri" w:cs="Calibri"/>
        </w:rPr>
        <w:t>Publ</w:t>
      </w:r>
      <w:proofErr w:type="spellEnd"/>
      <w:r w:rsidRPr="00731981">
        <w:rPr>
          <w:rFonts w:ascii="Calibri" w:cs="Calibri"/>
        </w:rPr>
        <w:t xml:space="preserve"> </w:t>
      </w:r>
      <w:proofErr w:type="spellStart"/>
      <w:r w:rsidRPr="00731981">
        <w:rPr>
          <w:rFonts w:ascii="Calibri" w:cs="Calibri"/>
        </w:rPr>
        <w:t>Radiol</w:t>
      </w:r>
      <w:proofErr w:type="spellEnd"/>
      <w:r w:rsidRPr="00731981">
        <w:rPr>
          <w:rFonts w:ascii="Calibri" w:cs="Calibri"/>
        </w:rPr>
        <w:t xml:space="preserve"> Soc N Am Inc 35:1738–1750. https://doi.org/10.1148/rg.2015150033</w:t>
      </w:r>
    </w:p>
    <w:p w14:paraId="77C09600" w14:textId="77777777" w:rsidR="00731981" w:rsidRPr="00731981" w:rsidRDefault="00731981" w:rsidP="00731981">
      <w:pPr>
        <w:pStyle w:val="Bibliography"/>
        <w:rPr>
          <w:rFonts w:ascii="Calibri" w:cs="Calibri"/>
        </w:rPr>
      </w:pPr>
      <w:r w:rsidRPr="00731981">
        <w:rPr>
          <w:rFonts w:ascii="Calibri" w:cs="Calibri"/>
        </w:rPr>
        <w:t xml:space="preserve">38. </w:t>
      </w:r>
      <w:r w:rsidRPr="00731981">
        <w:rPr>
          <w:rFonts w:ascii="Calibri" w:cs="Calibri"/>
        </w:rPr>
        <w:tab/>
        <w:t xml:space="preserve">Dykes TM, </w:t>
      </w:r>
      <w:proofErr w:type="spellStart"/>
      <w:r w:rsidRPr="00731981">
        <w:rPr>
          <w:rFonts w:ascii="Calibri" w:cs="Calibri"/>
        </w:rPr>
        <w:t>Bhargavan</w:t>
      </w:r>
      <w:proofErr w:type="spellEnd"/>
      <w:r w:rsidRPr="00731981">
        <w:rPr>
          <w:rFonts w:ascii="Calibri" w:cs="Calibri"/>
        </w:rPr>
        <w:t xml:space="preserve">-Chatfield M, Dyer RB (2015) Intravenous contrast extravasation during CT: a national data registry and practice quality improvement initiative. J Am Coll </w:t>
      </w:r>
      <w:proofErr w:type="spellStart"/>
      <w:r w:rsidRPr="00731981">
        <w:rPr>
          <w:rFonts w:ascii="Calibri" w:cs="Calibri"/>
        </w:rPr>
        <w:t>Radiol</w:t>
      </w:r>
      <w:proofErr w:type="spellEnd"/>
      <w:r w:rsidRPr="00731981">
        <w:rPr>
          <w:rFonts w:ascii="Calibri" w:cs="Calibri"/>
        </w:rPr>
        <w:t xml:space="preserve"> JACR 12:183–191. https://doi.org/10.1016/j.jacr.2014.07.021</w:t>
      </w:r>
    </w:p>
    <w:p w14:paraId="32476DF2" w14:textId="77777777" w:rsidR="00731981" w:rsidRPr="00731981" w:rsidRDefault="00731981" w:rsidP="00731981">
      <w:pPr>
        <w:pStyle w:val="Bibliography"/>
        <w:rPr>
          <w:rFonts w:ascii="Calibri" w:cs="Calibri"/>
        </w:rPr>
      </w:pPr>
      <w:r w:rsidRPr="00731981">
        <w:rPr>
          <w:rFonts w:ascii="Calibri" w:cs="Calibri"/>
        </w:rPr>
        <w:t xml:space="preserve">39. </w:t>
      </w:r>
      <w:r w:rsidRPr="00731981">
        <w:rPr>
          <w:rFonts w:ascii="Calibri" w:cs="Calibri"/>
        </w:rPr>
        <w:tab/>
        <w:t>Rose TA, Choi JW (2015) Intravenous Imaging Contrast Media Complications: The Basics That Every Clinician Needs to Know. Am J Med 128:943–949. https://doi.org/10.1016/j.amjmed.2015.02.018</w:t>
      </w:r>
    </w:p>
    <w:p w14:paraId="79519EC6" w14:textId="77777777" w:rsidR="00731981" w:rsidRPr="00731981" w:rsidRDefault="00731981" w:rsidP="00731981">
      <w:pPr>
        <w:pStyle w:val="Bibliography"/>
        <w:rPr>
          <w:rFonts w:ascii="Calibri" w:cs="Calibri"/>
        </w:rPr>
      </w:pPr>
      <w:r w:rsidRPr="00731981">
        <w:rPr>
          <w:rFonts w:ascii="Calibri" w:cs="Calibri"/>
        </w:rPr>
        <w:t xml:space="preserve">40. </w:t>
      </w:r>
      <w:r w:rsidRPr="00731981">
        <w:rPr>
          <w:rFonts w:ascii="Calibri" w:cs="Calibri"/>
        </w:rPr>
        <w:tab/>
        <w:t xml:space="preserve">Nicola R, Shaqdan KW, Aran S, et al (2016) Contrast Media Extravasation of Computed Tomography and Magnetic Resonance Imaging: Management Guidelines for the Radiologist. </w:t>
      </w:r>
      <w:proofErr w:type="spellStart"/>
      <w:r w:rsidRPr="00731981">
        <w:rPr>
          <w:rFonts w:ascii="Calibri" w:cs="Calibri"/>
        </w:rPr>
        <w:t>Curr</w:t>
      </w:r>
      <w:proofErr w:type="spellEnd"/>
      <w:r w:rsidRPr="00731981">
        <w:rPr>
          <w:rFonts w:ascii="Calibri" w:cs="Calibri"/>
        </w:rPr>
        <w:t xml:space="preserve"> </w:t>
      </w:r>
      <w:proofErr w:type="spellStart"/>
      <w:r w:rsidRPr="00731981">
        <w:rPr>
          <w:rFonts w:ascii="Calibri" w:cs="Calibri"/>
        </w:rPr>
        <w:t>Probl</w:t>
      </w:r>
      <w:proofErr w:type="spellEnd"/>
      <w:r w:rsidRPr="00731981">
        <w:rPr>
          <w:rFonts w:ascii="Calibri" w:cs="Calibri"/>
        </w:rPr>
        <w:t xml:space="preserve"> Diagn </w:t>
      </w:r>
      <w:proofErr w:type="spellStart"/>
      <w:r w:rsidRPr="00731981">
        <w:rPr>
          <w:rFonts w:ascii="Calibri" w:cs="Calibri"/>
        </w:rPr>
        <w:t>Radiol</w:t>
      </w:r>
      <w:proofErr w:type="spellEnd"/>
      <w:r w:rsidRPr="00731981">
        <w:rPr>
          <w:rFonts w:ascii="Calibri" w:cs="Calibri"/>
        </w:rPr>
        <w:t xml:space="preserve"> 45:161–164. https://doi.org/10.1067/j.cpradiol.2015.08.004</w:t>
      </w:r>
    </w:p>
    <w:p w14:paraId="4B45052B" w14:textId="77777777" w:rsidR="00731981" w:rsidRPr="00731981" w:rsidRDefault="00731981" w:rsidP="00731981">
      <w:pPr>
        <w:pStyle w:val="Bibliography"/>
        <w:rPr>
          <w:rFonts w:ascii="Calibri" w:cs="Calibri"/>
        </w:rPr>
      </w:pPr>
      <w:r w:rsidRPr="00731981">
        <w:rPr>
          <w:rFonts w:ascii="Calibri" w:cs="Calibri"/>
        </w:rPr>
        <w:t xml:space="preserve">41. </w:t>
      </w:r>
      <w:r w:rsidRPr="00731981">
        <w:rPr>
          <w:rFonts w:ascii="Calibri" w:cs="Calibri"/>
        </w:rPr>
        <w:tab/>
        <w:t xml:space="preserve">Sakellariou S, Li W, Paul MC, </w:t>
      </w:r>
      <w:proofErr w:type="spellStart"/>
      <w:r w:rsidRPr="00731981">
        <w:rPr>
          <w:rFonts w:ascii="Calibri" w:cs="Calibri"/>
        </w:rPr>
        <w:t>Roditi</w:t>
      </w:r>
      <w:proofErr w:type="spellEnd"/>
      <w:r w:rsidRPr="00731981">
        <w:rPr>
          <w:rFonts w:ascii="Calibri" w:cs="Calibri"/>
        </w:rPr>
        <w:t xml:space="preserve"> G (2016) </w:t>
      </w:r>
      <w:proofErr w:type="spellStart"/>
      <w:r w:rsidRPr="00731981">
        <w:rPr>
          <w:rFonts w:ascii="Calibri" w:cs="Calibri"/>
        </w:rPr>
        <w:t>Rôle</w:t>
      </w:r>
      <w:proofErr w:type="spellEnd"/>
      <w:r w:rsidRPr="00731981">
        <w:rPr>
          <w:rFonts w:ascii="Calibri" w:cs="Calibri"/>
        </w:rPr>
        <w:t xml:space="preserve"> of contrast media viscosity in altering vessel wall shear stress and relation to the risk of contrast extravasations. Med </w:t>
      </w:r>
      <w:proofErr w:type="spellStart"/>
      <w:r w:rsidRPr="00731981">
        <w:rPr>
          <w:rFonts w:ascii="Calibri" w:cs="Calibri"/>
        </w:rPr>
        <w:t>Eng</w:t>
      </w:r>
      <w:proofErr w:type="spellEnd"/>
      <w:r w:rsidRPr="00731981">
        <w:rPr>
          <w:rFonts w:ascii="Calibri" w:cs="Calibri"/>
        </w:rPr>
        <w:t xml:space="preserve"> Phys 38:1426–1433. https://doi.org/10.1016/j.medengphy.2016.09.016</w:t>
      </w:r>
    </w:p>
    <w:p w14:paraId="31E42A8C" w14:textId="77777777" w:rsidR="00731981" w:rsidRPr="00731981" w:rsidRDefault="00731981" w:rsidP="00731981">
      <w:pPr>
        <w:pStyle w:val="Bibliography"/>
        <w:rPr>
          <w:rFonts w:ascii="Calibri" w:cs="Calibri"/>
        </w:rPr>
      </w:pPr>
      <w:r w:rsidRPr="00731981">
        <w:rPr>
          <w:rFonts w:ascii="Calibri" w:cs="Calibri"/>
        </w:rPr>
        <w:t xml:space="preserve">42. </w:t>
      </w:r>
      <w:r w:rsidRPr="00731981">
        <w:rPr>
          <w:rFonts w:ascii="Calibri" w:cs="Calibri"/>
        </w:rPr>
        <w:tab/>
      </w:r>
      <w:proofErr w:type="spellStart"/>
      <w:r w:rsidRPr="00731981">
        <w:rPr>
          <w:rFonts w:ascii="Calibri" w:cs="Calibri"/>
        </w:rPr>
        <w:t>Tonolini</w:t>
      </w:r>
      <w:proofErr w:type="spellEnd"/>
      <w:r w:rsidRPr="00731981">
        <w:rPr>
          <w:rFonts w:ascii="Calibri" w:cs="Calibri"/>
        </w:rPr>
        <w:t xml:space="preserve"> M (2016) Contrast Medium Extravasation: The Importance of Radiographic Assessment. </w:t>
      </w:r>
      <w:proofErr w:type="spellStart"/>
      <w:r w:rsidRPr="00731981">
        <w:rPr>
          <w:rFonts w:ascii="Calibri" w:cs="Calibri"/>
        </w:rPr>
        <w:t>Curr</w:t>
      </w:r>
      <w:proofErr w:type="spellEnd"/>
      <w:r w:rsidRPr="00731981">
        <w:rPr>
          <w:rFonts w:ascii="Calibri" w:cs="Calibri"/>
        </w:rPr>
        <w:t xml:space="preserve"> </w:t>
      </w:r>
      <w:proofErr w:type="spellStart"/>
      <w:r w:rsidRPr="00731981">
        <w:rPr>
          <w:rFonts w:ascii="Calibri" w:cs="Calibri"/>
        </w:rPr>
        <w:t>Probl</w:t>
      </w:r>
      <w:proofErr w:type="spellEnd"/>
      <w:r w:rsidRPr="00731981">
        <w:rPr>
          <w:rFonts w:ascii="Calibri" w:cs="Calibri"/>
        </w:rPr>
        <w:t xml:space="preserve"> Diagn </w:t>
      </w:r>
      <w:proofErr w:type="spellStart"/>
      <w:r w:rsidRPr="00731981">
        <w:rPr>
          <w:rFonts w:ascii="Calibri" w:cs="Calibri"/>
        </w:rPr>
        <w:t>Radiol</w:t>
      </w:r>
      <w:proofErr w:type="spellEnd"/>
      <w:r w:rsidRPr="00731981">
        <w:rPr>
          <w:rFonts w:ascii="Calibri" w:cs="Calibri"/>
        </w:rPr>
        <w:t xml:space="preserve"> 45:236–237. https://doi.org/10.1067/j.cpradiol.2016.02.002</w:t>
      </w:r>
    </w:p>
    <w:p w14:paraId="1941143A" w14:textId="77777777" w:rsidR="00731981" w:rsidRPr="00731981" w:rsidRDefault="00731981" w:rsidP="00731981">
      <w:pPr>
        <w:pStyle w:val="Bibliography"/>
        <w:rPr>
          <w:rFonts w:ascii="Calibri" w:cs="Calibri"/>
        </w:rPr>
      </w:pPr>
      <w:r w:rsidRPr="00731981">
        <w:rPr>
          <w:rFonts w:ascii="Calibri" w:cs="Calibri"/>
        </w:rPr>
        <w:t xml:space="preserve">43. </w:t>
      </w:r>
      <w:r w:rsidRPr="00731981">
        <w:rPr>
          <w:rFonts w:ascii="Calibri" w:cs="Calibri"/>
        </w:rPr>
        <w:tab/>
        <w:t xml:space="preserve">Tamura A, Kato K, </w:t>
      </w:r>
      <w:proofErr w:type="spellStart"/>
      <w:r w:rsidRPr="00731981">
        <w:rPr>
          <w:rFonts w:ascii="Calibri" w:cs="Calibri"/>
        </w:rPr>
        <w:t>Kamata</w:t>
      </w:r>
      <w:proofErr w:type="spellEnd"/>
      <w:r w:rsidRPr="00731981">
        <w:rPr>
          <w:rFonts w:ascii="Calibri" w:cs="Calibri"/>
        </w:rPr>
        <w:t xml:space="preserve"> M, et al (2017) Selection of peripheral intravenous catheters with 24-gauge side-holes versus those with 22-gauge end-hole for MDCT: A prospective randomized study. Eur J </w:t>
      </w:r>
      <w:proofErr w:type="spellStart"/>
      <w:r w:rsidRPr="00731981">
        <w:rPr>
          <w:rFonts w:ascii="Calibri" w:cs="Calibri"/>
        </w:rPr>
        <w:t>Radiol</w:t>
      </w:r>
      <w:proofErr w:type="spellEnd"/>
      <w:r w:rsidRPr="00731981">
        <w:rPr>
          <w:rFonts w:ascii="Calibri" w:cs="Calibri"/>
        </w:rPr>
        <w:t xml:space="preserve"> 87:8–12. https://doi.org/10.1016/j.ejrad.2016.12.005</w:t>
      </w:r>
    </w:p>
    <w:p w14:paraId="70B1C6F7" w14:textId="77777777" w:rsidR="00731981" w:rsidRPr="00731981" w:rsidRDefault="00731981" w:rsidP="00731981">
      <w:pPr>
        <w:pStyle w:val="Bibliography"/>
        <w:rPr>
          <w:rFonts w:ascii="Calibri" w:cs="Calibri"/>
        </w:rPr>
      </w:pPr>
      <w:r w:rsidRPr="00731981">
        <w:rPr>
          <w:rFonts w:ascii="Calibri" w:cs="Calibri"/>
        </w:rPr>
        <w:t xml:space="preserve">44. </w:t>
      </w:r>
      <w:r w:rsidRPr="00731981">
        <w:rPr>
          <w:rFonts w:ascii="Calibri" w:cs="Calibri"/>
        </w:rPr>
        <w:tab/>
        <w:t xml:space="preserve">Rupp JD, </w:t>
      </w:r>
      <w:proofErr w:type="spellStart"/>
      <w:r w:rsidRPr="00731981">
        <w:rPr>
          <w:rFonts w:ascii="Calibri" w:cs="Calibri"/>
        </w:rPr>
        <w:t>Ferre</w:t>
      </w:r>
      <w:proofErr w:type="spellEnd"/>
      <w:r w:rsidRPr="00731981">
        <w:rPr>
          <w:rFonts w:ascii="Calibri" w:cs="Calibri"/>
        </w:rPr>
        <w:t xml:space="preserve"> RM, Boyd JS, et al (2016) Extravasation Risk Using Ultrasound-guided Peripheral Intravenous Catheters for Computed Tomography Contrast Administration. </w:t>
      </w:r>
      <w:proofErr w:type="spellStart"/>
      <w:r w:rsidRPr="00731981">
        <w:rPr>
          <w:rFonts w:ascii="Calibri" w:cs="Calibri"/>
        </w:rPr>
        <w:t>Acad</w:t>
      </w:r>
      <w:proofErr w:type="spellEnd"/>
      <w:r w:rsidRPr="00731981">
        <w:rPr>
          <w:rFonts w:ascii="Calibri" w:cs="Calibri"/>
        </w:rPr>
        <w:t xml:space="preserve"> </w:t>
      </w:r>
      <w:proofErr w:type="spellStart"/>
      <w:r w:rsidRPr="00731981">
        <w:rPr>
          <w:rFonts w:ascii="Calibri" w:cs="Calibri"/>
        </w:rPr>
        <w:t>Emerg</w:t>
      </w:r>
      <w:proofErr w:type="spellEnd"/>
      <w:r w:rsidRPr="00731981">
        <w:rPr>
          <w:rFonts w:ascii="Calibri" w:cs="Calibri"/>
        </w:rPr>
        <w:t xml:space="preserve"> Med Off J Soc </w:t>
      </w:r>
      <w:proofErr w:type="spellStart"/>
      <w:r w:rsidRPr="00731981">
        <w:rPr>
          <w:rFonts w:ascii="Calibri" w:cs="Calibri"/>
        </w:rPr>
        <w:t>Acad</w:t>
      </w:r>
      <w:proofErr w:type="spellEnd"/>
      <w:r w:rsidRPr="00731981">
        <w:rPr>
          <w:rFonts w:ascii="Calibri" w:cs="Calibri"/>
        </w:rPr>
        <w:t xml:space="preserve"> </w:t>
      </w:r>
      <w:proofErr w:type="spellStart"/>
      <w:r w:rsidRPr="00731981">
        <w:rPr>
          <w:rFonts w:ascii="Calibri" w:cs="Calibri"/>
        </w:rPr>
        <w:t>Emerg</w:t>
      </w:r>
      <w:proofErr w:type="spellEnd"/>
      <w:r w:rsidRPr="00731981">
        <w:rPr>
          <w:rFonts w:ascii="Calibri" w:cs="Calibri"/>
        </w:rPr>
        <w:t xml:space="preserve"> Med 23:918–921. https://doi.org/10.1111/acem.13000</w:t>
      </w:r>
    </w:p>
    <w:p w14:paraId="6F2AE006" w14:textId="77777777" w:rsidR="00731981" w:rsidRPr="00731981" w:rsidRDefault="00731981" w:rsidP="00731981">
      <w:pPr>
        <w:pStyle w:val="Bibliography"/>
        <w:rPr>
          <w:rFonts w:ascii="Calibri" w:cs="Calibri"/>
        </w:rPr>
      </w:pPr>
      <w:r w:rsidRPr="00731981">
        <w:rPr>
          <w:rFonts w:ascii="Calibri" w:cs="Calibri"/>
        </w:rPr>
        <w:t xml:space="preserve">45. </w:t>
      </w:r>
      <w:r w:rsidRPr="00731981">
        <w:rPr>
          <w:rFonts w:ascii="Calibri" w:cs="Calibri"/>
        </w:rPr>
        <w:tab/>
      </w:r>
      <w:proofErr w:type="spellStart"/>
      <w:r w:rsidRPr="00731981">
        <w:rPr>
          <w:rFonts w:ascii="Calibri" w:cs="Calibri"/>
        </w:rPr>
        <w:t>Kok</w:t>
      </w:r>
      <w:proofErr w:type="spellEnd"/>
      <w:r w:rsidRPr="00731981">
        <w:rPr>
          <w:rFonts w:ascii="Calibri" w:cs="Calibri"/>
        </w:rPr>
        <w:t xml:space="preserve"> M, </w:t>
      </w:r>
      <w:proofErr w:type="spellStart"/>
      <w:r w:rsidRPr="00731981">
        <w:rPr>
          <w:rFonts w:ascii="Calibri" w:cs="Calibri"/>
        </w:rPr>
        <w:t>Mihl</w:t>
      </w:r>
      <w:proofErr w:type="spellEnd"/>
      <w:r w:rsidRPr="00731981">
        <w:rPr>
          <w:rFonts w:ascii="Calibri" w:cs="Calibri"/>
        </w:rPr>
        <w:t xml:space="preserve"> C, Hendriks BMF, et al (2016) Patient Comfort During Contrast Media Injection in Coronary Computed Tomographic Angiography Using Varying Contrast Media Concentrations and Flow Rates: Results </w:t>
      </w:r>
      <w:proofErr w:type="gramStart"/>
      <w:r w:rsidRPr="00731981">
        <w:rPr>
          <w:rFonts w:ascii="Calibri" w:cs="Calibri"/>
        </w:rPr>
        <w:t>From</w:t>
      </w:r>
      <w:proofErr w:type="gramEnd"/>
      <w:r w:rsidRPr="00731981">
        <w:rPr>
          <w:rFonts w:ascii="Calibri" w:cs="Calibri"/>
        </w:rPr>
        <w:t xml:space="preserve"> the EICAR Trial. Invest </w:t>
      </w:r>
      <w:proofErr w:type="spellStart"/>
      <w:r w:rsidRPr="00731981">
        <w:rPr>
          <w:rFonts w:ascii="Calibri" w:cs="Calibri"/>
        </w:rPr>
        <w:t>Radiol</w:t>
      </w:r>
      <w:proofErr w:type="spellEnd"/>
      <w:r w:rsidRPr="00731981">
        <w:rPr>
          <w:rFonts w:ascii="Calibri" w:cs="Calibri"/>
        </w:rPr>
        <w:t xml:space="preserve"> 51:810–815. https://doi.org/10.1097/RLI.0000000000000284</w:t>
      </w:r>
    </w:p>
    <w:p w14:paraId="5AE12E67" w14:textId="77777777" w:rsidR="00731981" w:rsidRPr="00731981" w:rsidRDefault="00731981" w:rsidP="00731981">
      <w:pPr>
        <w:pStyle w:val="Bibliography"/>
        <w:rPr>
          <w:rFonts w:ascii="Calibri" w:cs="Calibri"/>
        </w:rPr>
      </w:pPr>
      <w:r w:rsidRPr="00731981">
        <w:rPr>
          <w:rFonts w:ascii="Calibri" w:cs="Calibri"/>
        </w:rPr>
        <w:t xml:space="preserve">46. </w:t>
      </w:r>
      <w:r w:rsidRPr="00731981">
        <w:rPr>
          <w:rFonts w:ascii="Calibri" w:cs="Calibri"/>
        </w:rPr>
        <w:tab/>
        <w:t xml:space="preserve">Cleary N, McNulty JP, Foley SJ, Kelly E (2017) An investigation into current protocols and radiographer opinions on contrast extravasation in Irish CT departments. </w:t>
      </w:r>
      <w:proofErr w:type="spellStart"/>
      <w:r w:rsidRPr="00731981">
        <w:rPr>
          <w:rFonts w:ascii="Calibri" w:cs="Calibri"/>
        </w:rPr>
        <w:t>Radiogr</w:t>
      </w:r>
      <w:proofErr w:type="spellEnd"/>
      <w:r w:rsidRPr="00731981">
        <w:rPr>
          <w:rFonts w:ascii="Calibri" w:cs="Calibri"/>
        </w:rPr>
        <w:t xml:space="preserve"> </w:t>
      </w:r>
      <w:proofErr w:type="spellStart"/>
      <w:r w:rsidRPr="00731981">
        <w:rPr>
          <w:rFonts w:ascii="Calibri" w:cs="Calibri"/>
        </w:rPr>
        <w:t>Lond</w:t>
      </w:r>
      <w:proofErr w:type="spellEnd"/>
      <w:r w:rsidRPr="00731981">
        <w:rPr>
          <w:rFonts w:ascii="Calibri" w:cs="Calibri"/>
        </w:rPr>
        <w:t xml:space="preserve"> </w:t>
      </w:r>
      <w:proofErr w:type="spellStart"/>
      <w:r w:rsidRPr="00731981">
        <w:rPr>
          <w:rFonts w:ascii="Calibri" w:cs="Calibri"/>
        </w:rPr>
        <w:t>Engl</w:t>
      </w:r>
      <w:proofErr w:type="spellEnd"/>
      <w:r w:rsidRPr="00731981">
        <w:rPr>
          <w:rFonts w:ascii="Calibri" w:cs="Calibri"/>
        </w:rPr>
        <w:t xml:space="preserve"> 1995 </w:t>
      </w:r>
      <w:proofErr w:type="gramStart"/>
      <w:r w:rsidRPr="00731981">
        <w:rPr>
          <w:rFonts w:ascii="Calibri" w:cs="Calibri"/>
        </w:rPr>
        <w:t>23:e</w:t>
      </w:r>
      <w:proofErr w:type="gramEnd"/>
      <w:r w:rsidRPr="00731981">
        <w:rPr>
          <w:rFonts w:ascii="Calibri" w:cs="Calibri"/>
        </w:rPr>
        <w:t>87–e92. https://doi.org/10.1016/j.radi.2017.05.009</w:t>
      </w:r>
    </w:p>
    <w:p w14:paraId="0BBE18BC" w14:textId="77777777" w:rsidR="00731981" w:rsidRPr="00731981" w:rsidRDefault="00731981" w:rsidP="00731981">
      <w:pPr>
        <w:pStyle w:val="Bibliography"/>
        <w:rPr>
          <w:rFonts w:ascii="Calibri" w:cs="Calibri"/>
        </w:rPr>
      </w:pPr>
      <w:r w:rsidRPr="00731981">
        <w:rPr>
          <w:rFonts w:ascii="Calibri" w:cs="Calibri"/>
        </w:rPr>
        <w:lastRenderedPageBreak/>
        <w:t xml:space="preserve">47. </w:t>
      </w:r>
      <w:r w:rsidRPr="00731981">
        <w:rPr>
          <w:rFonts w:ascii="Calibri" w:cs="Calibri"/>
        </w:rPr>
        <w:tab/>
        <w:t xml:space="preserve">Conner B, Ash R, Allen W, et al (2017) Preventing Intravenous Contrast Extravasation in CT: A Simple Solution. J Am Coll </w:t>
      </w:r>
      <w:proofErr w:type="spellStart"/>
      <w:r w:rsidRPr="00731981">
        <w:rPr>
          <w:rFonts w:ascii="Calibri" w:cs="Calibri"/>
        </w:rPr>
        <w:t>Radiol</w:t>
      </w:r>
      <w:proofErr w:type="spellEnd"/>
      <w:r w:rsidRPr="00731981">
        <w:rPr>
          <w:rFonts w:ascii="Calibri" w:cs="Calibri"/>
        </w:rPr>
        <w:t xml:space="preserve"> JACR 14:1326–1332. https://doi.org/10.1016/j.jacr.2017.05.020</w:t>
      </w:r>
    </w:p>
    <w:p w14:paraId="16C7ACAE" w14:textId="77777777" w:rsidR="00731981" w:rsidRPr="00731981" w:rsidRDefault="00731981" w:rsidP="00731981">
      <w:pPr>
        <w:pStyle w:val="Bibliography"/>
        <w:rPr>
          <w:rFonts w:ascii="Calibri" w:cs="Calibri"/>
        </w:rPr>
      </w:pPr>
      <w:r w:rsidRPr="00731981">
        <w:rPr>
          <w:rFonts w:ascii="Calibri" w:cs="Calibri"/>
        </w:rPr>
        <w:t xml:space="preserve">48. </w:t>
      </w:r>
      <w:r w:rsidRPr="00731981">
        <w:rPr>
          <w:rFonts w:ascii="Calibri" w:cs="Calibri"/>
        </w:rPr>
        <w:tab/>
        <w:t>Kim SM, Cook KH, Lee IJ, et al (2017) Computed tomography contrast media extravasation: treatment algorithm and immediate treatment by squeezing with multiple slit incisions. Int Wound J 14:430–434. https://doi.org/10.1111/iwj.12628</w:t>
      </w:r>
    </w:p>
    <w:p w14:paraId="05385486" w14:textId="77777777" w:rsidR="00731981" w:rsidRPr="00731981" w:rsidRDefault="00731981" w:rsidP="00731981">
      <w:pPr>
        <w:pStyle w:val="Bibliography"/>
        <w:rPr>
          <w:rFonts w:ascii="Calibri" w:cs="Calibri"/>
        </w:rPr>
      </w:pPr>
      <w:r w:rsidRPr="00731981">
        <w:rPr>
          <w:rFonts w:ascii="Calibri" w:cs="Calibri"/>
        </w:rPr>
        <w:t xml:space="preserve">49. </w:t>
      </w:r>
      <w:r w:rsidRPr="00731981">
        <w:rPr>
          <w:rFonts w:ascii="Calibri" w:cs="Calibri"/>
        </w:rPr>
        <w:tab/>
        <w:t xml:space="preserve">Craigie M, Meehan L, Harper J (2018) Tip Migration Post-Contrast Pressure Injection Through Pressure-Injectable Peripherally Inserted Central Catheters Causing Vascular Injury: A Report of 3 Cases. Cardiovasc </w:t>
      </w:r>
      <w:proofErr w:type="spellStart"/>
      <w:r w:rsidRPr="00731981">
        <w:rPr>
          <w:rFonts w:ascii="Calibri" w:cs="Calibri"/>
        </w:rPr>
        <w:t>Intervent</w:t>
      </w:r>
      <w:proofErr w:type="spellEnd"/>
      <w:r w:rsidRPr="00731981">
        <w:rPr>
          <w:rFonts w:ascii="Calibri" w:cs="Calibri"/>
        </w:rPr>
        <w:t xml:space="preserve"> </w:t>
      </w:r>
      <w:proofErr w:type="spellStart"/>
      <w:r w:rsidRPr="00731981">
        <w:rPr>
          <w:rFonts w:ascii="Calibri" w:cs="Calibri"/>
        </w:rPr>
        <w:t>Radiol</w:t>
      </w:r>
      <w:proofErr w:type="spellEnd"/>
      <w:r w:rsidRPr="00731981">
        <w:rPr>
          <w:rFonts w:ascii="Calibri" w:cs="Calibri"/>
        </w:rPr>
        <w:t xml:space="preserve"> 41:509–512. https://doi.org/10.1007/s00270-017-1828-5</w:t>
      </w:r>
    </w:p>
    <w:p w14:paraId="5D0F4CD4" w14:textId="77777777" w:rsidR="00731981" w:rsidRPr="00731981" w:rsidRDefault="00731981" w:rsidP="00731981">
      <w:pPr>
        <w:pStyle w:val="Bibliography"/>
        <w:rPr>
          <w:rFonts w:ascii="Calibri" w:cs="Calibri"/>
        </w:rPr>
      </w:pPr>
      <w:r w:rsidRPr="00731981">
        <w:rPr>
          <w:rFonts w:ascii="Calibri" w:cs="Calibri"/>
        </w:rPr>
        <w:t xml:space="preserve">50. </w:t>
      </w:r>
      <w:r w:rsidRPr="00731981">
        <w:rPr>
          <w:rFonts w:ascii="Calibri" w:cs="Calibri"/>
        </w:rPr>
        <w:tab/>
        <w:t xml:space="preserve">Ding S, </w:t>
      </w:r>
      <w:proofErr w:type="spellStart"/>
      <w:r w:rsidRPr="00731981">
        <w:rPr>
          <w:rFonts w:ascii="Calibri" w:cs="Calibri"/>
        </w:rPr>
        <w:t>Meystre</w:t>
      </w:r>
      <w:proofErr w:type="spellEnd"/>
      <w:r w:rsidRPr="00731981">
        <w:rPr>
          <w:rFonts w:ascii="Calibri" w:cs="Calibri"/>
        </w:rPr>
        <w:t xml:space="preserve"> NR, </w:t>
      </w:r>
      <w:proofErr w:type="spellStart"/>
      <w:r w:rsidRPr="00731981">
        <w:rPr>
          <w:rFonts w:ascii="Calibri" w:cs="Calibri"/>
        </w:rPr>
        <w:t>Campeanu</w:t>
      </w:r>
      <w:proofErr w:type="spellEnd"/>
      <w:r w:rsidRPr="00731981">
        <w:rPr>
          <w:rFonts w:ascii="Calibri" w:cs="Calibri"/>
        </w:rPr>
        <w:t xml:space="preserve"> C, </w:t>
      </w:r>
      <w:proofErr w:type="spellStart"/>
      <w:r w:rsidRPr="00731981">
        <w:rPr>
          <w:rFonts w:ascii="Calibri" w:cs="Calibri"/>
        </w:rPr>
        <w:t>Gullo</w:t>
      </w:r>
      <w:proofErr w:type="spellEnd"/>
      <w:r w:rsidRPr="00731981">
        <w:rPr>
          <w:rFonts w:ascii="Calibri" w:cs="Calibri"/>
        </w:rPr>
        <w:t xml:space="preserve"> G (2018) Contrast media extravasations in patients undergoing computerized tomography scanning: a systematic review and meta-analysis of risk factors and interventions. JBI Database </w:t>
      </w:r>
      <w:proofErr w:type="spellStart"/>
      <w:r w:rsidRPr="00731981">
        <w:rPr>
          <w:rFonts w:ascii="Calibri" w:cs="Calibri"/>
        </w:rPr>
        <w:t>Syst</w:t>
      </w:r>
      <w:proofErr w:type="spellEnd"/>
      <w:r w:rsidRPr="00731981">
        <w:rPr>
          <w:rFonts w:ascii="Calibri" w:cs="Calibri"/>
        </w:rPr>
        <w:t xml:space="preserve"> Rev Implement Rep 16:87–116. https://doi.org/10.11124/JBISRIR-2017-003348</w:t>
      </w:r>
    </w:p>
    <w:p w14:paraId="2F034B0A" w14:textId="77777777" w:rsidR="00731981" w:rsidRPr="00731981" w:rsidRDefault="00731981" w:rsidP="00731981">
      <w:pPr>
        <w:pStyle w:val="Bibliography"/>
        <w:rPr>
          <w:rFonts w:ascii="Calibri" w:cs="Calibri"/>
        </w:rPr>
      </w:pPr>
      <w:r w:rsidRPr="00731981">
        <w:rPr>
          <w:rFonts w:ascii="Calibri" w:cs="Calibri"/>
        </w:rPr>
        <w:t xml:space="preserve">51. </w:t>
      </w:r>
      <w:r w:rsidRPr="00731981">
        <w:rPr>
          <w:rFonts w:ascii="Calibri" w:cs="Calibri"/>
        </w:rPr>
        <w:tab/>
      </w:r>
      <w:proofErr w:type="spellStart"/>
      <w:r w:rsidRPr="00731981">
        <w:rPr>
          <w:rFonts w:ascii="Calibri" w:cs="Calibri"/>
        </w:rPr>
        <w:t>Heshmatzadeh</w:t>
      </w:r>
      <w:proofErr w:type="spellEnd"/>
      <w:r w:rsidRPr="00731981">
        <w:rPr>
          <w:rFonts w:ascii="Calibri" w:cs="Calibri"/>
        </w:rPr>
        <w:t xml:space="preserve"> Behzadi A, Farooq Z, Newhouse JH, Prince MR (2018) MRI and CT contrast media extravasation. Medicine (Baltimore) </w:t>
      </w:r>
      <w:proofErr w:type="gramStart"/>
      <w:r w:rsidRPr="00731981">
        <w:rPr>
          <w:rFonts w:ascii="Calibri" w:cs="Calibri"/>
        </w:rPr>
        <w:t>97:.</w:t>
      </w:r>
      <w:proofErr w:type="gramEnd"/>
      <w:r w:rsidRPr="00731981">
        <w:rPr>
          <w:rFonts w:ascii="Calibri" w:cs="Calibri"/>
        </w:rPr>
        <w:t xml:space="preserve"> https://doi.org/10.1097/MD.0000000000010055</w:t>
      </w:r>
    </w:p>
    <w:p w14:paraId="2C62994C" w14:textId="77777777" w:rsidR="00731981" w:rsidRPr="00731981" w:rsidRDefault="00731981" w:rsidP="00731981">
      <w:pPr>
        <w:pStyle w:val="Bibliography"/>
        <w:rPr>
          <w:rFonts w:ascii="Calibri" w:cs="Calibri"/>
        </w:rPr>
      </w:pPr>
      <w:r w:rsidRPr="00731981">
        <w:rPr>
          <w:rFonts w:ascii="Calibri" w:cs="Calibri"/>
        </w:rPr>
        <w:t xml:space="preserve">52. </w:t>
      </w:r>
      <w:r w:rsidRPr="00731981">
        <w:rPr>
          <w:rFonts w:ascii="Calibri" w:cs="Calibri"/>
        </w:rPr>
        <w:tab/>
        <w:t xml:space="preserve">Hwang EJ, Shin C-I, Choi YH, Park CM (2018) Frequency, outcome, and risk factors of contrast media extravasation in 142,651 intravenous contrast-enhanced CT scans. Eur </w:t>
      </w:r>
      <w:proofErr w:type="spellStart"/>
      <w:r w:rsidRPr="00731981">
        <w:rPr>
          <w:rFonts w:ascii="Calibri" w:cs="Calibri"/>
        </w:rPr>
        <w:t>Radiol</w:t>
      </w:r>
      <w:proofErr w:type="spellEnd"/>
      <w:r w:rsidRPr="00731981">
        <w:rPr>
          <w:rFonts w:ascii="Calibri" w:cs="Calibri"/>
        </w:rPr>
        <w:t xml:space="preserve"> 28:5368–5375. https://doi.org/10.1007/s00330-018-5507-y</w:t>
      </w:r>
    </w:p>
    <w:p w14:paraId="5D9FCA34" w14:textId="77777777" w:rsidR="00731981" w:rsidRPr="00731981" w:rsidRDefault="00731981" w:rsidP="00731981">
      <w:pPr>
        <w:pStyle w:val="Bibliography"/>
        <w:rPr>
          <w:rFonts w:ascii="Calibri" w:cs="Calibri"/>
        </w:rPr>
      </w:pPr>
      <w:r w:rsidRPr="00731981">
        <w:rPr>
          <w:rFonts w:ascii="Calibri" w:cs="Calibri"/>
        </w:rPr>
        <w:t xml:space="preserve">53. </w:t>
      </w:r>
      <w:r w:rsidRPr="00731981">
        <w:rPr>
          <w:rFonts w:ascii="Calibri" w:cs="Calibri"/>
        </w:rPr>
        <w:tab/>
      </w:r>
      <w:proofErr w:type="spellStart"/>
      <w:r w:rsidRPr="00731981">
        <w:rPr>
          <w:rFonts w:ascii="Calibri" w:cs="Calibri"/>
        </w:rPr>
        <w:t>Sonis</w:t>
      </w:r>
      <w:proofErr w:type="spellEnd"/>
      <w:r w:rsidRPr="00731981">
        <w:rPr>
          <w:rFonts w:ascii="Calibri" w:cs="Calibri"/>
        </w:rPr>
        <w:t xml:space="preserve"> JD, </w:t>
      </w:r>
      <w:proofErr w:type="spellStart"/>
      <w:r w:rsidRPr="00731981">
        <w:rPr>
          <w:rFonts w:ascii="Calibri" w:cs="Calibri"/>
        </w:rPr>
        <w:t>Gottumukkala</w:t>
      </w:r>
      <w:proofErr w:type="spellEnd"/>
      <w:r w:rsidRPr="00731981">
        <w:rPr>
          <w:rFonts w:ascii="Calibri" w:cs="Calibri"/>
        </w:rPr>
        <w:t xml:space="preserve"> RV, Glover M, et al (2018) Implications of iodinated contrast media extravasation in the emergency department. Am J </w:t>
      </w:r>
      <w:proofErr w:type="spellStart"/>
      <w:r w:rsidRPr="00731981">
        <w:rPr>
          <w:rFonts w:ascii="Calibri" w:cs="Calibri"/>
        </w:rPr>
        <w:t>Emerg</w:t>
      </w:r>
      <w:proofErr w:type="spellEnd"/>
      <w:r w:rsidRPr="00731981">
        <w:rPr>
          <w:rFonts w:ascii="Calibri" w:cs="Calibri"/>
        </w:rPr>
        <w:t xml:space="preserve"> Med 36:294–296. https://doi.org/10.1016/j.ajem.2017.11.012</w:t>
      </w:r>
    </w:p>
    <w:p w14:paraId="561D25AD" w14:textId="77777777" w:rsidR="00731981" w:rsidRPr="00731981" w:rsidRDefault="00731981" w:rsidP="00731981">
      <w:pPr>
        <w:pStyle w:val="Bibliography"/>
        <w:rPr>
          <w:rFonts w:ascii="Calibri" w:cs="Calibri"/>
        </w:rPr>
      </w:pPr>
      <w:r w:rsidRPr="00731981">
        <w:rPr>
          <w:rFonts w:ascii="Calibri" w:cs="Calibri"/>
        </w:rPr>
        <w:t xml:space="preserve">54. </w:t>
      </w:r>
      <w:r w:rsidRPr="00731981">
        <w:rPr>
          <w:rFonts w:ascii="Calibri" w:cs="Calibri"/>
        </w:rPr>
        <w:tab/>
      </w:r>
      <w:proofErr w:type="spellStart"/>
      <w:r w:rsidRPr="00731981">
        <w:rPr>
          <w:rFonts w:ascii="Calibri" w:cs="Calibri"/>
        </w:rPr>
        <w:t>Hrycyk</w:t>
      </w:r>
      <w:proofErr w:type="spellEnd"/>
      <w:r w:rsidRPr="00731981">
        <w:rPr>
          <w:rFonts w:ascii="Calibri" w:cs="Calibri"/>
        </w:rPr>
        <w:t xml:space="preserve"> J, </w:t>
      </w:r>
      <w:proofErr w:type="spellStart"/>
      <w:r w:rsidRPr="00731981">
        <w:rPr>
          <w:rFonts w:ascii="Calibri" w:cs="Calibri"/>
        </w:rPr>
        <w:t>Heverhagen</w:t>
      </w:r>
      <w:proofErr w:type="spellEnd"/>
      <w:r w:rsidRPr="00731981">
        <w:rPr>
          <w:rFonts w:ascii="Calibri" w:cs="Calibri"/>
        </w:rPr>
        <w:t xml:space="preserve"> JT, Boehm I (2019) What you should know about prophylaxis and treatment of radiographic and magnetic resonance contrast medium extravasation. Acta </w:t>
      </w:r>
      <w:proofErr w:type="spellStart"/>
      <w:r w:rsidRPr="00731981">
        <w:rPr>
          <w:rFonts w:ascii="Calibri" w:cs="Calibri"/>
        </w:rPr>
        <w:t>Radiol</w:t>
      </w:r>
      <w:proofErr w:type="spellEnd"/>
      <w:r w:rsidRPr="00731981">
        <w:rPr>
          <w:rFonts w:ascii="Calibri" w:cs="Calibri"/>
        </w:rPr>
        <w:t xml:space="preserve"> </w:t>
      </w:r>
      <w:proofErr w:type="spellStart"/>
      <w:r w:rsidRPr="00731981">
        <w:rPr>
          <w:rFonts w:ascii="Calibri" w:cs="Calibri"/>
        </w:rPr>
        <w:t>Stockh</w:t>
      </w:r>
      <w:proofErr w:type="spellEnd"/>
      <w:r w:rsidRPr="00731981">
        <w:rPr>
          <w:rFonts w:ascii="Calibri" w:cs="Calibri"/>
        </w:rPr>
        <w:t xml:space="preserve"> </w:t>
      </w:r>
      <w:proofErr w:type="spellStart"/>
      <w:r w:rsidRPr="00731981">
        <w:rPr>
          <w:rFonts w:ascii="Calibri" w:cs="Calibri"/>
        </w:rPr>
        <w:t>Swed</w:t>
      </w:r>
      <w:proofErr w:type="spellEnd"/>
      <w:r w:rsidRPr="00731981">
        <w:rPr>
          <w:rFonts w:ascii="Calibri" w:cs="Calibri"/>
        </w:rPr>
        <w:t xml:space="preserve"> 1987 60:496–500. https://doi.org/10.1177/0284185118782000</w:t>
      </w:r>
    </w:p>
    <w:p w14:paraId="373B3032" w14:textId="77777777" w:rsidR="00731981" w:rsidRPr="00731981" w:rsidRDefault="00731981" w:rsidP="00731981">
      <w:pPr>
        <w:pStyle w:val="Bibliography"/>
        <w:rPr>
          <w:rFonts w:ascii="Calibri" w:cs="Calibri"/>
        </w:rPr>
      </w:pPr>
      <w:r w:rsidRPr="00731981">
        <w:rPr>
          <w:rFonts w:ascii="Calibri" w:cs="Calibri"/>
        </w:rPr>
        <w:t xml:space="preserve">55. </w:t>
      </w:r>
      <w:r w:rsidRPr="00731981">
        <w:rPr>
          <w:rFonts w:ascii="Calibri" w:cs="Calibri"/>
        </w:rPr>
        <w:tab/>
        <w:t xml:space="preserve">Ko C-H, Tay SY, Chang H-C, Chan WP (2018) Large-volume iodinated contrast medium extravasation: low frequency and good outcome after conservative management in a single-centre cohort of more than 67,000 patients. Eur </w:t>
      </w:r>
      <w:proofErr w:type="spellStart"/>
      <w:r w:rsidRPr="00731981">
        <w:rPr>
          <w:rFonts w:ascii="Calibri" w:cs="Calibri"/>
        </w:rPr>
        <w:t>Radiol</w:t>
      </w:r>
      <w:proofErr w:type="spellEnd"/>
      <w:r w:rsidRPr="00731981">
        <w:rPr>
          <w:rFonts w:ascii="Calibri" w:cs="Calibri"/>
        </w:rPr>
        <w:t xml:space="preserve"> 28:5376–5383. https://doi.org/10.1007/s00330-018-5514-z</w:t>
      </w:r>
    </w:p>
    <w:p w14:paraId="74B4B98A" w14:textId="77777777" w:rsidR="00731981" w:rsidRPr="00731981" w:rsidRDefault="00731981" w:rsidP="00731981">
      <w:pPr>
        <w:pStyle w:val="Bibliography"/>
        <w:rPr>
          <w:rFonts w:ascii="Calibri" w:cs="Calibri"/>
        </w:rPr>
      </w:pPr>
      <w:r w:rsidRPr="00731981">
        <w:rPr>
          <w:rFonts w:ascii="Calibri" w:cs="Calibri"/>
        </w:rPr>
        <w:t xml:space="preserve">56. </w:t>
      </w:r>
      <w:r w:rsidRPr="00731981">
        <w:rPr>
          <w:rFonts w:ascii="Calibri" w:cs="Calibri"/>
        </w:rPr>
        <w:tab/>
        <w:t xml:space="preserve">Mandlik V, </w:t>
      </w:r>
      <w:proofErr w:type="spellStart"/>
      <w:r w:rsidRPr="00731981">
        <w:rPr>
          <w:rFonts w:ascii="Calibri" w:cs="Calibri"/>
        </w:rPr>
        <w:t>Prantl</w:t>
      </w:r>
      <w:proofErr w:type="spellEnd"/>
      <w:r w:rsidRPr="00731981">
        <w:rPr>
          <w:rFonts w:ascii="Calibri" w:cs="Calibri"/>
        </w:rPr>
        <w:t xml:space="preserve"> L, Schreyer AG (2019) Contrast Media Extravasation in CT and MRI - A Literature Review and Strategies for Therapy. ROFO </w:t>
      </w:r>
      <w:proofErr w:type="spellStart"/>
      <w:r w:rsidRPr="00731981">
        <w:rPr>
          <w:rFonts w:ascii="Calibri" w:cs="Calibri"/>
        </w:rPr>
        <w:t>Fortschr</w:t>
      </w:r>
      <w:proofErr w:type="spellEnd"/>
      <w:r w:rsidRPr="00731981">
        <w:rPr>
          <w:rFonts w:ascii="Calibri" w:cs="Calibri"/>
        </w:rPr>
        <w:t xml:space="preserve"> Geb </w:t>
      </w:r>
      <w:proofErr w:type="spellStart"/>
      <w:r w:rsidRPr="00731981">
        <w:rPr>
          <w:rFonts w:ascii="Calibri" w:cs="Calibri"/>
        </w:rPr>
        <w:t>Rontgenstr</w:t>
      </w:r>
      <w:proofErr w:type="spellEnd"/>
      <w:r w:rsidRPr="00731981">
        <w:rPr>
          <w:rFonts w:ascii="Calibri" w:cs="Calibri"/>
        </w:rPr>
        <w:t xml:space="preserve"> </w:t>
      </w:r>
      <w:proofErr w:type="spellStart"/>
      <w:r w:rsidRPr="00731981">
        <w:rPr>
          <w:rFonts w:ascii="Calibri" w:cs="Calibri"/>
        </w:rPr>
        <w:t>Nuklearmed</w:t>
      </w:r>
      <w:proofErr w:type="spellEnd"/>
      <w:r w:rsidRPr="00731981">
        <w:rPr>
          <w:rFonts w:ascii="Calibri" w:cs="Calibri"/>
        </w:rPr>
        <w:t xml:space="preserve"> 191:25–32. https://doi.org/10.1055/a-0628-7095</w:t>
      </w:r>
    </w:p>
    <w:p w14:paraId="543ED8FE" w14:textId="77777777" w:rsidR="00731981" w:rsidRPr="00731981" w:rsidRDefault="00731981" w:rsidP="00731981">
      <w:pPr>
        <w:pStyle w:val="Bibliography"/>
        <w:rPr>
          <w:rFonts w:ascii="Calibri" w:cs="Calibri"/>
        </w:rPr>
      </w:pPr>
      <w:r w:rsidRPr="00731981">
        <w:rPr>
          <w:rFonts w:ascii="Calibri" w:cs="Calibri"/>
        </w:rPr>
        <w:lastRenderedPageBreak/>
        <w:t xml:space="preserve">57. </w:t>
      </w:r>
      <w:r w:rsidRPr="00731981">
        <w:rPr>
          <w:rFonts w:ascii="Calibri" w:cs="Calibri"/>
        </w:rPr>
        <w:tab/>
        <w:t xml:space="preserve">Barrera CA, White AM, Shepherd AM, et al (2019) Contrast Extravasation using Power Injectors for Contrast-Enhanced Computed Tomography in Children: Frequency and Injury Severity. </w:t>
      </w:r>
      <w:proofErr w:type="spellStart"/>
      <w:r w:rsidRPr="00731981">
        <w:rPr>
          <w:rFonts w:ascii="Calibri" w:cs="Calibri"/>
        </w:rPr>
        <w:t>Acad</w:t>
      </w:r>
      <w:proofErr w:type="spellEnd"/>
      <w:r w:rsidRPr="00731981">
        <w:rPr>
          <w:rFonts w:ascii="Calibri" w:cs="Calibri"/>
        </w:rPr>
        <w:t xml:space="preserve"> </w:t>
      </w:r>
      <w:proofErr w:type="spellStart"/>
      <w:r w:rsidRPr="00731981">
        <w:rPr>
          <w:rFonts w:ascii="Calibri" w:cs="Calibri"/>
        </w:rPr>
        <w:t>Radiol</w:t>
      </w:r>
      <w:proofErr w:type="spellEnd"/>
      <w:r w:rsidRPr="00731981">
        <w:rPr>
          <w:rFonts w:ascii="Calibri" w:cs="Calibri"/>
        </w:rPr>
        <w:t>. https://doi.org/10.1016/j.acra.2019.04.008</w:t>
      </w:r>
    </w:p>
    <w:p w14:paraId="0A177DD7" w14:textId="77777777" w:rsidR="00731981" w:rsidRPr="00731981" w:rsidRDefault="00731981" w:rsidP="00731981">
      <w:pPr>
        <w:pStyle w:val="Bibliography"/>
        <w:rPr>
          <w:rFonts w:ascii="Calibri" w:cs="Calibri"/>
        </w:rPr>
      </w:pPr>
      <w:r w:rsidRPr="00731981">
        <w:rPr>
          <w:rFonts w:ascii="Calibri" w:cs="Calibri"/>
        </w:rPr>
        <w:t xml:space="preserve">58. </w:t>
      </w:r>
      <w:r w:rsidRPr="00731981">
        <w:rPr>
          <w:rFonts w:ascii="Calibri" w:cs="Calibri"/>
        </w:rPr>
        <w:tab/>
        <w:t xml:space="preserve">Raveendran S, Rajendra Benny K, Monica S, et al (2019) Multiple Stab Incisions and Evacuation Technique for Contrast Extravasation of the Hand and Forearm. J Hand </w:t>
      </w:r>
      <w:proofErr w:type="spellStart"/>
      <w:r w:rsidRPr="00731981">
        <w:rPr>
          <w:rFonts w:ascii="Calibri" w:cs="Calibri"/>
        </w:rPr>
        <w:t>Surg</w:t>
      </w:r>
      <w:proofErr w:type="spellEnd"/>
      <w:r w:rsidRPr="00731981">
        <w:rPr>
          <w:rFonts w:ascii="Calibri" w:cs="Calibri"/>
        </w:rPr>
        <w:t xml:space="preserve"> </w:t>
      </w:r>
      <w:proofErr w:type="gramStart"/>
      <w:r w:rsidRPr="00731981">
        <w:rPr>
          <w:rFonts w:ascii="Calibri" w:cs="Calibri"/>
        </w:rPr>
        <w:t>44:71.e</w:t>
      </w:r>
      <w:proofErr w:type="gramEnd"/>
      <w:r w:rsidRPr="00731981">
        <w:rPr>
          <w:rFonts w:ascii="Calibri" w:cs="Calibri"/>
        </w:rPr>
        <w:t>1-71.e5. https://doi.org/10.1016/j.jhsa.2018.08.009</w:t>
      </w:r>
    </w:p>
    <w:p w14:paraId="4243545B" w14:textId="77777777" w:rsidR="00731981" w:rsidRPr="00731981" w:rsidRDefault="00731981" w:rsidP="00731981">
      <w:pPr>
        <w:pStyle w:val="Bibliography"/>
        <w:rPr>
          <w:rFonts w:ascii="Calibri" w:cs="Calibri"/>
        </w:rPr>
      </w:pPr>
      <w:r w:rsidRPr="00731981">
        <w:rPr>
          <w:rFonts w:ascii="Calibri" w:cs="Calibri"/>
        </w:rPr>
        <w:t xml:space="preserve">59. </w:t>
      </w:r>
      <w:r w:rsidRPr="00731981">
        <w:rPr>
          <w:rFonts w:ascii="Calibri" w:cs="Calibri"/>
        </w:rPr>
        <w:tab/>
      </w:r>
      <w:proofErr w:type="spellStart"/>
      <w:r w:rsidRPr="00731981">
        <w:rPr>
          <w:rFonts w:ascii="Calibri" w:cs="Calibri"/>
        </w:rPr>
        <w:t>Favot</w:t>
      </w:r>
      <w:proofErr w:type="spellEnd"/>
      <w:r w:rsidRPr="00731981">
        <w:rPr>
          <w:rFonts w:ascii="Calibri" w:cs="Calibri"/>
        </w:rPr>
        <w:t xml:space="preserve"> M, </w:t>
      </w:r>
      <w:proofErr w:type="spellStart"/>
      <w:r w:rsidRPr="00731981">
        <w:rPr>
          <w:rFonts w:ascii="Calibri" w:cs="Calibri"/>
        </w:rPr>
        <w:t>Gallien</w:t>
      </w:r>
      <w:proofErr w:type="spellEnd"/>
      <w:r w:rsidRPr="00731981">
        <w:rPr>
          <w:rFonts w:ascii="Calibri" w:cs="Calibri"/>
        </w:rPr>
        <w:t xml:space="preserve"> J, Malik A, et al (2019) Contrast Extravasation as a Complication of Emergency Nurse-Performed Ultrasound-Guided Peripheral Intravenous Catheter Placement. J </w:t>
      </w:r>
      <w:proofErr w:type="spellStart"/>
      <w:r w:rsidRPr="00731981">
        <w:rPr>
          <w:rFonts w:ascii="Calibri" w:cs="Calibri"/>
        </w:rPr>
        <w:t>Emerg</w:t>
      </w:r>
      <w:proofErr w:type="spellEnd"/>
      <w:r w:rsidRPr="00731981">
        <w:rPr>
          <w:rFonts w:ascii="Calibri" w:cs="Calibri"/>
        </w:rPr>
        <w:t xml:space="preserve"> </w:t>
      </w:r>
      <w:proofErr w:type="spellStart"/>
      <w:r w:rsidRPr="00731981">
        <w:rPr>
          <w:rFonts w:ascii="Calibri" w:cs="Calibri"/>
        </w:rPr>
        <w:t>Nurs</w:t>
      </w:r>
      <w:proofErr w:type="spellEnd"/>
      <w:r w:rsidRPr="00731981">
        <w:rPr>
          <w:rFonts w:ascii="Calibri" w:cs="Calibri"/>
        </w:rPr>
        <w:t xml:space="preserve"> 45:512–516. https://doi.org/10.1016/j.jen.2019.05.016</w:t>
      </w:r>
    </w:p>
    <w:p w14:paraId="2C080A31" w14:textId="77777777" w:rsidR="00731981" w:rsidRPr="00731981" w:rsidRDefault="00731981" w:rsidP="00731981">
      <w:pPr>
        <w:pStyle w:val="Bibliography"/>
        <w:rPr>
          <w:rFonts w:ascii="Calibri" w:cs="Calibri"/>
        </w:rPr>
      </w:pPr>
      <w:r w:rsidRPr="00731981">
        <w:rPr>
          <w:rFonts w:ascii="Calibri" w:cs="Calibri"/>
        </w:rPr>
        <w:t xml:space="preserve">60. </w:t>
      </w:r>
      <w:r w:rsidRPr="00731981">
        <w:rPr>
          <w:rFonts w:ascii="Calibri" w:cs="Calibri"/>
        </w:rPr>
        <w:tab/>
        <w:t xml:space="preserve">Stroeder J, Fries P, </w:t>
      </w:r>
      <w:proofErr w:type="spellStart"/>
      <w:r w:rsidRPr="00731981">
        <w:rPr>
          <w:rFonts w:ascii="Calibri" w:cs="Calibri"/>
        </w:rPr>
        <w:t>Raczeck</w:t>
      </w:r>
      <w:proofErr w:type="spellEnd"/>
      <w:r w:rsidRPr="00731981">
        <w:rPr>
          <w:rFonts w:ascii="Calibri" w:cs="Calibri"/>
        </w:rPr>
        <w:t xml:space="preserve"> P, et al (2020) Prospective safety evaluation of automated </w:t>
      </w:r>
      <w:proofErr w:type="spellStart"/>
      <w:r w:rsidRPr="00731981">
        <w:rPr>
          <w:rFonts w:ascii="Calibri" w:cs="Calibri"/>
        </w:rPr>
        <w:t>iomeprol</w:t>
      </w:r>
      <w:proofErr w:type="spellEnd"/>
      <w:r w:rsidRPr="00731981">
        <w:rPr>
          <w:rFonts w:ascii="Calibri" w:cs="Calibri"/>
        </w:rPr>
        <w:t xml:space="preserve"> 400 injections for CT through peripheral venous cannulas. Clin </w:t>
      </w:r>
      <w:proofErr w:type="spellStart"/>
      <w:r w:rsidRPr="00731981">
        <w:rPr>
          <w:rFonts w:ascii="Calibri" w:cs="Calibri"/>
        </w:rPr>
        <w:t>Radiol</w:t>
      </w:r>
      <w:proofErr w:type="spellEnd"/>
      <w:r w:rsidRPr="00731981">
        <w:rPr>
          <w:rFonts w:ascii="Calibri" w:cs="Calibri"/>
        </w:rPr>
        <w:t xml:space="preserve"> </w:t>
      </w:r>
      <w:proofErr w:type="gramStart"/>
      <w:r w:rsidRPr="00731981">
        <w:rPr>
          <w:rFonts w:ascii="Calibri" w:cs="Calibri"/>
        </w:rPr>
        <w:t>75:396.e</w:t>
      </w:r>
      <w:proofErr w:type="gramEnd"/>
      <w:r w:rsidRPr="00731981">
        <w:rPr>
          <w:rFonts w:ascii="Calibri" w:cs="Calibri"/>
        </w:rPr>
        <w:t>1-396.e6. https://doi.org/10.1016/j.crad.2019.12.013</w:t>
      </w:r>
    </w:p>
    <w:p w14:paraId="4B7BB931" w14:textId="77777777" w:rsidR="00731981" w:rsidRPr="00731981" w:rsidRDefault="00731981" w:rsidP="00731981">
      <w:pPr>
        <w:pStyle w:val="Bibliography"/>
        <w:rPr>
          <w:rFonts w:ascii="Calibri" w:cs="Calibri"/>
        </w:rPr>
      </w:pPr>
      <w:r w:rsidRPr="00731981">
        <w:rPr>
          <w:rFonts w:ascii="Calibri" w:cs="Calibri"/>
        </w:rPr>
        <w:t xml:space="preserve">61. </w:t>
      </w:r>
      <w:r w:rsidRPr="00731981">
        <w:rPr>
          <w:rFonts w:ascii="Calibri" w:cs="Calibri"/>
        </w:rPr>
        <w:tab/>
        <w:t xml:space="preserve">van </w:t>
      </w:r>
      <w:proofErr w:type="spellStart"/>
      <w:r w:rsidRPr="00731981">
        <w:rPr>
          <w:rFonts w:ascii="Calibri" w:cs="Calibri"/>
        </w:rPr>
        <w:t>Veelen</w:t>
      </w:r>
      <w:proofErr w:type="spellEnd"/>
      <w:r w:rsidRPr="00731981">
        <w:rPr>
          <w:rFonts w:ascii="Calibri" w:cs="Calibri"/>
        </w:rPr>
        <w:t xml:space="preserve"> NM, Link B-C, Donner G, et al (2020) Compartment syndrome of the forearm caused by contrast medium extravasation: A case report and review of the literature. Clin Imaging 61:58–61. https://doi.org/10.1016/j.clinimag.2020.01.013</w:t>
      </w:r>
    </w:p>
    <w:p w14:paraId="647C59E6" w14:textId="7008AE8E" w:rsidR="00731981" w:rsidRPr="00731981" w:rsidRDefault="00731981" w:rsidP="00731981">
      <w:pPr>
        <w:pStyle w:val="Bibliography"/>
        <w:rPr>
          <w:rFonts w:ascii="Calibri" w:cs="Calibri"/>
        </w:rPr>
      </w:pPr>
      <w:r w:rsidRPr="00731981">
        <w:rPr>
          <w:rFonts w:ascii="Calibri" w:cs="Calibri"/>
        </w:rPr>
        <w:t xml:space="preserve">62. </w:t>
      </w:r>
      <w:r w:rsidRPr="00731981">
        <w:rPr>
          <w:rFonts w:ascii="Calibri" w:cs="Calibri"/>
        </w:rPr>
        <w:tab/>
        <w:t>National Heart, Lung, and Blood Institute. (2019). Study Quality Assessment Tools. https://www.nhlbi.nih.gov/health-topics/study-quality-assessment-tools. Accessed 6 Sep 2020</w:t>
      </w:r>
    </w:p>
    <w:p w14:paraId="1191C93D" w14:textId="528547B5" w:rsidR="00731981" w:rsidRPr="00731981" w:rsidRDefault="00731981" w:rsidP="00731981">
      <w:pPr>
        <w:pStyle w:val="Bibliography"/>
        <w:rPr>
          <w:rFonts w:ascii="Calibri" w:cs="Calibri"/>
        </w:rPr>
      </w:pPr>
      <w:r w:rsidRPr="00731981">
        <w:rPr>
          <w:rFonts w:ascii="Calibri" w:cs="Calibri"/>
        </w:rPr>
        <w:t xml:space="preserve">63. </w:t>
      </w:r>
      <w:r w:rsidRPr="00731981">
        <w:rPr>
          <w:rFonts w:ascii="Calibri" w:cs="Calibri"/>
        </w:rPr>
        <w:tab/>
        <w:t>OCEBM Levels of Evidence.</w:t>
      </w:r>
      <w:r>
        <w:rPr>
          <w:rFonts w:ascii="Calibri" w:cs="Calibri"/>
        </w:rPr>
        <w:t xml:space="preserve"> (2016)</w:t>
      </w:r>
      <w:r w:rsidRPr="00731981">
        <w:rPr>
          <w:rFonts w:ascii="Calibri" w:cs="Calibri"/>
        </w:rPr>
        <w:t xml:space="preserve"> In: CEBM. https://www.cebm.net/2016/05/ocebm-levels-of-evidence/. Accessed 10 Nov 2019</w:t>
      </w:r>
    </w:p>
    <w:p w14:paraId="04DE48B5" w14:textId="39685FEF" w:rsidR="00D50964" w:rsidRDefault="00731981" w:rsidP="00A6111E">
      <w:pPr>
        <w:rPr>
          <w:rFonts w:cstheme="minorHAnsi"/>
          <w:b/>
          <w:bCs/>
        </w:rPr>
      </w:pPr>
      <w:r>
        <w:rPr>
          <w:rFonts w:cstheme="minorHAnsi"/>
          <w:b/>
          <w:bCs/>
        </w:rPr>
        <w:fldChar w:fldCharType="end"/>
      </w:r>
    </w:p>
    <w:p w14:paraId="0887ECDC" w14:textId="77777777" w:rsidR="00D50964" w:rsidRDefault="00D50964" w:rsidP="00A6111E">
      <w:pPr>
        <w:rPr>
          <w:rFonts w:cstheme="minorHAnsi"/>
          <w:b/>
          <w:bCs/>
        </w:rPr>
      </w:pPr>
    </w:p>
    <w:p w14:paraId="4946987D" w14:textId="3454D7F7" w:rsidR="000249D5" w:rsidRDefault="000249D5" w:rsidP="00A6111E">
      <w:pPr>
        <w:rPr>
          <w:rFonts w:cstheme="minorHAnsi"/>
          <w:b/>
          <w:bCs/>
        </w:rPr>
      </w:pPr>
    </w:p>
    <w:p w14:paraId="3C675727" w14:textId="6E665423" w:rsidR="0078604E" w:rsidRDefault="0078604E" w:rsidP="00A6111E">
      <w:pPr>
        <w:rPr>
          <w:rFonts w:cstheme="minorHAnsi"/>
          <w:b/>
          <w:bCs/>
        </w:rPr>
      </w:pPr>
    </w:p>
    <w:p w14:paraId="33A01F1D" w14:textId="77777777" w:rsidR="009839F8" w:rsidRPr="009839F8" w:rsidRDefault="009839F8" w:rsidP="009839F8"/>
    <w:p w14:paraId="2546929D" w14:textId="1F735599" w:rsidR="00F27F54" w:rsidRDefault="00F27F54" w:rsidP="00A6111E">
      <w:pPr>
        <w:rPr>
          <w:rFonts w:cstheme="minorHAnsi"/>
          <w:b/>
          <w:bCs/>
        </w:rPr>
      </w:pPr>
    </w:p>
    <w:p w14:paraId="26A789C7" w14:textId="045D5DCE" w:rsidR="00F27F54" w:rsidRDefault="00F27F54" w:rsidP="00A6111E">
      <w:pPr>
        <w:rPr>
          <w:rFonts w:cstheme="minorHAnsi"/>
          <w:b/>
          <w:bCs/>
        </w:rPr>
      </w:pPr>
    </w:p>
    <w:p w14:paraId="593F1A62" w14:textId="77777777" w:rsidR="00F27F54" w:rsidRPr="00E55108" w:rsidRDefault="00F27F54" w:rsidP="00A6111E">
      <w:pPr>
        <w:rPr>
          <w:rFonts w:cstheme="minorHAnsi"/>
          <w:b/>
          <w:bCs/>
        </w:rPr>
      </w:pPr>
    </w:p>
    <w:sectPr w:rsidR="00F27F54" w:rsidRPr="00E55108" w:rsidSect="008F7F2A">
      <w:footerReference w:type="even" r:id="rId8"/>
      <w:footerReference w:type="default" r:id="rId9"/>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FF211" w14:textId="77777777" w:rsidR="00CC284F" w:rsidRDefault="00CC284F" w:rsidP="00A612C2">
      <w:r>
        <w:separator/>
      </w:r>
    </w:p>
  </w:endnote>
  <w:endnote w:type="continuationSeparator" w:id="0">
    <w:p w14:paraId="7C5705FC" w14:textId="77777777" w:rsidR="00CC284F" w:rsidRDefault="00CC284F" w:rsidP="00A6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9829451"/>
      <w:docPartObj>
        <w:docPartGallery w:val="Page Numbers (Bottom of Page)"/>
        <w:docPartUnique/>
      </w:docPartObj>
    </w:sdtPr>
    <w:sdtEndPr>
      <w:rPr>
        <w:rStyle w:val="PageNumber"/>
      </w:rPr>
    </w:sdtEndPr>
    <w:sdtContent>
      <w:p w14:paraId="7DB0EAD8" w14:textId="17960B60" w:rsidR="00A612C2" w:rsidRDefault="00A612C2" w:rsidP="00A23B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114C82" w14:textId="77777777" w:rsidR="00A612C2" w:rsidRDefault="00A612C2" w:rsidP="00A612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3588299"/>
      <w:docPartObj>
        <w:docPartGallery w:val="Page Numbers (Bottom of Page)"/>
        <w:docPartUnique/>
      </w:docPartObj>
    </w:sdtPr>
    <w:sdtEndPr>
      <w:rPr>
        <w:rStyle w:val="PageNumber"/>
      </w:rPr>
    </w:sdtEndPr>
    <w:sdtContent>
      <w:p w14:paraId="78172ABD" w14:textId="1F990C29" w:rsidR="00A612C2" w:rsidRDefault="00A612C2" w:rsidP="00A23B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6E509B" w14:textId="77777777" w:rsidR="00A612C2" w:rsidRDefault="00A612C2" w:rsidP="00A612C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82A83" w14:textId="77777777" w:rsidR="00CC284F" w:rsidRDefault="00CC284F" w:rsidP="00A612C2">
      <w:r>
        <w:separator/>
      </w:r>
    </w:p>
  </w:footnote>
  <w:footnote w:type="continuationSeparator" w:id="0">
    <w:p w14:paraId="5C423BF3" w14:textId="77777777" w:rsidR="00CC284F" w:rsidRDefault="00CC284F" w:rsidP="00A61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34142"/>
    <w:multiLevelType w:val="hybridMultilevel"/>
    <w:tmpl w:val="729A0D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E61756"/>
    <w:multiLevelType w:val="hybridMultilevel"/>
    <w:tmpl w:val="FC501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862E99"/>
    <w:multiLevelType w:val="hybridMultilevel"/>
    <w:tmpl w:val="AFE8C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8634A1"/>
    <w:multiLevelType w:val="multilevel"/>
    <w:tmpl w:val="2C4E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C74DF"/>
    <w:multiLevelType w:val="hybridMultilevel"/>
    <w:tmpl w:val="B5AC3B7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F14B3"/>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B4E1128"/>
    <w:multiLevelType w:val="multilevel"/>
    <w:tmpl w:val="AC9A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6663E"/>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4B41194"/>
    <w:multiLevelType w:val="hybridMultilevel"/>
    <w:tmpl w:val="FD1EE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721135"/>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8693AEF"/>
    <w:multiLevelType w:val="hybridMultilevel"/>
    <w:tmpl w:val="AA5E41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B528D5"/>
    <w:multiLevelType w:val="multilevel"/>
    <w:tmpl w:val="796C86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27562BD"/>
    <w:multiLevelType w:val="hybridMultilevel"/>
    <w:tmpl w:val="5EDE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976D15"/>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7A6715DB"/>
    <w:multiLevelType w:val="hybridMultilevel"/>
    <w:tmpl w:val="5CCA0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C60861"/>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7FA94FD9"/>
    <w:multiLevelType w:val="multilevel"/>
    <w:tmpl w:val="2C4E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1"/>
  </w:num>
  <w:num w:numId="4">
    <w:abstractNumId w:val="3"/>
  </w:num>
  <w:num w:numId="5">
    <w:abstractNumId w:val="10"/>
  </w:num>
  <w:num w:numId="6">
    <w:abstractNumId w:val="13"/>
  </w:num>
  <w:num w:numId="7">
    <w:abstractNumId w:val="5"/>
  </w:num>
  <w:num w:numId="8">
    <w:abstractNumId w:val="16"/>
  </w:num>
  <w:num w:numId="9">
    <w:abstractNumId w:val="15"/>
  </w:num>
  <w:num w:numId="10">
    <w:abstractNumId w:val="9"/>
  </w:num>
  <w:num w:numId="11">
    <w:abstractNumId w:val="8"/>
  </w:num>
  <w:num w:numId="12">
    <w:abstractNumId w:val="1"/>
  </w:num>
  <w:num w:numId="13">
    <w:abstractNumId w:val="0"/>
  </w:num>
  <w:num w:numId="14">
    <w:abstractNumId w:val="2"/>
  </w:num>
  <w:num w:numId="15">
    <w:abstractNumId w:val="4"/>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13"/>
    <w:rsid w:val="0000703A"/>
    <w:rsid w:val="000107A8"/>
    <w:rsid w:val="00014683"/>
    <w:rsid w:val="00016FB6"/>
    <w:rsid w:val="00017D1F"/>
    <w:rsid w:val="000249D5"/>
    <w:rsid w:val="0003054C"/>
    <w:rsid w:val="00036FDD"/>
    <w:rsid w:val="00037271"/>
    <w:rsid w:val="0005760D"/>
    <w:rsid w:val="000605AF"/>
    <w:rsid w:val="00060E26"/>
    <w:rsid w:val="000618F6"/>
    <w:rsid w:val="00072D74"/>
    <w:rsid w:val="000731E4"/>
    <w:rsid w:val="00075EF6"/>
    <w:rsid w:val="00077F19"/>
    <w:rsid w:val="00080D37"/>
    <w:rsid w:val="00085FF0"/>
    <w:rsid w:val="000A1936"/>
    <w:rsid w:val="000A4202"/>
    <w:rsid w:val="000B0DFD"/>
    <w:rsid w:val="000B56EE"/>
    <w:rsid w:val="000E434A"/>
    <w:rsid w:val="000E7B61"/>
    <w:rsid w:val="000F2896"/>
    <w:rsid w:val="000F62A3"/>
    <w:rsid w:val="00105087"/>
    <w:rsid w:val="001058A5"/>
    <w:rsid w:val="00105DCD"/>
    <w:rsid w:val="00113914"/>
    <w:rsid w:val="00132F5A"/>
    <w:rsid w:val="00134B0E"/>
    <w:rsid w:val="001374B0"/>
    <w:rsid w:val="001434F6"/>
    <w:rsid w:val="00145311"/>
    <w:rsid w:val="0016059B"/>
    <w:rsid w:val="0016295F"/>
    <w:rsid w:val="00165ABF"/>
    <w:rsid w:val="00173EF9"/>
    <w:rsid w:val="0017753A"/>
    <w:rsid w:val="00180D55"/>
    <w:rsid w:val="00197A1D"/>
    <w:rsid w:val="001A01E0"/>
    <w:rsid w:val="001A1424"/>
    <w:rsid w:val="001A3703"/>
    <w:rsid w:val="001B557F"/>
    <w:rsid w:val="001C14C9"/>
    <w:rsid w:val="001C6BBE"/>
    <w:rsid w:val="001D1164"/>
    <w:rsid w:val="001D3A88"/>
    <w:rsid w:val="001D7D6F"/>
    <w:rsid w:val="001D7FF6"/>
    <w:rsid w:val="001E1CE8"/>
    <w:rsid w:val="001E29D2"/>
    <w:rsid w:val="001E4F87"/>
    <w:rsid w:val="001E7960"/>
    <w:rsid w:val="001F4F2A"/>
    <w:rsid w:val="002140CC"/>
    <w:rsid w:val="00216C06"/>
    <w:rsid w:val="002225C3"/>
    <w:rsid w:val="0022277C"/>
    <w:rsid w:val="00230C2C"/>
    <w:rsid w:val="00232BA1"/>
    <w:rsid w:val="00233245"/>
    <w:rsid w:val="00233DAA"/>
    <w:rsid w:val="0023711E"/>
    <w:rsid w:val="0023771E"/>
    <w:rsid w:val="00240759"/>
    <w:rsid w:val="00252850"/>
    <w:rsid w:val="00252B29"/>
    <w:rsid w:val="002548F9"/>
    <w:rsid w:val="00255202"/>
    <w:rsid w:val="002615FB"/>
    <w:rsid w:val="0026731F"/>
    <w:rsid w:val="002731A7"/>
    <w:rsid w:val="002804E8"/>
    <w:rsid w:val="002809C0"/>
    <w:rsid w:val="00283698"/>
    <w:rsid w:val="00296ADD"/>
    <w:rsid w:val="00297497"/>
    <w:rsid w:val="002A1822"/>
    <w:rsid w:val="002C6560"/>
    <w:rsid w:val="002C6B67"/>
    <w:rsid w:val="002C7E17"/>
    <w:rsid w:val="002D3D91"/>
    <w:rsid w:val="002D7273"/>
    <w:rsid w:val="002E2B2E"/>
    <w:rsid w:val="002E34A3"/>
    <w:rsid w:val="002F6C04"/>
    <w:rsid w:val="003052C5"/>
    <w:rsid w:val="00311F4F"/>
    <w:rsid w:val="003215DD"/>
    <w:rsid w:val="00325688"/>
    <w:rsid w:val="00325FBB"/>
    <w:rsid w:val="0032604B"/>
    <w:rsid w:val="00327E1D"/>
    <w:rsid w:val="0033325D"/>
    <w:rsid w:val="0034028B"/>
    <w:rsid w:val="003414E9"/>
    <w:rsid w:val="00352189"/>
    <w:rsid w:val="00352D9C"/>
    <w:rsid w:val="00354B04"/>
    <w:rsid w:val="00364AD4"/>
    <w:rsid w:val="00365102"/>
    <w:rsid w:val="0036683C"/>
    <w:rsid w:val="0037262D"/>
    <w:rsid w:val="003728D0"/>
    <w:rsid w:val="00375AE0"/>
    <w:rsid w:val="00377B62"/>
    <w:rsid w:val="00377B89"/>
    <w:rsid w:val="003801C5"/>
    <w:rsid w:val="003913C4"/>
    <w:rsid w:val="00397408"/>
    <w:rsid w:val="003A1E19"/>
    <w:rsid w:val="003B37BE"/>
    <w:rsid w:val="003C329E"/>
    <w:rsid w:val="003C3FD2"/>
    <w:rsid w:val="003C3FE1"/>
    <w:rsid w:val="003C6988"/>
    <w:rsid w:val="003D15FF"/>
    <w:rsid w:val="003E0F7C"/>
    <w:rsid w:val="003E253C"/>
    <w:rsid w:val="003E73D0"/>
    <w:rsid w:val="003F5936"/>
    <w:rsid w:val="00404F1B"/>
    <w:rsid w:val="0041412A"/>
    <w:rsid w:val="00417948"/>
    <w:rsid w:val="004417C8"/>
    <w:rsid w:val="0044555C"/>
    <w:rsid w:val="004474C9"/>
    <w:rsid w:val="00457E4C"/>
    <w:rsid w:val="00460561"/>
    <w:rsid w:val="00460B05"/>
    <w:rsid w:val="00463343"/>
    <w:rsid w:val="004748C2"/>
    <w:rsid w:val="0047683E"/>
    <w:rsid w:val="00485926"/>
    <w:rsid w:val="00490CCB"/>
    <w:rsid w:val="00491CA9"/>
    <w:rsid w:val="004A0F12"/>
    <w:rsid w:val="004A6681"/>
    <w:rsid w:val="004A7978"/>
    <w:rsid w:val="004B2898"/>
    <w:rsid w:val="004C2B2D"/>
    <w:rsid w:val="004C2BEE"/>
    <w:rsid w:val="004C3919"/>
    <w:rsid w:val="004C6916"/>
    <w:rsid w:val="004D583F"/>
    <w:rsid w:val="004E320C"/>
    <w:rsid w:val="004F1275"/>
    <w:rsid w:val="00503D76"/>
    <w:rsid w:val="005056E7"/>
    <w:rsid w:val="00506F33"/>
    <w:rsid w:val="00507D87"/>
    <w:rsid w:val="0051484B"/>
    <w:rsid w:val="00515D82"/>
    <w:rsid w:val="0052205A"/>
    <w:rsid w:val="00523D89"/>
    <w:rsid w:val="005336EA"/>
    <w:rsid w:val="00534D26"/>
    <w:rsid w:val="00541851"/>
    <w:rsid w:val="00541982"/>
    <w:rsid w:val="00542C4B"/>
    <w:rsid w:val="00545BF6"/>
    <w:rsid w:val="00552B10"/>
    <w:rsid w:val="00557079"/>
    <w:rsid w:val="00575F84"/>
    <w:rsid w:val="00580DD9"/>
    <w:rsid w:val="00590062"/>
    <w:rsid w:val="00593DDD"/>
    <w:rsid w:val="005A64CE"/>
    <w:rsid w:val="005B6F47"/>
    <w:rsid w:val="005C0FE5"/>
    <w:rsid w:val="005C1B2E"/>
    <w:rsid w:val="005C42FF"/>
    <w:rsid w:val="005C50EB"/>
    <w:rsid w:val="005D34CC"/>
    <w:rsid w:val="005D6980"/>
    <w:rsid w:val="005E5CBA"/>
    <w:rsid w:val="005F12BA"/>
    <w:rsid w:val="005F29C3"/>
    <w:rsid w:val="006021C3"/>
    <w:rsid w:val="006038F6"/>
    <w:rsid w:val="00605A04"/>
    <w:rsid w:val="00605F10"/>
    <w:rsid w:val="00610B3B"/>
    <w:rsid w:val="00611D11"/>
    <w:rsid w:val="006127EA"/>
    <w:rsid w:val="00634CE2"/>
    <w:rsid w:val="0063519E"/>
    <w:rsid w:val="006532C3"/>
    <w:rsid w:val="00667155"/>
    <w:rsid w:val="00671BB8"/>
    <w:rsid w:val="006757C7"/>
    <w:rsid w:val="00677A95"/>
    <w:rsid w:val="00683E7E"/>
    <w:rsid w:val="00692EEC"/>
    <w:rsid w:val="006956A6"/>
    <w:rsid w:val="006A0CAE"/>
    <w:rsid w:val="006A4DCB"/>
    <w:rsid w:val="006A5FDD"/>
    <w:rsid w:val="006B20AD"/>
    <w:rsid w:val="006B274A"/>
    <w:rsid w:val="006B393E"/>
    <w:rsid w:val="006B6F6F"/>
    <w:rsid w:val="006C04C6"/>
    <w:rsid w:val="006C5EFC"/>
    <w:rsid w:val="006C7DA8"/>
    <w:rsid w:val="006D0E6E"/>
    <w:rsid w:val="006D4189"/>
    <w:rsid w:val="006F053A"/>
    <w:rsid w:val="006F069D"/>
    <w:rsid w:val="00702069"/>
    <w:rsid w:val="00707F4C"/>
    <w:rsid w:val="007120BB"/>
    <w:rsid w:val="0071398C"/>
    <w:rsid w:val="00721D91"/>
    <w:rsid w:val="007260E4"/>
    <w:rsid w:val="00731981"/>
    <w:rsid w:val="00736882"/>
    <w:rsid w:val="00736ED7"/>
    <w:rsid w:val="007403E2"/>
    <w:rsid w:val="00757CF8"/>
    <w:rsid w:val="00764A4F"/>
    <w:rsid w:val="00771C91"/>
    <w:rsid w:val="00776CDC"/>
    <w:rsid w:val="007773FB"/>
    <w:rsid w:val="00780F9E"/>
    <w:rsid w:val="00785A85"/>
    <w:rsid w:val="0078604E"/>
    <w:rsid w:val="00797C29"/>
    <w:rsid w:val="00797F0A"/>
    <w:rsid w:val="007B21CF"/>
    <w:rsid w:val="007B3CBD"/>
    <w:rsid w:val="007C70BC"/>
    <w:rsid w:val="007E1329"/>
    <w:rsid w:val="007F4A65"/>
    <w:rsid w:val="00803B00"/>
    <w:rsid w:val="008105A2"/>
    <w:rsid w:val="00812DA9"/>
    <w:rsid w:val="00813205"/>
    <w:rsid w:val="00817EFF"/>
    <w:rsid w:val="008229B5"/>
    <w:rsid w:val="00825B35"/>
    <w:rsid w:val="00825D60"/>
    <w:rsid w:val="0083342C"/>
    <w:rsid w:val="0083356D"/>
    <w:rsid w:val="0084205E"/>
    <w:rsid w:val="00844BC0"/>
    <w:rsid w:val="00862279"/>
    <w:rsid w:val="00867367"/>
    <w:rsid w:val="00890CFD"/>
    <w:rsid w:val="00891EBE"/>
    <w:rsid w:val="008966EC"/>
    <w:rsid w:val="008A06BB"/>
    <w:rsid w:val="008A31C6"/>
    <w:rsid w:val="008A40D7"/>
    <w:rsid w:val="008A4353"/>
    <w:rsid w:val="008A5DC0"/>
    <w:rsid w:val="008B289D"/>
    <w:rsid w:val="008B7552"/>
    <w:rsid w:val="008C040C"/>
    <w:rsid w:val="008C5F81"/>
    <w:rsid w:val="008D6CC7"/>
    <w:rsid w:val="008D7257"/>
    <w:rsid w:val="008E3E09"/>
    <w:rsid w:val="008F188A"/>
    <w:rsid w:val="008F3673"/>
    <w:rsid w:val="008F7F2A"/>
    <w:rsid w:val="009033BA"/>
    <w:rsid w:val="00914016"/>
    <w:rsid w:val="00916735"/>
    <w:rsid w:val="0091789E"/>
    <w:rsid w:val="00920F57"/>
    <w:rsid w:val="009212C0"/>
    <w:rsid w:val="00923230"/>
    <w:rsid w:val="009301DD"/>
    <w:rsid w:val="00936502"/>
    <w:rsid w:val="0094000E"/>
    <w:rsid w:val="00941138"/>
    <w:rsid w:val="009475D5"/>
    <w:rsid w:val="00947E6A"/>
    <w:rsid w:val="00950632"/>
    <w:rsid w:val="009658F1"/>
    <w:rsid w:val="0097206B"/>
    <w:rsid w:val="00974783"/>
    <w:rsid w:val="009839F8"/>
    <w:rsid w:val="00984A22"/>
    <w:rsid w:val="0099155D"/>
    <w:rsid w:val="00995FEC"/>
    <w:rsid w:val="009A703D"/>
    <w:rsid w:val="009B7065"/>
    <w:rsid w:val="009C3305"/>
    <w:rsid w:val="009C672A"/>
    <w:rsid w:val="009D112A"/>
    <w:rsid w:val="009E14F6"/>
    <w:rsid w:val="009E310E"/>
    <w:rsid w:val="009E35C3"/>
    <w:rsid w:val="009F3803"/>
    <w:rsid w:val="009F40C1"/>
    <w:rsid w:val="009F76FD"/>
    <w:rsid w:val="00A023DF"/>
    <w:rsid w:val="00A0630F"/>
    <w:rsid w:val="00A072F0"/>
    <w:rsid w:val="00A07466"/>
    <w:rsid w:val="00A07892"/>
    <w:rsid w:val="00A16951"/>
    <w:rsid w:val="00A220C7"/>
    <w:rsid w:val="00A2294E"/>
    <w:rsid w:val="00A23BF9"/>
    <w:rsid w:val="00A31654"/>
    <w:rsid w:val="00A328E0"/>
    <w:rsid w:val="00A35743"/>
    <w:rsid w:val="00A37202"/>
    <w:rsid w:val="00A4695C"/>
    <w:rsid w:val="00A46C7B"/>
    <w:rsid w:val="00A478F8"/>
    <w:rsid w:val="00A50CBB"/>
    <w:rsid w:val="00A52E4B"/>
    <w:rsid w:val="00A6111E"/>
    <w:rsid w:val="00A612C2"/>
    <w:rsid w:val="00A64345"/>
    <w:rsid w:val="00A67837"/>
    <w:rsid w:val="00A7362D"/>
    <w:rsid w:val="00A7443F"/>
    <w:rsid w:val="00A74942"/>
    <w:rsid w:val="00A80AD4"/>
    <w:rsid w:val="00A81438"/>
    <w:rsid w:val="00A8555F"/>
    <w:rsid w:val="00A87349"/>
    <w:rsid w:val="00A92D34"/>
    <w:rsid w:val="00AA023A"/>
    <w:rsid w:val="00AA6109"/>
    <w:rsid w:val="00AB2566"/>
    <w:rsid w:val="00AB664E"/>
    <w:rsid w:val="00AC0A0A"/>
    <w:rsid w:val="00AC2AEB"/>
    <w:rsid w:val="00AC4BAE"/>
    <w:rsid w:val="00AC5060"/>
    <w:rsid w:val="00AC5807"/>
    <w:rsid w:val="00AC7220"/>
    <w:rsid w:val="00AD108E"/>
    <w:rsid w:val="00AD3420"/>
    <w:rsid w:val="00AD666E"/>
    <w:rsid w:val="00AD76DD"/>
    <w:rsid w:val="00AD7A58"/>
    <w:rsid w:val="00AE3E93"/>
    <w:rsid w:val="00AE44C7"/>
    <w:rsid w:val="00AE7846"/>
    <w:rsid w:val="00B0238F"/>
    <w:rsid w:val="00B0467A"/>
    <w:rsid w:val="00B21602"/>
    <w:rsid w:val="00B2600B"/>
    <w:rsid w:val="00B26697"/>
    <w:rsid w:val="00B47945"/>
    <w:rsid w:val="00B50938"/>
    <w:rsid w:val="00B50B6C"/>
    <w:rsid w:val="00B51257"/>
    <w:rsid w:val="00B52761"/>
    <w:rsid w:val="00B536B0"/>
    <w:rsid w:val="00B5684E"/>
    <w:rsid w:val="00B60CDC"/>
    <w:rsid w:val="00B64A22"/>
    <w:rsid w:val="00B705BB"/>
    <w:rsid w:val="00B73A24"/>
    <w:rsid w:val="00B860FB"/>
    <w:rsid w:val="00B91F4F"/>
    <w:rsid w:val="00B951C8"/>
    <w:rsid w:val="00BA6185"/>
    <w:rsid w:val="00BA78CF"/>
    <w:rsid w:val="00BB05D9"/>
    <w:rsid w:val="00BB4A6D"/>
    <w:rsid w:val="00BB50C1"/>
    <w:rsid w:val="00BB51C1"/>
    <w:rsid w:val="00BC12CB"/>
    <w:rsid w:val="00BC2FF2"/>
    <w:rsid w:val="00BC39D2"/>
    <w:rsid w:val="00BC6EAB"/>
    <w:rsid w:val="00BD5BCE"/>
    <w:rsid w:val="00BD716E"/>
    <w:rsid w:val="00BF0A46"/>
    <w:rsid w:val="00BF654B"/>
    <w:rsid w:val="00BF7F43"/>
    <w:rsid w:val="00C02697"/>
    <w:rsid w:val="00C05971"/>
    <w:rsid w:val="00C14B80"/>
    <w:rsid w:val="00C20461"/>
    <w:rsid w:val="00C205A6"/>
    <w:rsid w:val="00C252CA"/>
    <w:rsid w:val="00C265B9"/>
    <w:rsid w:val="00C401A6"/>
    <w:rsid w:val="00C42DDA"/>
    <w:rsid w:val="00C536D6"/>
    <w:rsid w:val="00C55491"/>
    <w:rsid w:val="00C56D10"/>
    <w:rsid w:val="00C66940"/>
    <w:rsid w:val="00C67742"/>
    <w:rsid w:val="00C70ED9"/>
    <w:rsid w:val="00C73889"/>
    <w:rsid w:val="00C809A9"/>
    <w:rsid w:val="00C82801"/>
    <w:rsid w:val="00C832BE"/>
    <w:rsid w:val="00CB033A"/>
    <w:rsid w:val="00CB116C"/>
    <w:rsid w:val="00CC0BE6"/>
    <w:rsid w:val="00CC284F"/>
    <w:rsid w:val="00CC34C8"/>
    <w:rsid w:val="00CC7200"/>
    <w:rsid w:val="00CD77F5"/>
    <w:rsid w:val="00CD7A4C"/>
    <w:rsid w:val="00CE6F6B"/>
    <w:rsid w:val="00CE7DBE"/>
    <w:rsid w:val="00CF3343"/>
    <w:rsid w:val="00D0450A"/>
    <w:rsid w:val="00D129B2"/>
    <w:rsid w:val="00D155EE"/>
    <w:rsid w:val="00D254AE"/>
    <w:rsid w:val="00D26FE0"/>
    <w:rsid w:val="00D3587C"/>
    <w:rsid w:val="00D41974"/>
    <w:rsid w:val="00D45ECC"/>
    <w:rsid w:val="00D47BD6"/>
    <w:rsid w:val="00D501C9"/>
    <w:rsid w:val="00D50964"/>
    <w:rsid w:val="00D53C39"/>
    <w:rsid w:val="00D545B0"/>
    <w:rsid w:val="00D56EEA"/>
    <w:rsid w:val="00D571F6"/>
    <w:rsid w:val="00D60FCB"/>
    <w:rsid w:val="00D72863"/>
    <w:rsid w:val="00D72FB6"/>
    <w:rsid w:val="00D73441"/>
    <w:rsid w:val="00D738FC"/>
    <w:rsid w:val="00D74203"/>
    <w:rsid w:val="00D778F0"/>
    <w:rsid w:val="00D83DD2"/>
    <w:rsid w:val="00D9516A"/>
    <w:rsid w:val="00D956C5"/>
    <w:rsid w:val="00DA032B"/>
    <w:rsid w:val="00DA137D"/>
    <w:rsid w:val="00DA422E"/>
    <w:rsid w:val="00DB3172"/>
    <w:rsid w:val="00DB5FBA"/>
    <w:rsid w:val="00DC5BB5"/>
    <w:rsid w:val="00DD11A1"/>
    <w:rsid w:val="00DD4674"/>
    <w:rsid w:val="00DD5A0B"/>
    <w:rsid w:val="00DF18BE"/>
    <w:rsid w:val="00DF4332"/>
    <w:rsid w:val="00E00A3D"/>
    <w:rsid w:val="00E010B6"/>
    <w:rsid w:val="00E07178"/>
    <w:rsid w:val="00E07308"/>
    <w:rsid w:val="00E1009D"/>
    <w:rsid w:val="00E13793"/>
    <w:rsid w:val="00E1575F"/>
    <w:rsid w:val="00E21DFA"/>
    <w:rsid w:val="00E269E9"/>
    <w:rsid w:val="00E3169C"/>
    <w:rsid w:val="00E35E5C"/>
    <w:rsid w:val="00E36B87"/>
    <w:rsid w:val="00E50D69"/>
    <w:rsid w:val="00E550D1"/>
    <w:rsid w:val="00E55108"/>
    <w:rsid w:val="00E57A77"/>
    <w:rsid w:val="00E6010B"/>
    <w:rsid w:val="00E619E1"/>
    <w:rsid w:val="00E678E0"/>
    <w:rsid w:val="00E702CE"/>
    <w:rsid w:val="00E83C77"/>
    <w:rsid w:val="00E91D42"/>
    <w:rsid w:val="00E91F0B"/>
    <w:rsid w:val="00E9476C"/>
    <w:rsid w:val="00E96C0C"/>
    <w:rsid w:val="00EA31CB"/>
    <w:rsid w:val="00EA46FF"/>
    <w:rsid w:val="00EA6C95"/>
    <w:rsid w:val="00EB2A8A"/>
    <w:rsid w:val="00EC183F"/>
    <w:rsid w:val="00EC44A4"/>
    <w:rsid w:val="00EC7F0D"/>
    <w:rsid w:val="00EE1305"/>
    <w:rsid w:val="00EE5513"/>
    <w:rsid w:val="00EE5A84"/>
    <w:rsid w:val="00EF2D10"/>
    <w:rsid w:val="00EF4834"/>
    <w:rsid w:val="00F07245"/>
    <w:rsid w:val="00F07284"/>
    <w:rsid w:val="00F11B6F"/>
    <w:rsid w:val="00F13E45"/>
    <w:rsid w:val="00F17EC2"/>
    <w:rsid w:val="00F20B13"/>
    <w:rsid w:val="00F22EAC"/>
    <w:rsid w:val="00F26FC2"/>
    <w:rsid w:val="00F27F54"/>
    <w:rsid w:val="00F340FD"/>
    <w:rsid w:val="00F346D9"/>
    <w:rsid w:val="00F367EB"/>
    <w:rsid w:val="00F43AEF"/>
    <w:rsid w:val="00F44543"/>
    <w:rsid w:val="00F47299"/>
    <w:rsid w:val="00F50784"/>
    <w:rsid w:val="00F674C8"/>
    <w:rsid w:val="00F74DD9"/>
    <w:rsid w:val="00F757FF"/>
    <w:rsid w:val="00F764BA"/>
    <w:rsid w:val="00F7787E"/>
    <w:rsid w:val="00F857B9"/>
    <w:rsid w:val="00F9171F"/>
    <w:rsid w:val="00F91E14"/>
    <w:rsid w:val="00F9270E"/>
    <w:rsid w:val="00F96703"/>
    <w:rsid w:val="00FC2235"/>
    <w:rsid w:val="00FC7B0B"/>
    <w:rsid w:val="00FD095F"/>
    <w:rsid w:val="00FD444D"/>
    <w:rsid w:val="00FD4CEB"/>
    <w:rsid w:val="00FD58E0"/>
    <w:rsid w:val="00FF4EA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284197"/>
  <w15:docId w15:val="{780F0D16-D53B-C64E-9D04-578872659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F0B"/>
    <w:rPr>
      <w:rFonts w:eastAsia="Times New Roman" w:cs="Times New Roman"/>
      <w:lang w:eastAsia="en-GB"/>
    </w:rPr>
  </w:style>
  <w:style w:type="paragraph" w:styleId="Heading1">
    <w:name w:val="heading 1"/>
    <w:basedOn w:val="Normal"/>
    <w:next w:val="Normal"/>
    <w:link w:val="Heading1Char"/>
    <w:uiPriority w:val="9"/>
    <w:qFormat/>
    <w:rsid w:val="002F6C04"/>
    <w:pPr>
      <w:keepNext/>
      <w:keepLines/>
      <w:spacing w:before="24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nhideWhenUsed/>
    <w:qFormat/>
    <w:rsid w:val="00AE44C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4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3DD2"/>
    <w:pPr>
      <w:ind w:left="720"/>
      <w:contextualSpacing/>
    </w:pPr>
    <w:rPr>
      <w:rFonts w:eastAsiaTheme="minorHAnsi" w:cstheme="minorBidi"/>
      <w:lang w:eastAsia="en-US"/>
    </w:rPr>
  </w:style>
  <w:style w:type="paragraph" w:styleId="NormalWeb">
    <w:name w:val="Normal (Web)"/>
    <w:basedOn w:val="Normal"/>
    <w:uiPriority w:val="99"/>
    <w:semiHidden/>
    <w:unhideWhenUsed/>
    <w:rsid w:val="00D778F0"/>
    <w:pPr>
      <w:spacing w:before="100" w:beforeAutospacing="1" w:after="100" w:afterAutospacing="1"/>
    </w:pPr>
  </w:style>
  <w:style w:type="paragraph" w:styleId="Bibliography">
    <w:name w:val="Bibliography"/>
    <w:basedOn w:val="Normal"/>
    <w:next w:val="Normal"/>
    <w:uiPriority w:val="37"/>
    <w:unhideWhenUsed/>
    <w:rsid w:val="0033325D"/>
    <w:pPr>
      <w:tabs>
        <w:tab w:val="left" w:pos="500"/>
      </w:tabs>
      <w:spacing w:after="240"/>
      <w:ind w:left="504" w:hanging="504"/>
    </w:pPr>
    <w:rPr>
      <w:rFonts w:eastAsiaTheme="minorHAnsi" w:cstheme="minorBidi"/>
      <w:lang w:eastAsia="en-US"/>
    </w:rPr>
  </w:style>
  <w:style w:type="paragraph" w:styleId="BalloonText">
    <w:name w:val="Balloon Text"/>
    <w:basedOn w:val="Normal"/>
    <w:link w:val="BalloonTextChar"/>
    <w:uiPriority w:val="99"/>
    <w:semiHidden/>
    <w:unhideWhenUsed/>
    <w:rsid w:val="00491CA9"/>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491CA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45ECC"/>
    <w:rPr>
      <w:sz w:val="16"/>
      <w:szCs w:val="16"/>
    </w:rPr>
  </w:style>
  <w:style w:type="paragraph" w:styleId="CommentText">
    <w:name w:val="annotation text"/>
    <w:basedOn w:val="Normal"/>
    <w:link w:val="CommentTextChar"/>
    <w:uiPriority w:val="99"/>
    <w:semiHidden/>
    <w:unhideWhenUsed/>
    <w:rsid w:val="00D45ECC"/>
    <w:rPr>
      <w:rFonts w:eastAsiaTheme="minorHAnsi" w:cstheme="minorBidi"/>
      <w:sz w:val="20"/>
      <w:szCs w:val="20"/>
      <w:lang w:eastAsia="en-US"/>
    </w:rPr>
  </w:style>
  <w:style w:type="character" w:customStyle="1" w:styleId="CommentTextChar">
    <w:name w:val="Comment Text Char"/>
    <w:basedOn w:val="DefaultParagraphFont"/>
    <w:link w:val="CommentText"/>
    <w:uiPriority w:val="99"/>
    <w:semiHidden/>
    <w:rsid w:val="00D45ECC"/>
    <w:rPr>
      <w:sz w:val="20"/>
      <w:szCs w:val="20"/>
    </w:rPr>
  </w:style>
  <w:style w:type="paragraph" w:styleId="CommentSubject">
    <w:name w:val="annotation subject"/>
    <w:basedOn w:val="CommentText"/>
    <w:next w:val="CommentText"/>
    <w:link w:val="CommentSubjectChar"/>
    <w:uiPriority w:val="99"/>
    <w:semiHidden/>
    <w:unhideWhenUsed/>
    <w:rsid w:val="00D45ECC"/>
    <w:rPr>
      <w:b/>
      <w:bCs/>
    </w:rPr>
  </w:style>
  <w:style w:type="character" w:customStyle="1" w:styleId="CommentSubjectChar">
    <w:name w:val="Comment Subject Char"/>
    <w:basedOn w:val="CommentTextChar"/>
    <w:link w:val="CommentSubject"/>
    <w:uiPriority w:val="99"/>
    <w:semiHidden/>
    <w:rsid w:val="00D45ECC"/>
    <w:rPr>
      <w:b/>
      <w:bCs/>
      <w:sz w:val="20"/>
      <w:szCs w:val="20"/>
    </w:rPr>
  </w:style>
  <w:style w:type="paragraph" w:styleId="Revision">
    <w:name w:val="Revision"/>
    <w:hidden/>
    <w:uiPriority w:val="99"/>
    <w:semiHidden/>
    <w:rsid w:val="00E13793"/>
  </w:style>
  <w:style w:type="character" w:customStyle="1" w:styleId="Heading1Char">
    <w:name w:val="Heading 1 Char"/>
    <w:basedOn w:val="DefaultParagraphFont"/>
    <w:link w:val="Heading1"/>
    <w:uiPriority w:val="9"/>
    <w:rsid w:val="002F6C04"/>
    <w:rPr>
      <w:rFonts w:asciiTheme="majorHAnsi" w:eastAsiaTheme="majorEastAsia" w:hAnsiTheme="majorHAnsi" w:cstheme="majorBidi"/>
      <w:b/>
      <w:color w:val="2F5496" w:themeColor="accent1" w:themeShade="BF"/>
      <w:sz w:val="32"/>
      <w:szCs w:val="32"/>
      <w:lang w:eastAsia="en-GB"/>
    </w:rPr>
  </w:style>
  <w:style w:type="character" w:styleId="Hyperlink">
    <w:name w:val="Hyperlink"/>
    <w:basedOn w:val="DefaultParagraphFont"/>
    <w:uiPriority w:val="99"/>
    <w:unhideWhenUsed/>
    <w:rsid w:val="00A31654"/>
    <w:rPr>
      <w:color w:val="0563C1" w:themeColor="hyperlink"/>
      <w:u w:val="single"/>
    </w:rPr>
  </w:style>
  <w:style w:type="character" w:customStyle="1" w:styleId="UnresolvedMention1">
    <w:name w:val="Unresolved Mention1"/>
    <w:basedOn w:val="DefaultParagraphFont"/>
    <w:uiPriority w:val="99"/>
    <w:semiHidden/>
    <w:unhideWhenUsed/>
    <w:rsid w:val="00A31654"/>
    <w:rPr>
      <w:color w:val="605E5C"/>
      <w:shd w:val="clear" w:color="auto" w:fill="E1DFDD"/>
    </w:rPr>
  </w:style>
  <w:style w:type="character" w:customStyle="1" w:styleId="Heading2Char">
    <w:name w:val="Heading 2 Char"/>
    <w:basedOn w:val="DefaultParagraphFont"/>
    <w:link w:val="Heading2"/>
    <w:uiPriority w:val="9"/>
    <w:semiHidden/>
    <w:rsid w:val="00AE44C7"/>
    <w:rPr>
      <w:rFonts w:asciiTheme="majorHAnsi" w:eastAsiaTheme="majorEastAsia" w:hAnsiTheme="majorHAnsi" w:cstheme="majorBidi"/>
      <w:color w:val="2F5496" w:themeColor="accent1" w:themeShade="BF"/>
      <w:sz w:val="26"/>
      <w:szCs w:val="26"/>
      <w:lang w:eastAsia="en-GB"/>
    </w:rPr>
  </w:style>
  <w:style w:type="paragraph" w:styleId="Header">
    <w:name w:val="header"/>
    <w:basedOn w:val="Normal"/>
    <w:link w:val="HeaderChar"/>
    <w:rsid w:val="00984A22"/>
    <w:pPr>
      <w:tabs>
        <w:tab w:val="center" w:pos="4320"/>
        <w:tab w:val="right" w:pos="8640"/>
      </w:tabs>
    </w:pPr>
    <w:rPr>
      <w:rFonts w:ascii="Garamond" w:hAnsi="Garamond"/>
      <w:color w:val="008000"/>
      <w:w w:val="120"/>
      <w:lang w:val="en-CA" w:eastAsia="en-US"/>
    </w:rPr>
  </w:style>
  <w:style w:type="character" w:customStyle="1" w:styleId="HeaderChar">
    <w:name w:val="Header Char"/>
    <w:basedOn w:val="DefaultParagraphFont"/>
    <w:link w:val="Header"/>
    <w:rsid w:val="00984A22"/>
    <w:rPr>
      <w:rFonts w:ascii="Garamond" w:eastAsia="Times New Roman" w:hAnsi="Garamond" w:cs="Times New Roman"/>
      <w:color w:val="008000"/>
      <w:w w:val="120"/>
      <w:lang w:val="en-CA"/>
    </w:rPr>
  </w:style>
  <w:style w:type="paragraph" w:styleId="NoSpacing">
    <w:name w:val="No Spacing"/>
    <w:link w:val="NoSpacingChar"/>
    <w:uiPriority w:val="1"/>
    <w:qFormat/>
    <w:rsid w:val="004C2B2D"/>
    <w:rPr>
      <w:rFonts w:eastAsiaTheme="minorEastAsia"/>
      <w:sz w:val="22"/>
      <w:szCs w:val="22"/>
      <w:lang w:val="en-US" w:eastAsia="zh-CN"/>
    </w:rPr>
  </w:style>
  <w:style w:type="character" w:customStyle="1" w:styleId="NoSpacingChar">
    <w:name w:val="No Spacing Char"/>
    <w:basedOn w:val="DefaultParagraphFont"/>
    <w:link w:val="NoSpacing"/>
    <w:uiPriority w:val="1"/>
    <w:rsid w:val="004C2B2D"/>
    <w:rPr>
      <w:rFonts w:eastAsiaTheme="minorEastAsia"/>
      <w:sz w:val="22"/>
      <w:szCs w:val="22"/>
      <w:lang w:val="en-US" w:eastAsia="zh-CN"/>
    </w:rPr>
  </w:style>
  <w:style w:type="character" w:styleId="UnresolvedMention">
    <w:name w:val="Unresolved Mention"/>
    <w:basedOn w:val="DefaultParagraphFont"/>
    <w:uiPriority w:val="99"/>
    <w:semiHidden/>
    <w:unhideWhenUsed/>
    <w:rsid w:val="003D15FF"/>
    <w:rPr>
      <w:color w:val="605E5C"/>
      <w:shd w:val="clear" w:color="auto" w:fill="E1DFDD"/>
    </w:rPr>
  </w:style>
  <w:style w:type="paragraph" w:customStyle="1" w:styleId="MediumShading1-Accent21">
    <w:name w:val="Medium Shading 1 - Accent 21"/>
    <w:rsid w:val="00AB664E"/>
    <w:pPr>
      <w:suppressAutoHyphens/>
    </w:pPr>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A612C2"/>
    <w:pPr>
      <w:tabs>
        <w:tab w:val="center" w:pos="4680"/>
        <w:tab w:val="right" w:pos="9360"/>
      </w:tabs>
    </w:pPr>
  </w:style>
  <w:style w:type="character" w:customStyle="1" w:styleId="FooterChar">
    <w:name w:val="Footer Char"/>
    <w:basedOn w:val="DefaultParagraphFont"/>
    <w:link w:val="Footer"/>
    <w:uiPriority w:val="99"/>
    <w:rsid w:val="00A612C2"/>
    <w:rPr>
      <w:rFonts w:eastAsia="Times New Roman" w:cs="Times New Roman"/>
      <w:lang w:eastAsia="en-GB"/>
    </w:rPr>
  </w:style>
  <w:style w:type="character" w:styleId="PageNumber">
    <w:name w:val="page number"/>
    <w:basedOn w:val="DefaultParagraphFont"/>
    <w:uiPriority w:val="99"/>
    <w:semiHidden/>
    <w:unhideWhenUsed/>
    <w:rsid w:val="00A61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40617">
      <w:bodyDiv w:val="1"/>
      <w:marLeft w:val="0"/>
      <w:marRight w:val="0"/>
      <w:marTop w:val="0"/>
      <w:marBottom w:val="0"/>
      <w:divBdr>
        <w:top w:val="none" w:sz="0" w:space="0" w:color="auto"/>
        <w:left w:val="none" w:sz="0" w:space="0" w:color="auto"/>
        <w:bottom w:val="none" w:sz="0" w:space="0" w:color="auto"/>
        <w:right w:val="none" w:sz="0" w:space="0" w:color="auto"/>
      </w:divBdr>
    </w:div>
    <w:div w:id="66077300">
      <w:bodyDiv w:val="1"/>
      <w:marLeft w:val="0"/>
      <w:marRight w:val="0"/>
      <w:marTop w:val="0"/>
      <w:marBottom w:val="0"/>
      <w:divBdr>
        <w:top w:val="none" w:sz="0" w:space="0" w:color="auto"/>
        <w:left w:val="none" w:sz="0" w:space="0" w:color="auto"/>
        <w:bottom w:val="none" w:sz="0" w:space="0" w:color="auto"/>
        <w:right w:val="none" w:sz="0" w:space="0" w:color="auto"/>
      </w:divBdr>
    </w:div>
    <w:div w:id="120074738">
      <w:bodyDiv w:val="1"/>
      <w:marLeft w:val="0"/>
      <w:marRight w:val="0"/>
      <w:marTop w:val="0"/>
      <w:marBottom w:val="0"/>
      <w:divBdr>
        <w:top w:val="none" w:sz="0" w:space="0" w:color="auto"/>
        <w:left w:val="none" w:sz="0" w:space="0" w:color="auto"/>
        <w:bottom w:val="none" w:sz="0" w:space="0" w:color="auto"/>
        <w:right w:val="none" w:sz="0" w:space="0" w:color="auto"/>
      </w:divBdr>
    </w:div>
    <w:div w:id="160434563">
      <w:bodyDiv w:val="1"/>
      <w:marLeft w:val="0"/>
      <w:marRight w:val="0"/>
      <w:marTop w:val="0"/>
      <w:marBottom w:val="0"/>
      <w:divBdr>
        <w:top w:val="none" w:sz="0" w:space="0" w:color="auto"/>
        <w:left w:val="none" w:sz="0" w:space="0" w:color="auto"/>
        <w:bottom w:val="none" w:sz="0" w:space="0" w:color="auto"/>
        <w:right w:val="none" w:sz="0" w:space="0" w:color="auto"/>
      </w:divBdr>
    </w:div>
    <w:div w:id="185485013">
      <w:bodyDiv w:val="1"/>
      <w:marLeft w:val="0"/>
      <w:marRight w:val="0"/>
      <w:marTop w:val="0"/>
      <w:marBottom w:val="0"/>
      <w:divBdr>
        <w:top w:val="none" w:sz="0" w:space="0" w:color="auto"/>
        <w:left w:val="none" w:sz="0" w:space="0" w:color="auto"/>
        <w:bottom w:val="none" w:sz="0" w:space="0" w:color="auto"/>
        <w:right w:val="none" w:sz="0" w:space="0" w:color="auto"/>
      </w:divBdr>
    </w:div>
    <w:div w:id="215163620">
      <w:bodyDiv w:val="1"/>
      <w:marLeft w:val="0"/>
      <w:marRight w:val="0"/>
      <w:marTop w:val="0"/>
      <w:marBottom w:val="0"/>
      <w:divBdr>
        <w:top w:val="none" w:sz="0" w:space="0" w:color="auto"/>
        <w:left w:val="none" w:sz="0" w:space="0" w:color="auto"/>
        <w:bottom w:val="none" w:sz="0" w:space="0" w:color="auto"/>
        <w:right w:val="none" w:sz="0" w:space="0" w:color="auto"/>
      </w:divBdr>
    </w:div>
    <w:div w:id="255984203">
      <w:bodyDiv w:val="1"/>
      <w:marLeft w:val="0"/>
      <w:marRight w:val="0"/>
      <w:marTop w:val="0"/>
      <w:marBottom w:val="0"/>
      <w:divBdr>
        <w:top w:val="none" w:sz="0" w:space="0" w:color="auto"/>
        <w:left w:val="none" w:sz="0" w:space="0" w:color="auto"/>
        <w:bottom w:val="none" w:sz="0" w:space="0" w:color="auto"/>
        <w:right w:val="none" w:sz="0" w:space="0" w:color="auto"/>
      </w:divBdr>
    </w:div>
    <w:div w:id="306276668">
      <w:bodyDiv w:val="1"/>
      <w:marLeft w:val="0"/>
      <w:marRight w:val="0"/>
      <w:marTop w:val="0"/>
      <w:marBottom w:val="0"/>
      <w:divBdr>
        <w:top w:val="none" w:sz="0" w:space="0" w:color="auto"/>
        <w:left w:val="none" w:sz="0" w:space="0" w:color="auto"/>
        <w:bottom w:val="none" w:sz="0" w:space="0" w:color="auto"/>
        <w:right w:val="none" w:sz="0" w:space="0" w:color="auto"/>
      </w:divBdr>
    </w:div>
    <w:div w:id="320694912">
      <w:bodyDiv w:val="1"/>
      <w:marLeft w:val="0"/>
      <w:marRight w:val="0"/>
      <w:marTop w:val="0"/>
      <w:marBottom w:val="0"/>
      <w:divBdr>
        <w:top w:val="none" w:sz="0" w:space="0" w:color="auto"/>
        <w:left w:val="none" w:sz="0" w:space="0" w:color="auto"/>
        <w:bottom w:val="none" w:sz="0" w:space="0" w:color="auto"/>
        <w:right w:val="none" w:sz="0" w:space="0" w:color="auto"/>
      </w:divBdr>
    </w:div>
    <w:div w:id="331568355">
      <w:bodyDiv w:val="1"/>
      <w:marLeft w:val="0"/>
      <w:marRight w:val="0"/>
      <w:marTop w:val="0"/>
      <w:marBottom w:val="0"/>
      <w:divBdr>
        <w:top w:val="none" w:sz="0" w:space="0" w:color="auto"/>
        <w:left w:val="none" w:sz="0" w:space="0" w:color="auto"/>
        <w:bottom w:val="none" w:sz="0" w:space="0" w:color="auto"/>
        <w:right w:val="none" w:sz="0" w:space="0" w:color="auto"/>
      </w:divBdr>
    </w:div>
    <w:div w:id="342099727">
      <w:bodyDiv w:val="1"/>
      <w:marLeft w:val="0"/>
      <w:marRight w:val="0"/>
      <w:marTop w:val="0"/>
      <w:marBottom w:val="0"/>
      <w:divBdr>
        <w:top w:val="none" w:sz="0" w:space="0" w:color="auto"/>
        <w:left w:val="none" w:sz="0" w:space="0" w:color="auto"/>
        <w:bottom w:val="none" w:sz="0" w:space="0" w:color="auto"/>
        <w:right w:val="none" w:sz="0" w:space="0" w:color="auto"/>
      </w:divBdr>
    </w:div>
    <w:div w:id="422145710">
      <w:bodyDiv w:val="1"/>
      <w:marLeft w:val="0"/>
      <w:marRight w:val="0"/>
      <w:marTop w:val="0"/>
      <w:marBottom w:val="0"/>
      <w:divBdr>
        <w:top w:val="none" w:sz="0" w:space="0" w:color="auto"/>
        <w:left w:val="none" w:sz="0" w:space="0" w:color="auto"/>
        <w:bottom w:val="none" w:sz="0" w:space="0" w:color="auto"/>
        <w:right w:val="none" w:sz="0" w:space="0" w:color="auto"/>
      </w:divBdr>
    </w:div>
    <w:div w:id="451244148">
      <w:bodyDiv w:val="1"/>
      <w:marLeft w:val="0"/>
      <w:marRight w:val="0"/>
      <w:marTop w:val="0"/>
      <w:marBottom w:val="0"/>
      <w:divBdr>
        <w:top w:val="none" w:sz="0" w:space="0" w:color="auto"/>
        <w:left w:val="none" w:sz="0" w:space="0" w:color="auto"/>
        <w:bottom w:val="none" w:sz="0" w:space="0" w:color="auto"/>
        <w:right w:val="none" w:sz="0" w:space="0" w:color="auto"/>
      </w:divBdr>
    </w:div>
    <w:div w:id="454174574">
      <w:bodyDiv w:val="1"/>
      <w:marLeft w:val="0"/>
      <w:marRight w:val="0"/>
      <w:marTop w:val="0"/>
      <w:marBottom w:val="0"/>
      <w:divBdr>
        <w:top w:val="none" w:sz="0" w:space="0" w:color="auto"/>
        <w:left w:val="none" w:sz="0" w:space="0" w:color="auto"/>
        <w:bottom w:val="none" w:sz="0" w:space="0" w:color="auto"/>
        <w:right w:val="none" w:sz="0" w:space="0" w:color="auto"/>
      </w:divBdr>
    </w:div>
    <w:div w:id="469447233">
      <w:bodyDiv w:val="1"/>
      <w:marLeft w:val="0"/>
      <w:marRight w:val="0"/>
      <w:marTop w:val="0"/>
      <w:marBottom w:val="0"/>
      <w:divBdr>
        <w:top w:val="none" w:sz="0" w:space="0" w:color="auto"/>
        <w:left w:val="none" w:sz="0" w:space="0" w:color="auto"/>
        <w:bottom w:val="none" w:sz="0" w:space="0" w:color="auto"/>
        <w:right w:val="none" w:sz="0" w:space="0" w:color="auto"/>
      </w:divBdr>
    </w:div>
    <w:div w:id="473447104">
      <w:bodyDiv w:val="1"/>
      <w:marLeft w:val="0"/>
      <w:marRight w:val="0"/>
      <w:marTop w:val="0"/>
      <w:marBottom w:val="0"/>
      <w:divBdr>
        <w:top w:val="none" w:sz="0" w:space="0" w:color="auto"/>
        <w:left w:val="none" w:sz="0" w:space="0" w:color="auto"/>
        <w:bottom w:val="none" w:sz="0" w:space="0" w:color="auto"/>
        <w:right w:val="none" w:sz="0" w:space="0" w:color="auto"/>
      </w:divBdr>
    </w:div>
    <w:div w:id="545220079">
      <w:bodyDiv w:val="1"/>
      <w:marLeft w:val="0"/>
      <w:marRight w:val="0"/>
      <w:marTop w:val="0"/>
      <w:marBottom w:val="0"/>
      <w:divBdr>
        <w:top w:val="none" w:sz="0" w:space="0" w:color="auto"/>
        <w:left w:val="none" w:sz="0" w:space="0" w:color="auto"/>
        <w:bottom w:val="none" w:sz="0" w:space="0" w:color="auto"/>
        <w:right w:val="none" w:sz="0" w:space="0" w:color="auto"/>
      </w:divBdr>
    </w:div>
    <w:div w:id="566961088">
      <w:bodyDiv w:val="1"/>
      <w:marLeft w:val="0"/>
      <w:marRight w:val="0"/>
      <w:marTop w:val="0"/>
      <w:marBottom w:val="0"/>
      <w:divBdr>
        <w:top w:val="none" w:sz="0" w:space="0" w:color="auto"/>
        <w:left w:val="none" w:sz="0" w:space="0" w:color="auto"/>
        <w:bottom w:val="none" w:sz="0" w:space="0" w:color="auto"/>
        <w:right w:val="none" w:sz="0" w:space="0" w:color="auto"/>
      </w:divBdr>
    </w:div>
    <w:div w:id="649868693">
      <w:bodyDiv w:val="1"/>
      <w:marLeft w:val="0"/>
      <w:marRight w:val="0"/>
      <w:marTop w:val="0"/>
      <w:marBottom w:val="0"/>
      <w:divBdr>
        <w:top w:val="none" w:sz="0" w:space="0" w:color="auto"/>
        <w:left w:val="none" w:sz="0" w:space="0" w:color="auto"/>
        <w:bottom w:val="none" w:sz="0" w:space="0" w:color="auto"/>
        <w:right w:val="none" w:sz="0" w:space="0" w:color="auto"/>
      </w:divBdr>
    </w:div>
    <w:div w:id="702094616">
      <w:bodyDiv w:val="1"/>
      <w:marLeft w:val="0"/>
      <w:marRight w:val="0"/>
      <w:marTop w:val="0"/>
      <w:marBottom w:val="0"/>
      <w:divBdr>
        <w:top w:val="none" w:sz="0" w:space="0" w:color="auto"/>
        <w:left w:val="none" w:sz="0" w:space="0" w:color="auto"/>
        <w:bottom w:val="none" w:sz="0" w:space="0" w:color="auto"/>
        <w:right w:val="none" w:sz="0" w:space="0" w:color="auto"/>
      </w:divBdr>
    </w:div>
    <w:div w:id="710958376">
      <w:bodyDiv w:val="1"/>
      <w:marLeft w:val="0"/>
      <w:marRight w:val="0"/>
      <w:marTop w:val="0"/>
      <w:marBottom w:val="0"/>
      <w:divBdr>
        <w:top w:val="none" w:sz="0" w:space="0" w:color="auto"/>
        <w:left w:val="none" w:sz="0" w:space="0" w:color="auto"/>
        <w:bottom w:val="none" w:sz="0" w:space="0" w:color="auto"/>
        <w:right w:val="none" w:sz="0" w:space="0" w:color="auto"/>
      </w:divBdr>
    </w:div>
    <w:div w:id="716784326">
      <w:bodyDiv w:val="1"/>
      <w:marLeft w:val="0"/>
      <w:marRight w:val="0"/>
      <w:marTop w:val="0"/>
      <w:marBottom w:val="0"/>
      <w:divBdr>
        <w:top w:val="none" w:sz="0" w:space="0" w:color="auto"/>
        <w:left w:val="none" w:sz="0" w:space="0" w:color="auto"/>
        <w:bottom w:val="none" w:sz="0" w:space="0" w:color="auto"/>
        <w:right w:val="none" w:sz="0" w:space="0" w:color="auto"/>
      </w:divBdr>
    </w:div>
    <w:div w:id="724568118">
      <w:bodyDiv w:val="1"/>
      <w:marLeft w:val="0"/>
      <w:marRight w:val="0"/>
      <w:marTop w:val="0"/>
      <w:marBottom w:val="0"/>
      <w:divBdr>
        <w:top w:val="none" w:sz="0" w:space="0" w:color="auto"/>
        <w:left w:val="none" w:sz="0" w:space="0" w:color="auto"/>
        <w:bottom w:val="none" w:sz="0" w:space="0" w:color="auto"/>
        <w:right w:val="none" w:sz="0" w:space="0" w:color="auto"/>
      </w:divBdr>
    </w:div>
    <w:div w:id="730618711">
      <w:bodyDiv w:val="1"/>
      <w:marLeft w:val="0"/>
      <w:marRight w:val="0"/>
      <w:marTop w:val="0"/>
      <w:marBottom w:val="0"/>
      <w:divBdr>
        <w:top w:val="none" w:sz="0" w:space="0" w:color="auto"/>
        <w:left w:val="none" w:sz="0" w:space="0" w:color="auto"/>
        <w:bottom w:val="none" w:sz="0" w:space="0" w:color="auto"/>
        <w:right w:val="none" w:sz="0" w:space="0" w:color="auto"/>
      </w:divBdr>
    </w:div>
    <w:div w:id="734477635">
      <w:bodyDiv w:val="1"/>
      <w:marLeft w:val="0"/>
      <w:marRight w:val="0"/>
      <w:marTop w:val="0"/>
      <w:marBottom w:val="0"/>
      <w:divBdr>
        <w:top w:val="none" w:sz="0" w:space="0" w:color="auto"/>
        <w:left w:val="none" w:sz="0" w:space="0" w:color="auto"/>
        <w:bottom w:val="none" w:sz="0" w:space="0" w:color="auto"/>
        <w:right w:val="none" w:sz="0" w:space="0" w:color="auto"/>
      </w:divBdr>
    </w:div>
    <w:div w:id="758258720">
      <w:bodyDiv w:val="1"/>
      <w:marLeft w:val="0"/>
      <w:marRight w:val="0"/>
      <w:marTop w:val="0"/>
      <w:marBottom w:val="0"/>
      <w:divBdr>
        <w:top w:val="none" w:sz="0" w:space="0" w:color="auto"/>
        <w:left w:val="none" w:sz="0" w:space="0" w:color="auto"/>
        <w:bottom w:val="none" w:sz="0" w:space="0" w:color="auto"/>
        <w:right w:val="none" w:sz="0" w:space="0" w:color="auto"/>
      </w:divBdr>
    </w:div>
    <w:div w:id="782968089">
      <w:bodyDiv w:val="1"/>
      <w:marLeft w:val="0"/>
      <w:marRight w:val="0"/>
      <w:marTop w:val="0"/>
      <w:marBottom w:val="0"/>
      <w:divBdr>
        <w:top w:val="none" w:sz="0" w:space="0" w:color="auto"/>
        <w:left w:val="none" w:sz="0" w:space="0" w:color="auto"/>
        <w:bottom w:val="none" w:sz="0" w:space="0" w:color="auto"/>
        <w:right w:val="none" w:sz="0" w:space="0" w:color="auto"/>
      </w:divBdr>
    </w:div>
    <w:div w:id="827793675">
      <w:bodyDiv w:val="1"/>
      <w:marLeft w:val="0"/>
      <w:marRight w:val="0"/>
      <w:marTop w:val="0"/>
      <w:marBottom w:val="0"/>
      <w:divBdr>
        <w:top w:val="none" w:sz="0" w:space="0" w:color="auto"/>
        <w:left w:val="none" w:sz="0" w:space="0" w:color="auto"/>
        <w:bottom w:val="none" w:sz="0" w:space="0" w:color="auto"/>
        <w:right w:val="none" w:sz="0" w:space="0" w:color="auto"/>
      </w:divBdr>
    </w:div>
    <w:div w:id="833110430">
      <w:bodyDiv w:val="1"/>
      <w:marLeft w:val="0"/>
      <w:marRight w:val="0"/>
      <w:marTop w:val="0"/>
      <w:marBottom w:val="0"/>
      <w:divBdr>
        <w:top w:val="none" w:sz="0" w:space="0" w:color="auto"/>
        <w:left w:val="none" w:sz="0" w:space="0" w:color="auto"/>
        <w:bottom w:val="none" w:sz="0" w:space="0" w:color="auto"/>
        <w:right w:val="none" w:sz="0" w:space="0" w:color="auto"/>
      </w:divBdr>
    </w:div>
    <w:div w:id="877664480">
      <w:bodyDiv w:val="1"/>
      <w:marLeft w:val="0"/>
      <w:marRight w:val="0"/>
      <w:marTop w:val="0"/>
      <w:marBottom w:val="0"/>
      <w:divBdr>
        <w:top w:val="none" w:sz="0" w:space="0" w:color="auto"/>
        <w:left w:val="none" w:sz="0" w:space="0" w:color="auto"/>
        <w:bottom w:val="none" w:sz="0" w:space="0" w:color="auto"/>
        <w:right w:val="none" w:sz="0" w:space="0" w:color="auto"/>
      </w:divBdr>
    </w:div>
    <w:div w:id="881483111">
      <w:bodyDiv w:val="1"/>
      <w:marLeft w:val="0"/>
      <w:marRight w:val="0"/>
      <w:marTop w:val="0"/>
      <w:marBottom w:val="0"/>
      <w:divBdr>
        <w:top w:val="none" w:sz="0" w:space="0" w:color="auto"/>
        <w:left w:val="none" w:sz="0" w:space="0" w:color="auto"/>
        <w:bottom w:val="none" w:sz="0" w:space="0" w:color="auto"/>
        <w:right w:val="none" w:sz="0" w:space="0" w:color="auto"/>
      </w:divBdr>
    </w:div>
    <w:div w:id="956447745">
      <w:bodyDiv w:val="1"/>
      <w:marLeft w:val="0"/>
      <w:marRight w:val="0"/>
      <w:marTop w:val="0"/>
      <w:marBottom w:val="0"/>
      <w:divBdr>
        <w:top w:val="none" w:sz="0" w:space="0" w:color="auto"/>
        <w:left w:val="none" w:sz="0" w:space="0" w:color="auto"/>
        <w:bottom w:val="none" w:sz="0" w:space="0" w:color="auto"/>
        <w:right w:val="none" w:sz="0" w:space="0" w:color="auto"/>
      </w:divBdr>
    </w:div>
    <w:div w:id="976642631">
      <w:bodyDiv w:val="1"/>
      <w:marLeft w:val="0"/>
      <w:marRight w:val="0"/>
      <w:marTop w:val="0"/>
      <w:marBottom w:val="0"/>
      <w:divBdr>
        <w:top w:val="none" w:sz="0" w:space="0" w:color="auto"/>
        <w:left w:val="none" w:sz="0" w:space="0" w:color="auto"/>
        <w:bottom w:val="none" w:sz="0" w:space="0" w:color="auto"/>
        <w:right w:val="none" w:sz="0" w:space="0" w:color="auto"/>
      </w:divBdr>
    </w:div>
    <w:div w:id="1001736785">
      <w:bodyDiv w:val="1"/>
      <w:marLeft w:val="0"/>
      <w:marRight w:val="0"/>
      <w:marTop w:val="0"/>
      <w:marBottom w:val="0"/>
      <w:divBdr>
        <w:top w:val="none" w:sz="0" w:space="0" w:color="auto"/>
        <w:left w:val="none" w:sz="0" w:space="0" w:color="auto"/>
        <w:bottom w:val="none" w:sz="0" w:space="0" w:color="auto"/>
        <w:right w:val="none" w:sz="0" w:space="0" w:color="auto"/>
      </w:divBdr>
    </w:div>
    <w:div w:id="1029378532">
      <w:bodyDiv w:val="1"/>
      <w:marLeft w:val="0"/>
      <w:marRight w:val="0"/>
      <w:marTop w:val="0"/>
      <w:marBottom w:val="0"/>
      <w:divBdr>
        <w:top w:val="none" w:sz="0" w:space="0" w:color="auto"/>
        <w:left w:val="none" w:sz="0" w:space="0" w:color="auto"/>
        <w:bottom w:val="none" w:sz="0" w:space="0" w:color="auto"/>
        <w:right w:val="none" w:sz="0" w:space="0" w:color="auto"/>
      </w:divBdr>
    </w:div>
    <w:div w:id="1057628760">
      <w:bodyDiv w:val="1"/>
      <w:marLeft w:val="0"/>
      <w:marRight w:val="0"/>
      <w:marTop w:val="0"/>
      <w:marBottom w:val="0"/>
      <w:divBdr>
        <w:top w:val="none" w:sz="0" w:space="0" w:color="auto"/>
        <w:left w:val="none" w:sz="0" w:space="0" w:color="auto"/>
        <w:bottom w:val="none" w:sz="0" w:space="0" w:color="auto"/>
        <w:right w:val="none" w:sz="0" w:space="0" w:color="auto"/>
      </w:divBdr>
    </w:div>
    <w:div w:id="1065765568">
      <w:bodyDiv w:val="1"/>
      <w:marLeft w:val="0"/>
      <w:marRight w:val="0"/>
      <w:marTop w:val="0"/>
      <w:marBottom w:val="0"/>
      <w:divBdr>
        <w:top w:val="none" w:sz="0" w:space="0" w:color="auto"/>
        <w:left w:val="none" w:sz="0" w:space="0" w:color="auto"/>
        <w:bottom w:val="none" w:sz="0" w:space="0" w:color="auto"/>
        <w:right w:val="none" w:sz="0" w:space="0" w:color="auto"/>
      </w:divBdr>
    </w:div>
    <w:div w:id="1078861997">
      <w:bodyDiv w:val="1"/>
      <w:marLeft w:val="0"/>
      <w:marRight w:val="0"/>
      <w:marTop w:val="0"/>
      <w:marBottom w:val="0"/>
      <w:divBdr>
        <w:top w:val="none" w:sz="0" w:space="0" w:color="auto"/>
        <w:left w:val="none" w:sz="0" w:space="0" w:color="auto"/>
        <w:bottom w:val="none" w:sz="0" w:space="0" w:color="auto"/>
        <w:right w:val="none" w:sz="0" w:space="0" w:color="auto"/>
      </w:divBdr>
    </w:div>
    <w:div w:id="1097292393">
      <w:bodyDiv w:val="1"/>
      <w:marLeft w:val="0"/>
      <w:marRight w:val="0"/>
      <w:marTop w:val="0"/>
      <w:marBottom w:val="0"/>
      <w:divBdr>
        <w:top w:val="none" w:sz="0" w:space="0" w:color="auto"/>
        <w:left w:val="none" w:sz="0" w:space="0" w:color="auto"/>
        <w:bottom w:val="none" w:sz="0" w:space="0" w:color="auto"/>
        <w:right w:val="none" w:sz="0" w:space="0" w:color="auto"/>
      </w:divBdr>
    </w:div>
    <w:div w:id="1174950657">
      <w:bodyDiv w:val="1"/>
      <w:marLeft w:val="0"/>
      <w:marRight w:val="0"/>
      <w:marTop w:val="0"/>
      <w:marBottom w:val="0"/>
      <w:divBdr>
        <w:top w:val="none" w:sz="0" w:space="0" w:color="auto"/>
        <w:left w:val="none" w:sz="0" w:space="0" w:color="auto"/>
        <w:bottom w:val="none" w:sz="0" w:space="0" w:color="auto"/>
        <w:right w:val="none" w:sz="0" w:space="0" w:color="auto"/>
      </w:divBdr>
    </w:div>
    <w:div w:id="1212612869">
      <w:bodyDiv w:val="1"/>
      <w:marLeft w:val="0"/>
      <w:marRight w:val="0"/>
      <w:marTop w:val="0"/>
      <w:marBottom w:val="0"/>
      <w:divBdr>
        <w:top w:val="none" w:sz="0" w:space="0" w:color="auto"/>
        <w:left w:val="none" w:sz="0" w:space="0" w:color="auto"/>
        <w:bottom w:val="none" w:sz="0" w:space="0" w:color="auto"/>
        <w:right w:val="none" w:sz="0" w:space="0" w:color="auto"/>
      </w:divBdr>
    </w:div>
    <w:div w:id="1215657648">
      <w:bodyDiv w:val="1"/>
      <w:marLeft w:val="0"/>
      <w:marRight w:val="0"/>
      <w:marTop w:val="0"/>
      <w:marBottom w:val="0"/>
      <w:divBdr>
        <w:top w:val="none" w:sz="0" w:space="0" w:color="auto"/>
        <w:left w:val="none" w:sz="0" w:space="0" w:color="auto"/>
        <w:bottom w:val="none" w:sz="0" w:space="0" w:color="auto"/>
        <w:right w:val="none" w:sz="0" w:space="0" w:color="auto"/>
      </w:divBdr>
    </w:div>
    <w:div w:id="1223640972">
      <w:bodyDiv w:val="1"/>
      <w:marLeft w:val="0"/>
      <w:marRight w:val="0"/>
      <w:marTop w:val="0"/>
      <w:marBottom w:val="0"/>
      <w:divBdr>
        <w:top w:val="none" w:sz="0" w:space="0" w:color="auto"/>
        <w:left w:val="none" w:sz="0" w:space="0" w:color="auto"/>
        <w:bottom w:val="none" w:sz="0" w:space="0" w:color="auto"/>
        <w:right w:val="none" w:sz="0" w:space="0" w:color="auto"/>
      </w:divBdr>
      <w:divsChild>
        <w:div w:id="1055004545">
          <w:marLeft w:val="0"/>
          <w:marRight w:val="0"/>
          <w:marTop w:val="0"/>
          <w:marBottom w:val="0"/>
          <w:divBdr>
            <w:top w:val="none" w:sz="0" w:space="0" w:color="auto"/>
            <w:left w:val="none" w:sz="0" w:space="0" w:color="auto"/>
            <w:bottom w:val="none" w:sz="0" w:space="0" w:color="auto"/>
            <w:right w:val="none" w:sz="0" w:space="0" w:color="auto"/>
          </w:divBdr>
          <w:divsChild>
            <w:div w:id="1055157230">
              <w:marLeft w:val="0"/>
              <w:marRight w:val="0"/>
              <w:marTop w:val="0"/>
              <w:marBottom w:val="0"/>
              <w:divBdr>
                <w:top w:val="none" w:sz="0" w:space="0" w:color="auto"/>
                <w:left w:val="none" w:sz="0" w:space="0" w:color="auto"/>
                <w:bottom w:val="none" w:sz="0" w:space="0" w:color="auto"/>
                <w:right w:val="none" w:sz="0" w:space="0" w:color="auto"/>
              </w:divBdr>
              <w:divsChild>
                <w:div w:id="120255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373805">
      <w:bodyDiv w:val="1"/>
      <w:marLeft w:val="0"/>
      <w:marRight w:val="0"/>
      <w:marTop w:val="0"/>
      <w:marBottom w:val="0"/>
      <w:divBdr>
        <w:top w:val="none" w:sz="0" w:space="0" w:color="auto"/>
        <w:left w:val="none" w:sz="0" w:space="0" w:color="auto"/>
        <w:bottom w:val="none" w:sz="0" w:space="0" w:color="auto"/>
        <w:right w:val="none" w:sz="0" w:space="0" w:color="auto"/>
      </w:divBdr>
    </w:div>
    <w:div w:id="1316302659">
      <w:bodyDiv w:val="1"/>
      <w:marLeft w:val="0"/>
      <w:marRight w:val="0"/>
      <w:marTop w:val="0"/>
      <w:marBottom w:val="0"/>
      <w:divBdr>
        <w:top w:val="none" w:sz="0" w:space="0" w:color="auto"/>
        <w:left w:val="none" w:sz="0" w:space="0" w:color="auto"/>
        <w:bottom w:val="none" w:sz="0" w:space="0" w:color="auto"/>
        <w:right w:val="none" w:sz="0" w:space="0" w:color="auto"/>
      </w:divBdr>
    </w:div>
    <w:div w:id="1345863331">
      <w:bodyDiv w:val="1"/>
      <w:marLeft w:val="0"/>
      <w:marRight w:val="0"/>
      <w:marTop w:val="0"/>
      <w:marBottom w:val="0"/>
      <w:divBdr>
        <w:top w:val="none" w:sz="0" w:space="0" w:color="auto"/>
        <w:left w:val="none" w:sz="0" w:space="0" w:color="auto"/>
        <w:bottom w:val="none" w:sz="0" w:space="0" w:color="auto"/>
        <w:right w:val="none" w:sz="0" w:space="0" w:color="auto"/>
      </w:divBdr>
    </w:div>
    <w:div w:id="1346328679">
      <w:bodyDiv w:val="1"/>
      <w:marLeft w:val="0"/>
      <w:marRight w:val="0"/>
      <w:marTop w:val="0"/>
      <w:marBottom w:val="0"/>
      <w:divBdr>
        <w:top w:val="none" w:sz="0" w:space="0" w:color="auto"/>
        <w:left w:val="none" w:sz="0" w:space="0" w:color="auto"/>
        <w:bottom w:val="none" w:sz="0" w:space="0" w:color="auto"/>
        <w:right w:val="none" w:sz="0" w:space="0" w:color="auto"/>
      </w:divBdr>
    </w:div>
    <w:div w:id="1370032278">
      <w:bodyDiv w:val="1"/>
      <w:marLeft w:val="0"/>
      <w:marRight w:val="0"/>
      <w:marTop w:val="0"/>
      <w:marBottom w:val="0"/>
      <w:divBdr>
        <w:top w:val="none" w:sz="0" w:space="0" w:color="auto"/>
        <w:left w:val="none" w:sz="0" w:space="0" w:color="auto"/>
        <w:bottom w:val="none" w:sz="0" w:space="0" w:color="auto"/>
        <w:right w:val="none" w:sz="0" w:space="0" w:color="auto"/>
      </w:divBdr>
    </w:div>
    <w:div w:id="1403480818">
      <w:bodyDiv w:val="1"/>
      <w:marLeft w:val="0"/>
      <w:marRight w:val="0"/>
      <w:marTop w:val="0"/>
      <w:marBottom w:val="0"/>
      <w:divBdr>
        <w:top w:val="none" w:sz="0" w:space="0" w:color="auto"/>
        <w:left w:val="none" w:sz="0" w:space="0" w:color="auto"/>
        <w:bottom w:val="none" w:sz="0" w:space="0" w:color="auto"/>
        <w:right w:val="none" w:sz="0" w:space="0" w:color="auto"/>
      </w:divBdr>
    </w:div>
    <w:div w:id="1446844383">
      <w:bodyDiv w:val="1"/>
      <w:marLeft w:val="0"/>
      <w:marRight w:val="0"/>
      <w:marTop w:val="0"/>
      <w:marBottom w:val="0"/>
      <w:divBdr>
        <w:top w:val="none" w:sz="0" w:space="0" w:color="auto"/>
        <w:left w:val="none" w:sz="0" w:space="0" w:color="auto"/>
        <w:bottom w:val="none" w:sz="0" w:space="0" w:color="auto"/>
        <w:right w:val="none" w:sz="0" w:space="0" w:color="auto"/>
      </w:divBdr>
    </w:div>
    <w:div w:id="1457065966">
      <w:bodyDiv w:val="1"/>
      <w:marLeft w:val="0"/>
      <w:marRight w:val="0"/>
      <w:marTop w:val="0"/>
      <w:marBottom w:val="0"/>
      <w:divBdr>
        <w:top w:val="none" w:sz="0" w:space="0" w:color="auto"/>
        <w:left w:val="none" w:sz="0" w:space="0" w:color="auto"/>
        <w:bottom w:val="none" w:sz="0" w:space="0" w:color="auto"/>
        <w:right w:val="none" w:sz="0" w:space="0" w:color="auto"/>
      </w:divBdr>
    </w:div>
    <w:div w:id="1459911109">
      <w:bodyDiv w:val="1"/>
      <w:marLeft w:val="0"/>
      <w:marRight w:val="0"/>
      <w:marTop w:val="0"/>
      <w:marBottom w:val="0"/>
      <w:divBdr>
        <w:top w:val="none" w:sz="0" w:space="0" w:color="auto"/>
        <w:left w:val="none" w:sz="0" w:space="0" w:color="auto"/>
        <w:bottom w:val="none" w:sz="0" w:space="0" w:color="auto"/>
        <w:right w:val="none" w:sz="0" w:space="0" w:color="auto"/>
      </w:divBdr>
    </w:div>
    <w:div w:id="1575968908">
      <w:bodyDiv w:val="1"/>
      <w:marLeft w:val="0"/>
      <w:marRight w:val="0"/>
      <w:marTop w:val="0"/>
      <w:marBottom w:val="0"/>
      <w:divBdr>
        <w:top w:val="none" w:sz="0" w:space="0" w:color="auto"/>
        <w:left w:val="none" w:sz="0" w:space="0" w:color="auto"/>
        <w:bottom w:val="none" w:sz="0" w:space="0" w:color="auto"/>
        <w:right w:val="none" w:sz="0" w:space="0" w:color="auto"/>
      </w:divBdr>
      <w:divsChild>
        <w:div w:id="760108124">
          <w:marLeft w:val="0"/>
          <w:marRight w:val="0"/>
          <w:marTop w:val="0"/>
          <w:marBottom w:val="0"/>
          <w:divBdr>
            <w:top w:val="none" w:sz="0" w:space="0" w:color="auto"/>
            <w:left w:val="none" w:sz="0" w:space="0" w:color="auto"/>
            <w:bottom w:val="none" w:sz="0" w:space="0" w:color="auto"/>
            <w:right w:val="none" w:sz="0" w:space="0" w:color="auto"/>
          </w:divBdr>
          <w:divsChild>
            <w:div w:id="199826992">
              <w:marLeft w:val="0"/>
              <w:marRight w:val="0"/>
              <w:marTop w:val="0"/>
              <w:marBottom w:val="0"/>
              <w:divBdr>
                <w:top w:val="none" w:sz="0" w:space="0" w:color="auto"/>
                <w:left w:val="none" w:sz="0" w:space="0" w:color="auto"/>
                <w:bottom w:val="none" w:sz="0" w:space="0" w:color="auto"/>
                <w:right w:val="none" w:sz="0" w:space="0" w:color="auto"/>
              </w:divBdr>
              <w:divsChild>
                <w:div w:id="124277599">
                  <w:marLeft w:val="0"/>
                  <w:marRight w:val="0"/>
                  <w:marTop w:val="0"/>
                  <w:marBottom w:val="0"/>
                  <w:divBdr>
                    <w:top w:val="none" w:sz="0" w:space="0" w:color="auto"/>
                    <w:left w:val="none" w:sz="0" w:space="0" w:color="auto"/>
                    <w:bottom w:val="none" w:sz="0" w:space="0" w:color="auto"/>
                    <w:right w:val="none" w:sz="0" w:space="0" w:color="auto"/>
                  </w:divBdr>
                </w:div>
                <w:div w:id="218326016">
                  <w:marLeft w:val="0"/>
                  <w:marRight w:val="0"/>
                  <w:marTop w:val="0"/>
                  <w:marBottom w:val="0"/>
                  <w:divBdr>
                    <w:top w:val="none" w:sz="0" w:space="0" w:color="auto"/>
                    <w:left w:val="none" w:sz="0" w:space="0" w:color="auto"/>
                    <w:bottom w:val="none" w:sz="0" w:space="0" w:color="auto"/>
                    <w:right w:val="none" w:sz="0" w:space="0" w:color="auto"/>
                  </w:divBdr>
                </w:div>
                <w:div w:id="1366326274">
                  <w:marLeft w:val="0"/>
                  <w:marRight w:val="0"/>
                  <w:marTop w:val="0"/>
                  <w:marBottom w:val="0"/>
                  <w:divBdr>
                    <w:top w:val="none" w:sz="0" w:space="0" w:color="auto"/>
                    <w:left w:val="none" w:sz="0" w:space="0" w:color="auto"/>
                    <w:bottom w:val="none" w:sz="0" w:space="0" w:color="auto"/>
                    <w:right w:val="none" w:sz="0" w:space="0" w:color="auto"/>
                  </w:divBdr>
                </w:div>
                <w:div w:id="19862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02230">
      <w:bodyDiv w:val="1"/>
      <w:marLeft w:val="0"/>
      <w:marRight w:val="0"/>
      <w:marTop w:val="0"/>
      <w:marBottom w:val="0"/>
      <w:divBdr>
        <w:top w:val="none" w:sz="0" w:space="0" w:color="auto"/>
        <w:left w:val="none" w:sz="0" w:space="0" w:color="auto"/>
        <w:bottom w:val="none" w:sz="0" w:space="0" w:color="auto"/>
        <w:right w:val="none" w:sz="0" w:space="0" w:color="auto"/>
      </w:divBdr>
    </w:div>
    <w:div w:id="1611670351">
      <w:bodyDiv w:val="1"/>
      <w:marLeft w:val="0"/>
      <w:marRight w:val="0"/>
      <w:marTop w:val="0"/>
      <w:marBottom w:val="0"/>
      <w:divBdr>
        <w:top w:val="none" w:sz="0" w:space="0" w:color="auto"/>
        <w:left w:val="none" w:sz="0" w:space="0" w:color="auto"/>
        <w:bottom w:val="none" w:sz="0" w:space="0" w:color="auto"/>
        <w:right w:val="none" w:sz="0" w:space="0" w:color="auto"/>
      </w:divBdr>
    </w:div>
    <w:div w:id="1643806701">
      <w:bodyDiv w:val="1"/>
      <w:marLeft w:val="0"/>
      <w:marRight w:val="0"/>
      <w:marTop w:val="0"/>
      <w:marBottom w:val="0"/>
      <w:divBdr>
        <w:top w:val="none" w:sz="0" w:space="0" w:color="auto"/>
        <w:left w:val="none" w:sz="0" w:space="0" w:color="auto"/>
        <w:bottom w:val="none" w:sz="0" w:space="0" w:color="auto"/>
        <w:right w:val="none" w:sz="0" w:space="0" w:color="auto"/>
      </w:divBdr>
    </w:div>
    <w:div w:id="1683822637">
      <w:bodyDiv w:val="1"/>
      <w:marLeft w:val="0"/>
      <w:marRight w:val="0"/>
      <w:marTop w:val="0"/>
      <w:marBottom w:val="0"/>
      <w:divBdr>
        <w:top w:val="none" w:sz="0" w:space="0" w:color="auto"/>
        <w:left w:val="none" w:sz="0" w:space="0" w:color="auto"/>
        <w:bottom w:val="none" w:sz="0" w:space="0" w:color="auto"/>
        <w:right w:val="none" w:sz="0" w:space="0" w:color="auto"/>
      </w:divBdr>
    </w:div>
    <w:div w:id="1705475469">
      <w:bodyDiv w:val="1"/>
      <w:marLeft w:val="0"/>
      <w:marRight w:val="0"/>
      <w:marTop w:val="0"/>
      <w:marBottom w:val="0"/>
      <w:divBdr>
        <w:top w:val="none" w:sz="0" w:space="0" w:color="auto"/>
        <w:left w:val="none" w:sz="0" w:space="0" w:color="auto"/>
        <w:bottom w:val="none" w:sz="0" w:space="0" w:color="auto"/>
        <w:right w:val="none" w:sz="0" w:space="0" w:color="auto"/>
      </w:divBdr>
    </w:div>
    <w:div w:id="1713728197">
      <w:bodyDiv w:val="1"/>
      <w:marLeft w:val="0"/>
      <w:marRight w:val="0"/>
      <w:marTop w:val="0"/>
      <w:marBottom w:val="0"/>
      <w:divBdr>
        <w:top w:val="none" w:sz="0" w:space="0" w:color="auto"/>
        <w:left w:val="none" w:sz="0" w:space="0" w:color="auto"/>
        <w:bottom w:val="none" w:sz="0" w:space="0" w:color="auto"/>
        <w:right w:val="none" w:sz="0" w:space="0" w:color="auto"/>
      </w:divBdr>
    </w:div>
    <w:div w:id="1733891442">
      <w:bodyDiv w:val="1"/>
      <w:marLeft w:val="0"/>
      <w:marRight w:val="0"/>
      <w:marTop w:val="0"/>
      <w:marBottom w:val="0"/>
      <w:divBdr>
        <w:top w:val="none" w:sz="0" w:space="0" w:color="auto"/>
        <w:left w:val="none" w:sz="0" w:space="0" w:color="auto"/>
        <w:bottom w:val="none" w:sz="0" w:space="0" w:color="auto"/>
        <w:right w:val="none" w:sz="0" w:space="0" w:color="auto"/>
      </w:divBdr>
    </w:div>
    <w:div w:id="1741975517">
      <w:bodyDiv w:val="1"/>
      <w:marLeft w:val="0"/>
      <w:marRight w:val="0"/>
      <w:marTop w:val="0"/>
      <w:marBottom w:val="0"/>
      <w:divBdr>
        <w:top w:val="none" w:sz="0" w:space="0" w:color="auto"/>
        <w:left w:val="none" w:sz="0" w:space="0" w:color="auto"/>
        <w:bottom w:val="none" w:sz="0" w:space="0" w:color="auto"/>
        <w:right w:val="none" w:sz="0" w:space="0" w:color="auto"/>
      </w:divBdr>
    </w:div>
    <w:div w:id="1750541224">
      <w:bodyDiv w:val="1"/>
      <w:marLeft w:val="0"/>
      <w:marRight w:val="0"/>
      <w:marTop w:val="0"/>
      <w:marBottom w:val="0"/>
      <w:divBdr>
        <w:top w:val="none" w:sz="0" w:space="0" w:color="auto"/>
        <w:left w:val="none" w:sz="0" w:space="0" w:color="auto"/>
        <w:bottom w:val="none" w:sz="0" w:space="0" w:color="auto"/>
        <w:right w:val="none" w:sz="0" w:space="0" w:color="auto"/>
      </w:divBdr>
    </w:div>
    <w:div w:id="1808889208">
      <w:bodyDiv w:val="1"/>
      <w:marLeft w:val="0"/>
      <w:marRight w:val="0"/>
      <w:marTop w:val="0"/>
      <w:marBottom w:val="0"/>
      <w:divBdr>
        <w:top w:val="none" w:sz="0" w:space="0" w:color="auto"/>
        <w:left w:val="none" w:sz="0" w:space="0" w:color="auto"/>
        <w:bottom w:val="none" w:sz="0" w:space="0" w:color="auto"/>
        <w:right w:val="none" w:sz="0" w:space="0" w:color="auto"/>
      </w:divBdr>
    </w:div>
    <w:div w:id="1832483875">
      <w:bodyDiv w:val="1"/>
      <w:marLeft w:val="0"/>
      <w:marRight w:val="0"/>
      <w:marTop w:val="0"/>
      <w:marBottom w:val="0"/>
      <w:divBdr>
        <w:top w:val="none" w:sz="0" w:space="0" w:color="auto"/>
        <w:left w:val="none" w:sz="0" w:space="0" w:color="auto"/>
        <w:bottom w:val="none" w:sz="0" w:space="0" w:color="auto"/>
        <w:right w:val="none" w:sz="0" w:space="0" w:color="auto"/>
      </w:divBdr>
    </w:div>
    <w:div w:id="1840652013">
      <w:bodyDiv w:val="1"/>
      <w:marLeft w:val="0"/>
      <w:marRight w:val="0"/>
      <w:marTop w:val="0"/>
      <w:marBottom w:val="0"/>
      <w:divBdr>
        <w:top w:val="none" w:sz="0" w:space="0" w:color="auto"/>
        <w:left w:val="none" w:sz="0" w:space="0" w:color="auto"/>
        <w:bottom w:val="none" w:sz="0" w:space="0" w:color="auto"/>
        <w:right w:val="none" w:sz="0" w:space="0" w:color="auto"/>
      </w:divBdr>
    </w:div>
    <w:div w:id="1900164935">
      <w:bodyDiv w:val="1"/>
      <w:marLeft w:val="0"/>
      <w:marRight w:val="0"/>
      <w:marTop w:val="0"/>
      <w:marBottom w:val="0"/>
      <w:divBdr>
        <w:top w:val="none" w:sz="0" w:space="0" w:color="auto"/>
        <w:left w:val="none" w:sz="0" w:space="0" w:color="auto"/>
        <w:bottom w:val="none" w:sz="0" w:space="0" w:color="auto"/>
        <w:right w:val="none" w:sz="0" w:space="0" w:color="auto"/>
      </w:divBdr>
    </w:div>
    <w:div w:id="1912303039">
      <w:bodyDiv w:val="1"/>
      <w:marLeft w:val="0"/>
      <w:marRight w:val="0"/>
      <w:marTop w:val="0"/>
      <w:marBottom w:val="0"/>
      <w:divBdr>
        <w:top w:val="none" w:sz="0" w:space="0" w:color="auto"/>
        <w:left w:val="none" w:sz="0" w:space="0" w:color="auto"/>
        <w:bottom w:val="none" w:sz="0" w:space="0" w:color="auto"/>
        <w:right w:val="none" w:sz="0" w:space="0" w:color="auto"/>
      </w:divBdr>
    </w:div>
    <w:div w:id="1953394170">
      <w:bodyDiv w:val="1"/>
      <w:marLeft w:val="0"/>
      <w:marRight w:val="0"/>
      <w:marTop w:val="0"/>
      <w:marBottom w:val="0"/>
      <w:divBdr>
        <w:top w:val="none" w:sz="0" w:space="0" w:color="auto"/>
        <w:left w:val="none" w:sz="0" w:space="0" w:color="auto"/>
        <w:bottom w:val="none" w:sz="0" w:space="0" w:color="auto"/>
        <w:right w:val="none" w:sz="0" w:space="0" w:color="auto"/>
      </w:divBdr>
    </w:div>
    <w:div w:id="2032875670">
      <w:bodyDiv w:val="1"/>
      <w:marLeft w:val="0"/>
      <w:marRight w:val="0"/>
      <w:marTop w:val="0"/>
      <w:marBottom w:val="0"/>
      <w:divBdr>
        <w:top w:val="none" w:sz="0" w:space="0" w:color="auto"/>
        <w:left w:val="none" w:sz="0" w:space="0" w:color="auto"/>
        <w:bottom w:val="none" w:sz="0" w:space="0" w:color="auto"/>
        <w:right w:val="none" w:sz="0" w:space="0" w:color="auto"/>
      </w:divBdr>
    </w:div>
    <w:div w:id="2045976951">
      <w:bodyDiv w:val="1"/>
      <w:marLeft w:val="0"/>
      <w:marRight w:val="0"/>
      <w:marTop w:val="0"/>
      <w:marBottom w:val="0"/>
      <w:divBdr>
        <w:top w:val="none" w:sz="0" w:space="0" w:color="auto"/>
        <w:left w:val="none" w:sz="0" w:space="0" w:color="auto"/>
        <w:bottom w:val="none" w:sz="0" w:space="0" w:color="auto"/>
        <w:right w:val="none" w:sz="0" w:space="0" w:color="auto"/>
      </w:divBdr>
    </w:div>
    <w:div w:id="2057582520">
      <w:bodyDiv w:val="1"/>
      <w:marLeft w:val="0"/>
      <w:marRight w:val="0"/>
      <w:marTop w:val="0"/>
      <w:marBottom w:val="0"/>
      <w:divBdr>
        <w:top w:val="none" w:sz="0" w:space="0" w:color="auto"/>
        <w:left w:val="none" w:sz="0" w:space="0" w:color="auto"/>
        <w:bottom w:val="none" w:sz="0" w:space="0" w:color="auto"/>
        <w:right w:val="none" w:sz="0" w:space="0" w:color="auto"/>
      </w:divBdr>
    </w:div>
    <w:div w:id="2075279801">
      <w:bodyDiv w:val="1"/>
      <w:marLeft w:val="0"/>
      <w:marRight w:val="0"/>
      <w:marTop w:val="0"/>
      <w:marBottom w:val="0"/>
      <w:divBdr>
        <w:top w:val="none" w:sz="0" w:space="0" w:color="auto"/>
        <w:left w:val="none" w:sz="0" w:space="0" w:color="auto"/>
        <w:bottom w:val="none" w:sz="0" w:space="0" w:color="auto"/>
        <w:right w:val="none" w:sz="0" w:space="0" w:color="auto"/>
      </w:divBdr>
    </w:div>
    <w:div w:id="2107728752">
      <w:bodyDiv w:val="1"/>
      <w:marLeft w:val="0"/>
      <w:marRight w:val="0"/>
      <w:marTop w:val="0"/>
      <w:marBottom w:val="0"/>
      <w:divBdr>
        <w:top w:val="none" w:sz="0" w:space="0" w:color="auto"/>
        <w:left w:val="none" w:sz="0" w:space="0" w:color="auto"/>
        <w:bottom w:val="none" w:sz="0" w:space="0" w:color="auto"/>
        <w:right w:val="none" w:sz="0" w:space="0" w:color="auto"/>
      </w:divBdr>
    </w:div>
    <w:div w:id="2127920532">
      <w:bodyDiv w:val="1"/>
      <w:marLeft w:val="0"/>
      <w:marRight w:val="0"/>
      <w:marTop w:val="0"/>
      <w:marBottom w:val="0"/>
      <w:divBdr>
        <w:top w:val="none" w:sz="0" w:space="0" w:color="auto"/>
        <w:left w:val="none" w:sz="0" w:space="0" w:color="auto"/>
        <w:bottom w:val="none" w:sz="0" w:space="0" w:color="auto"/>
        <w:right w:val="none" w:sz="0" w:space="0" w:color="auto"/>
      </w:divBdr>
    </w:div>
    <w:div w:id="21339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88C9B-569F-1945-953F-16C36B26D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13</Pages>
  <Words>25660</Words>
  <Characters>146263</Characters>
  <Application>Microsoft Office Word</Application>
  <DocSecurity>0</DocSecurity>
  <Lines>1218</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Authors: Giles Roditi, Nadir Khan ………</dc:creator>
  <cp:keywords/>
  <dc:description/>
  <cp:lastModifiedBy>Khan, Nadir</cp:lastModifiedBy>
  <cp:revision>15</cp:revision>
  <dcterms:created xsi:type="dcterms:W3CDTF">2021-05-03T19:21:00Z</dcterms:created>
  <dcterms:modified xsi:type="dcterms:W3CDTF">2022-01-24T12:20:00Z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id="cDllE2GP"/&gt;&lt;style id="http://www.zotero.org/styles/european-radiology" hasBibliography="1" bibliographyStyleHasBeenSet="1"/&gt;&lt;prefs&gt;&lt;pref name="fieldType" value="Field"/&gt;&lt;pref name="automaticJou</vt:lpwstr>
  </property>
  <property fmtid="{D5CDD505-2E9C-101B-9397-08002B2CF9AE}" pid="3" name="ZOTERO_PREF_2">
    <vt:lpwstr>rnalAbbreviations" value="true"/&gt;&lt;pref name="dontAskDelayCitationUpdates" value="true"/&gt;&lt;/prefs&gt;&lt;/data&gt;</vt:lpwstr>
  </property>
</Properties>
</file>