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6929D" w14:textId="1F735599" w:rsidR="00F27F54" w:rsidRDefault="00F27F54" w:rsidP="00A6111E">
      <w:pPr>
        <w:rPr>
          <w:rFonts w:cstheme="minorHAnsi"/>
          <w:b/>
          <w:bCs/>
        </w:rPr>
      </w:pPr>
    </w:p>
    <w:p w14:paraId="06C00197" w14:textId="77777777" w:rsidR="005D1293" w:rsidRDefault="005D1293" w:rsidP="005D1293">
      <w:pPr>
        <w:rPr>
          <w:rFonts w:cstheme="minorHAnsi"/>
          <w:b/>
          <w:bCs/>
        </w:rPr>
      </w:pPr>
      <w:r w:rsidRPr="00797C29">
        <w:rPr>
          <w:rFonts w:cstheme="minorHAnsi"/>
          <w:b/>
          <w:bCs/>
          <w:color w:val="000000" w:themeColor="text1"/>
        </w:rPr>
        <w:t xml:space="preserve">Appendix </w:t>
      </w:r>
      <w:r>
        <w:rPr>
          <w:rFonts w:cstheme="minorHAnsi"/>
          <w:b/>
          <w:bCs/>
          <w:color w:val="000000" w:themeColor="text1"/>
        </w:rPr>
        <w:t>5</w:t>
      </w:r>
      <w:r w:rsidRPr="00797C29">
        <w:rPr>
          <w:rFonts w:cstheme="minorHAnsi"/>
          <w:b/>
          <w:bCs/>
          <w:color w:val="000000" w:themeColor="text1"/>
        </w:rPr>
        <w:t xml:space="preserve">: </w:t>
      </w:r>
      <w:r w:rsidRPr="00DB3172">
        <w:rPr>
          <w:rFonts w:cstheme="minorHAnsi"/>
          <w:b/>
          <w:bCs/>
          <w:color w:val="000000" w:themeColor="text1"/>
        </w:rPr>
        <w:t>A summary of the different EDA devices which have been tested clinically</w:t>
      </w:r>
    </w:p>
    <w:p w14:paraId="593F1A62" w14:textId="4FF91269" w:rsidR="00F27F54" w:rsidRDefault="00F27F54" w:rsidP="00A6111E">
      <w:pPr>
        <w:rPr>
          <w:rFonts w:cstheme="minorHAnsi"/>
          <w:b/>
          <w:bCs/>
        </w:rPr>
      </w:pPr>
    </w:p>
    <w:tbl>
      <w:tblPr>
        <w:tblStyle w:val="TableGrid"/>
        <w:tblW w:w="14454" w:type="dxa"/>
        <w:tblLook w:val="04A0" w:firstRow="1" w:lastRow="0" w:firstColumn="1" w:lastColumn="0" w:noHBand="0" w:noVBand="1"/>
      </w:tblPr>
      <w:tblGrid>
        <w:gridCol w:w="3114"/>
        <w:gridCol w:w="11340"/>
      </w:tblGrid>
      <w:tr w:rsidR="00266699" w14:paraId="08268814" w14:textId="77777777" w:rsidTr="00CF3643">
        <w:tc>
          <w:tcPr>
            <w:tcW w:w="3114" w:type="dxa"/>
          </w:tcPr>
          <w:p w14:paraId="4F800D2E" w14:textId="77777777" w:rsidR="00266699" w:rsidRDefault="00266699" w:rsidP="00CF3643">
            <w:pPr>
              <w:rPr>
                <w:rFonts w:cstheme="minorHAnsi"/>
                <w:b/>
                <w:bCs/>
              </w:rPr>
            </w:pPr>
            <w:r>
              <w:rPr>
                <w:rFonts w:cstheme="minorHAnsi"/>
                <w:b/>
                <w:bCs/>
              </w:rPr>
              <w:t>Devices</w:t>
            </w:r>
          </w:p>
        </w:tc>
        <w:tc>
          <w:tcPr>
            <w:tcW w:w="11340" w:type="dxa"/>
          </w:tcPr>
          <w:p w14:paraId="7E867AEB" w14:textId="77777777" w:rsidR="00266699" w:rsidRDefault="00266699" w:rsidP="00CF3643">
            <w:pPr>
              <w:rPr>
                <w:rFonts w:cstheme="minorHAnsi"/>
                <w:b/>
                <w:bCs/>
              </w:rPr>
            </w:pPr>
            <w:r>
              <w:rPr>
                <w:rFonts w:cstheme="minorHAnsi"/>
                <w:b/>
                <w:bCs/>
              </w:rPr>
              <w:t>Description</w:t>
            </w:r>
          </w:p>
        </w:tc>
      </w:tr>
      <w:tr w:rsidR="00266699" w14:paraId="0BC04189" w14:textId="77777777" w:rsidTr="00CF3643">
        <w:tc>
          <w:tcPr>
            <w:tcW w:w="3114" w:type="dxa"/>
          </w:tcPr>
          <w:p w14:paraId="493F20BC" w14:textId="77777777" w:rsidR="00266699" w:rsidRDefault="00266699" w:rsidP="00CF3643">
            <w:pPr>
              <w:rPr>
                <w:rFonts w:cstheme="minorHAnsi"/>
              </w:rPr>
            </w:pPr>
            <w:r w:rsidRPr="00DB3172">
              <w:rPr>
                <w:rFonts w:cstheme="minorHAnsi"/>
              </w:rPr>
              <w:t>MEDRAD Stellant XDS (Bayer)</w:t>
            </w:r>
          </w:p>
          <w:p w14:paraId="15D7B25A" w14:textId="77777777" w:rsidR="00266699" w:rsidRPr="00CF3643" w:rsidRDefault="00266699" w:rsidP="00CF3643">
            <w:pPr>
              <w:rPr>
                <w:rFonts w:cstheme="minorHAnsi"/>
                <w:i/>
                <w:iCs/>
              </w:rPr>
            </w:pPr>
            <w:r w:rsidRPr="00CF3643">
              <w:rPr>
                <w:rFonts w:cstheme="minorHAnsi"/>
                <w:i/>
                <w:iCs/>
              </w:rPr>
              <w:t>Warrendale, PA, USA</w:t>
            </w:r>
          </w:p>
        </w:tc>
        <w:tc>
          <w:tcPr>
            <w:tcW w:w="11340" w:type="dxa"/>
          </w:tcPr>
          <w:p w14:paraId="0EE1E94F" w14:textId="4B13885A" w:rsidR="00266699" w:rsidRPr="00797C29" w:rsidRDefault="00266699" w:rsidP="00CF3643">
            <w:pPr>
              <w:rPr>
                <w:rFonts w:cstheme="minorHAnsi"/>
                <w:b/>
                <w:bCs/>
              </w:rPr>
            </w:pPr>
            <w:r w:rsidRPr="00797C29">
              <w:rPr>
                <w:rFonts w:cstheme="minorHAnsi"/>
              </w:rPr>
              <w:t>This system uses a radiofrequency device for detection and  warns the operator to the presence of extravasation</w:t>
            </w:r>
            <w:r w:rsidR="005C72A7">
              <w:rPr>
                <w:rFonts w:cstheme="minorHAnsi"/>
              </w:rPr>
              <w:fldChar w:fldCharType="begin"/>
            </w:r>
            <w:r w:rsidR="005C72A7">
              <w:rPr>
                <w:rFonts w:cstheme="minorHAnsi"/>
              </w:rPr>
              <w:instrText xml:space="preserve"> ADDIN ZOTERO_ITEM CSL_CITATION {"citationID":"rUq5XaWu","properties":{"formattedCitation":"[1]","plainCitation":"[1]","noteIndex":0},"citationItems":[{"id":156,"uris":["http://zotero.org/users/2960325/items/8LKVTKXV"],"uri":["http://zotero.org/users/2960325/items/8LKVTKXV"],"itemData":{"id":156,"type":"webpage","title":"Radiology - Medrad Stellant","URL":"http://radiology.bayer.co.uk/products/ct/medrad-stellant/","accessed":{"date-parts":[["2019",10,13]]}}}],"schema":"https://github.com/citation-style-language/schema/raw/master/csl-citation.json"} </w:instrText>
            </w:r>
            <w:r w:rsidR="005C72A7">
              <w:rPr>
                <w:rFonts w:cstheme="minorHAnsi"/>
              </w:rPr>
              <w:fldChar w:fldCharType="separate"/>
            </w:r>
            <w:r w:rsidR="005C72A7">
              <w:rPr>
                <w:rFonts w:cstheme="minorHAnsi"/>
                <w:noProof/>
              </w:rPr>
              <w:t>[1]</w:t>
            </w:r>
            <w:r w:rsidR="005C72A7">
              <w:rPr>
                <w:rFonts w:cstheme="minorHAnsi"/>
              </w:rPr>
              <w:fldChar w:fldCharType="end"/>
            </w:r>
            <w:r w:rsidRPr="00797C29">
              <w:rPr>
                <w:rFonts w:cstheme="minorHAnsi"/>
              </w:rPr>
              <w:t>. A single case-series of 25 adults who were considered high risk for CME</w:t>
            </w:r>
            <w:r>
              <w:rPr>
                <w:rFonts w:cstheme="minorHAnsi"/>
              </w:rPr>
              <w:t>X</w:t>
            </w:r>
            <w:r w:rsidRPr="00797C29">
              <w:rPr>
                <w:rFonts w:cstheme="minorHAnsi"/>
              </w:rPr>
              <w:t xml:space="preserve"> underwent CT angiography and relevant data was collected. Overall, the device alerted to five episodes of extravasation with no more than 8 ml of CM introduced</w:t>
            </w:r>
            <w:r w:rsidRPr="00797C29">
              <w:rPr>
                <w:rFonts w:cstheme="minorHAnsi"/>
              </w:rPr>
              <w:fldChar w:fldCharType="begin"/>
            </w:r>
            <w:r w:rsidR="005C72A7">
              <w:rPr>
                <w:rFonts w:cstheme="minorHAnsi"/>
              </w:rPr>
              <w:instrText xml:space="preserve"> ADDIN ZOTERO_ITEM CSL_CITATION {"citationID":"dKeB8yOC","properties":{"formattedCitation":"[2]","plainCitation":"[2]","noteIndex":0},"citationItems":[{"id":166,"uris":["http://zotero.org/users/2960325/items/6P8X9LQ2"],"uri":["http://zotero.org/users/2960325/items/6P8X9LQ2"],"itemData":{"id":166,"type":"article-journal","abstract":"BACKGROUND: Increased speeds of computed tomography (CT) acquisition and concomitant increased intravenous (IV) bolus injection rates have placed patients at greater risk of contrast extravasation.\nPURPOSE: To assess the efficacy of the MEDRAD XDS extravasation detector by recording the incidence of contrast extravasation in high-risk patients during CT angiography.\nMATERIAL AND METHODS: We prospectively collected data on 25 adults ages 45 to 85 years (mean=65 years), all of whom were considered to be at high risk of having a contrast extravasation. All patients underwent CT angiography with power-injected IV contrast injection introduced via an antecubital venous line. Details recorded included patient age and weight, contrast volume, flow rate, maximum injector pressure, image quality, and extravasation incidence and volume. The size of the most commonly used cannula was 20 gauge and the flow rates ranged from 4.0 to 6 mL/second.\nRESULTS: The XDS device alerted the clinicians to five episodes of extravasation. These were identified at an early stage of the injection with no more than 8 mL of contrast material having been introduced.\nCONCLUSION: The utility of this device has been demonstrated and its employment should reduce extravasated contrast volumes with minimum discomfort to high-risk patients.","container-title":"Journal of Medical Imaging and Radiation Sciences","DOI":"10.1016/j.jmir.2011.05.003","ISSN":"1876-7982","issue":"4","journalAbbreviation":"J Med Imaging Radiat Sci","language":"eng","note":"PMID: 31051812","page":"179-182","source":"PubMed","title":"Clinical Implementation of the New MEDRAD XDS Contrast Extravasation Detector for Multidetector Computed Tomography","volume":"42","author":[{"family":"Saade","given":"Charbel"},{"family":"Brennan","given":"Patrick"}],"issued":{"date-parts":[["2011",12]]}}}],"schema":"https://github.com/citation-style-language/schema/raw/master/csl-citation.json"} </w:instrText>
            </w:r>
            <w:r w:rsidRPr="00797C29">
              <w:rPr>
                <w:rFonts w:cstheme="minorHAnsi"/>
              </w:rPr>
              <w:fldChar w:fldCharType="separate"/>
            </w:r>
            <w:r w:rsidR="005C72A7">
              <w:rPr>
                <w:rFonts w:cstheme="minorHAnsi"/>
                <w:noProof/>
              </w:rPr>
              <w:t>[2]</w:t>
            </w:r>
            <w:r w:rsidRPr="00797C29">
              <w:rPr>
                <w:rFonts w:cstheme="minorHAnsi"/>
              </w:rPr>
              <w:fldChar w:fldCharType="end"/>
            </w:r>
            <w:r w:rsidRPr="00797C29">
              <w:rPr>
                <w:rFonts w:cstheme="minorHAnsi"/>
              </w:rPr>
              <w:t>. One disadvantage to the use of this device is that it takes up to 3 minutes to set-up which may be considered an obstacle for day-to-day use.</w:t>
            </w:r>
          </w:p>
        </w:tc>
      </w:tr>
      <w:tr w:rsidR="00266699" w14:paraId="17440AD8" w14:textId="77777777" w:rsidTr="00CF3643">
        <w:tc>
          <w:tcPr>
            <w:tcW w:w="3114" w:type="dxa"/>
          </w:tcPr>
          <w:p w14:paraId="699EE355" w14:textId="77777777" w:rsidR="00266699" w:rsidRDefault="00266699" w:rsidP="00CF3643">
            <w:pPr>
              <w:rPr>
                <w:rFonts w:cstheme="minorHAnsi"/>
              </w:rPr>
            </w:pPr>
            <w:proofErr w:type="spellStart"/>
            <w:r w:rsidRPr="00797C29">
              <w:rPr>
                <w:rFonts w:cstheme="minorHAnsi"/>
              </w:rPr>
              <w:t>SimpliDetect</w:t>
            </w:r>
            <w:proofErr w:type="spellEnd"/>
            <w:r w:rsidRPr="00797C29">
              <w:rPr>
                <w:rFonts w:cstheme="minorHAnsi"/>
              </w:rPr>
              <w:t xml:space="preserve"> (</w:t>
            </w:r>
            <w:proofErr w:type="spellStart"/>
            <w:r w:rsidRPr="00797C29">
              <w:rPr>
                <w:rFonts w:cstheme="minorHAnsi"/>
              </w:rPr>
              <w:t>Neorad</w:t>
            </w:r>
            <w:proofErr w:type="spellEnd"/>
            <w:r w:rsidRPr="00797C29">
              <w:rPr>
                <w:rFonts w:cstheme="minorHAnsi"/>
              </w:rPr>
              <w:t xml:space="preserve"> AS)</w:t>
            </w:r>
          </w:p>
          <w:p w14:paraId="0F84276C" w14:textId="77777777" w:rsidR="00266699" w:rsidRPr="00CF3643" w:rsidRDefault="00266699" w:rsidP="00CF3643">
            <w:pPr>
              <w:rPr>
                <w:rFonts w:cstheme="minorHAnsi"/>
                <w:i/>
                <w:iCs/>
              </w:rPr>
            </w:pPr>
            <w:r w:rsidRPr="00CF3643">
              <w:rPr>
                <w:rFonts w:cstheme="minorHAnsi"/>
                <w:i/>
                <w:iCs/>
              </w:rPr>
              <w:t>Roosendaal, Netherlands</w:t>
            </w:r>
          </w:p>
        </w:tc>
        <w:tc>
          <w:tcPr>
            <w:tcW w:w="11340" w:type="dxa"/>
          </w:tcPr>
          <w:p w14:paraId="5BE91128" w14:textId="79D51849" w:rsidR="00266699" w:rsidRPr="00797C29" w:rsidRDefault="00266699" w:rsidP="00CF3643">
            <w:pPr>
              <w:rPr>
                <w:rFonts w:cstheme="minorHAnsi"/>
                <w:b/>
                <w:bCs/>
              </w:rPr>
            </w:pPr>
            <w:r w:rsidRPr="00DB3172">
              <w:rPr>
                <w:rFonts w:cstheme="minorHAnsi"/>
              </w:rPr>
              <w:t>This device uses continuous wave Doppler ultrasound via a sensor placed distal to the cannula insertion site to monitor blood flow and detect a correct injection by a strong increase in Doppler signal strength and velocity. The device is linked to the injector and interrupts injection in the event of complication, amongst other errors (</w:t>
            </w:r>
            <w:proofErr w:type="gramStart"/>
            <w:r w:rsidRPr="00DB3172">
              <w:rPr>
                <w:rFonts w:cstheme="minorHAnsi"/>
              </w:rPr>
              <w:t>e.g.</w:t>
            </w:r>
            <w:proofErr w:type="gramEnd"/>
            <w:r w:rsidRPr="00DB3172">
              <w:rPr>
                <w:rFonts w:cstheme="minorHAnsi"/>
              </w:rPr>
              <w:t xml:space="preserve"> equipment failure and inadvertent air injections). The device detected one extravasation and four other unrelated problems in a study of 198 patients in a multi-centre study</w:t>
            </w:r>
            <w:r w:rsidRPr="00797C29">
              <w:rPr>
                <w:rFonts w:cstheme="minorHAnsi"/>
              </w:rPr>
              <w:fldChar w:fldCharType="begin"/>
            </w:r>
            <w:r w:rsidR="005C72A7">
              <w:rPr>
                <w:rFonts w:cstheme="minorHAnsi"/>
              </w:rPr>
              <w:instrText xml:space="preserve"> ADDIN ZOTERO_ITEM CSL_CITATION {"citationID":"wZZgPJr1","properties":{"formattedCitation":"[3]","plainCitation":"[3]","noteIndex":0},"citationItems":[{"id":173,"uris":["http://zotero.org/users/2960325/items/UFU8SZ62"],"uri":["http://zotero.org/users/2960325/items/UFU8SZ62"],"itemData":{"id":173,"type":"article-journal","abstract":"During CT examinations, approximately 100 ml of X-ray contrast agent is regularly injected intravenously. In some rare cases, some or all the contrast agent may leak out of the vein and into the surrounding tissue, causing an extravasation. In other cases, equipment failure may prevent the contrast agent from being injected. This paper presents an ultrasound unit made for monitoring contrast agent injections during CT investigations. The unit uses a specially designed transducer attached to the arm of the patient, and a three-channel CW Doppler unit monitors the contrast agent injection continuously. The system has been tested on 198 patients in various CT centers. The preliminary results show that a correct injection is recognized by a strong increase in Doppler signal strength and velocity. Four cases of extravasations and equipment failure were detected as either delayed or missing increase in Doppler power.","container-title":"2008 IEEE Ultrasonics Symposium","DOI":"10.1109/ultsym.2008.0004","page":"13-16","source":"Semantic Scholar","title":"Monitoring X-ray contrast agent injections with Doppler ultrasound","author":[{"family":"Hoff","given":"Lars"},{"family":"Brabrand","given":"Knut"},{"family":"Andersen","given":"N. B."},{"family":"Medhus","given":"S."}],"issued":{"date-parts":[["2008"]]}}}],"schema":"https://github.com/citation-style-language/schema/raw/master/csl-citation.json"} </w:instrText>
            </w:r>
            <w:r w:rsidRPr="00797C29">
              <w:rPr>
                <w:rFonts w:cstheme="minorHAnsi"/>
              </w:rPr>
              <w:fldChar w:fldCharType="separate"/>
            </w:r>
            <w:r w:rsidR="005C72A7">
              <w:rPr>
                <w:rFonts w:cstheme="minorHAnsi"/>
                <w:noProof/>
              </w:rPr>
              <w:t>[3]</w:t>
            </w:r>
            <w:r w:rsidRPr="00797C29">
              <w:rPr>
                <w:rFonts w:cstheme="minorHAnsi"/>
              </w:rPr>
              <w:fldChar w:fldCharType="end"/>
            </w:r>
            <w:r w:rsidRPr="00797C29">
              <w:rPr>
                <w:rFonts w:cstheme="minorHAnsi"/>
              </w:rPr>
              <w:t>.</w:t>
            </w:r>
          </w:p>
        </w:tc>
      </w:tr>
      <w:tr w:rsidR="00266699" w14:paraId="24435432" w14:textId="77777777" w:rsidTr="00CF3643">
        <w:tc>
          <w:tcPr>
            <w:tcW w:w="3114" w:type="dxa"/>
          </w:tcPr>
          <w:p w14:paraId="2860B5BF" w14:textId="77777777" w:rsidR="00266699" w:rsidRDefault="00266699" w:rsidP="00CF3643">
            <w:pPr>
              <w:rPr>
                <w:rFonts w:cstheme="minorHAnsi"/>
              </w:rPr>
            </w:pPr>
            <w:r w:rsidRPr="00797C29">
              <w:rPr>
                <w:rFonts w:cstheme="minorHAnsi"/>
              </w:rPr>
              <w:t>E-Z EM</w:t>
            </w:r>
            <w:r w:rsidRPr="00797C29">
              <w:rPr>
                <w:rFonts w:cstheme="minorHAnsi"/>
                <w:vertAlign w:val="superscript"/>
              </w:rPr>
              <w:t>TM</w:t>
            </w:r>
            <w:r w:rsidRPr="00797C29">
              <w:rPr>
                <w:rFonts w:cstheme="minorHAnsi"/>
              </w:rPr>
              <w:t xml:space="preserve"> Empower CT</w:t>
            </w:r>
            <w:r w:rsidRPr="00797C29">
              <w:rPr>
                <w:rFonts w:cstheme="minorHAnsi"/>
                <w:vertAlign w:val="superscript"/>
              </w:rPr>
              <w:t>(R)</w:t>
            </w:r>
            <w:r w:rsidRPr="00797C29">
              <w:rPr>
                <w:rFonts w:cstheme="minorHAnsi"/>
              </w:rPr>
              <w:t xml:space="preserve"> (Bracco)</w:t>
            </w:r>
          </w:p>
          <w:p w14:paraId="2129197C" w14:textId="77777777" w:rsidR="00266699" w:rsidRPr="00CF3643" w:rsidRDefault="00266699" w:rsidP="00CF3643">
            <w:pPr>
              <w:rPr>
                <w:rFonts w:cstheme="minorHAnsi"/>
                <w:i/>
                <w:iCs/>
              </w:rPr>
            </w:pPr>
            <w:r w:rsidRPr="00CF3643">
              <w:rPr>
                <w:rFonts w:cstheme="minorHAnsi"/>
                <w:i/>
                <w:iCs/>
              </w:rPr>
              <w:t>Westbury, NY, USA</w:t>
            </w:r>
          </w:p>
        </w:tc>
        <w:tc>
          <w:tcPr>
            <w:tcW w:w="11340" w:type="dxa"/>
          </w:tcPr>
          <w:p w14:paraId="40C36D42" w14:textId="64636115" w:rsidR="00266699" w:rsidRPr="00797C29" w:rsidRDefault="00266699" w:rsidP="00CF3643">
            <w:pPr>
              <w:rPr>
                <w:rFonts w:cstheme="minorHAnsi"/>
                <w:b/>
                <w:bCs/>
              </w:rPr>
            </w:pPr>
            <w:r w:rsidRPr="00DB3172">
              <w:rPr>
                <w:rFonts w:cstheme="minorHAnsi"/>
              </w:rPr>
              <w:t>This system uses electrode patches attached to the skin above the injection site</w:t>
            </w:r>
            <w:r w:rsidRPr="00797C29">
              <w:rPr>
                <w:rFonts w:cstheme="minorHAnsi"/>
              </w:rPr>
              <w:fldChar w:fldCharType="begin"/>
            </w:r>
            <w:r w:rsidR="005C72A7">
              <w:rPr>
                <w:rFonts w:cstheme="minorHAnsi"/>
              </w:rPr>
              <w:instrText xml:space="preserve"> ADDIN ZOTERO_ITEM CSL_CITATION {"citationID":"nnshKCQ6","properties":{"formattedCitation":"[4]","plainCitation":"[4]","noteIndex":0},"citationItems":[{"id":154,"uris":["http://zotero.org/users/2960325/items/QKI5WHHC"],"uri":["http://zotero.org/users/2960325/items/QKI5WHHC"],"itemData":{"id":154,"type":"post-weblog","abstract":"Bracco EZEM Empower CT &amp; Empower CTA Dual Head  Injectors\n\n\nBrochure Download","container-title":"Disposable syringes Suppliers of Medrad CT | MRI | ANGIO Contrast injectors","language":"zh-CN","title":"Bracco EZEM Empower CT &amp; Empower CTA-D 200ml/200ml CT Contrast Media Injectors Syringes","URL":"https://www.medismed.com/product/bracco-ezem-empower-ct-empower-cta-dual-head-injectors/","accessed":{"date-parts":[["2019",10,13]]}}}],"schema":"https://github.com/citation-style-language/schema/raw/master/csl-citation.json"} </w:instrText>
            </w:r>
            <w:r w:rsidRPr="00797C29">
              <w:rPr>
                <w:rFonts w:cstheme="minorHAnsi"/>
              </w:rPr>
              <w:fldChar w:fldCharType="separate"/>
            </w:r>
            <w:r w:rsidR="005C72A7">
              <w:rPr>
                <w:rFonts w:cstheme="minorHAnsi"/>
                <w:noProof/>
              </w:rPr>
              <w:t>[4]</w:t>
            </w:r>
            <w:r w:rsidRPr="00797C29">
              <w:rPr>
                <w:rFonts w:cstheme="minorHAnsi"/>
              </w:rPr>
              <w:fldChar w:fldCharType="end"/>
            </w:r>
            <w:r w:rsidRPr="00797C29">
              <w:rPr>
                <w:rFonts w:cstheme="minorHAnsi"/>
              </w:rPr>
              <w:t xml:space="preserve"> and detects changes in skin electrical impedance for the identification of extravasation. In a prospective, multi-institutional study of 500 patients, this device detected  &gt;10 ml extravasation with 100% sensitivity and 98% specificity</w:t>
            </w:r>
            <w:r w:rsidRPr="00797C29">
              <w:rPr>
                <w:rFonts w:cstheme="minorHAnsi"/>
              </w:rPr>
              <w:fldChar w:fldCharType="begin"/>
            </w:r>
            <w:r w:rsidR="005C72A7">
              <w:rPr>
                <w:rFonts w:cstheme="minorHAnsi"/>
              </w:rPr>
              <w:instrText xml:space="preserve"> ADDIN ZOTERO_ITEM CSL_CITATION {"citationID":"7tJFZ1x4","properties":{"formattedCitation":"[5]","plainCitation":"[5]","noteIndex":0},"citationItems":[{"id":168,"uris":["http://zotero.org/users/2960325/items/SZTKUZ2S"],"uri":["http://zotero.org/users/2960325/items/SZTKUZ2S"],"itemData":{"id":168,"type":"article-journal","abstract":"PURPOSE: To assess the ability of an extravasation detection accessory (EDA) to detect clinically important (&gt; or = 10 mL) extravascular injection of iodinated contrast material delivered with an automated power injector.\nMATERIALS AND METHODS: Five hundred patients referred for contrast material-enhanced body computed tomography (CT) participated in a prospective, multi-institutional, observational study in which the EDA was used to identify and interrupt any injection associated with clinically important extravasation. The presence or absence of extravasation was definitively established with helical CT at the injection site (injection rate, from 1.0 to 5.0 mL/sec; mean, 2.9 mL/sec; median, 3.0 mL/sec).\nRESULTS: There were four true-positive (extravasation volumes, 13-18 mL), 484 true-negative, 12 false-positive, and no false-negative cases. The prevalence of overall and clinically important (&gt; or = 10 mL) extravasation was 3.6% (18 of 500 cases) and 0.8% (four of 500 cases), respectively. The EDA had a sensitivity of 100% (four of four cases; 95% CI: 51%, 100%) and a specificity of 98% (484 of 496 cases; 95% CI: 96%, 99%) in the detection of clinically important extravasation.\nCONCLUSION: The EDA is easy to use, safe, and accurate in the monitoring of intravenous injections for extravasation, which could prove especially useful in high-flow-rate CT applications.","container-title":"Radiology","DOI":"10.1148/radiology.212.2.r99au14431","ISSN":"0033-8419","issue":"2","journalAbbreviation":"Radiology","language":"eng","note":"PMID: 10429700","page":"431-438","source":"PubMed","title":"Extravasation detection accessory: clinical evaluation in 500 patients","title-short":"Extravasation detection accessory","volume":"212","author":[{"family":"Birnbaum","given":"B. A."},{"family":"Nelson","given":"R. C."},{"family":"Chezmar","given":"J. L."},{"family":"Glick","given":"S. N."}],"issued":{"date-parts":[["1999",8]]}}}],"schema":"https://github.com/citation-style-language/schema/raw/master/csl-citation.json"} </w:instrText>
            </w:r>
            <w:r w:rsidRPr="00797C29">
              <w:rPr>
                <w:rFonts w:cstheme="minorHAnsi"/>
              </w:rPr>
              <w:fldChar w:fldCharType="separate"/>
            </w:r>
            <w:r w:rsidR="005C72A7">
              <w:rPr>
                <w:rFonts w:cstheme="minorHAnsi"/>
                <w:noProof/>
              </w:rPr>
              <w:t>[5]</w:t>
            </w:r>
            <w:r w:rsidRPr="00797C29">
              <w:rPr>
                <w:rFonts w:cstheme="minorHAnsi"/>
              </w:rPr>
              <w:fldChar w:fldCharType="end"/>
            </w:r>
            <w:r w:rsidRPr="00797C29">
              <w:rPr>
                <w:rFonts w:cstheme="minorHAnsi"/>
              </w:rPr>
              <w:t>. A further study which delivered 0.9% sodium chloride or 5% dextrose instead of CM via a power injector at differing rates showed similar results with alerting to extravasation of no more than 13 ml with high sensitivity and specificity</w:t>
            </w:r>
            <w:r w:rsidRPr="00797C29">
              <w:rPr>
                <w:rFonts w:cstheme="minorHAnsi"/>
              </w:rPr>
              <w:fldChar w:fldCharType="begin"/>
            </w:r>
            <w:r w:rsidR="005C72A7">
              <w:rPr>
                <w:rFonts w:cstheme="minorHAnsi"/>
              </w:rPr>
              <w:instrText xml:space="preserve"> ADDIN ZOTERO_ITEM CSL_CITATION {"citationID":"0w1JRwYB","properties":{"formattedCitation":"[6]","plainCitation":"[6]","noteIndex":0},"citationItems":[{"id":170,"uris":["http://zotero.org/users/2960325/items/EWX3YJG3"],"uri":["http://zotero.org/users/2960325/items/EWX3YJG3"],"itemData":{"id":170,"type":"article-journal","abstract":"Choose\n                    Top of pageABSTRACT &lt;&lt;IntroductionMaterials and MethodsResultsDiscussionReferencesCITING ARTICLESOBJECTIVE. The extravasation detection accessory (EDA) is designed  for use during contrast-enhanced CT studies performed with a power injector.  The EDA detects the changes in soft-tissue impedance that occur with enhanced  extravasation and halts the further infusion of contrast material via a  feedback circuit to the injector. We tested the sensitivity of this device in  a model of contrast extravasation.MATERIALS AND METHODS. Study subjects had an extravasation of 5%  dextrose in water (nonionic contrast equivalent) in one arm and 0.9% sodium  chloride solution (ionic contrast equivalent) in the other. An EDA was placed  over the site of infusion and connected to a power injector. Injections were  performed at 0.25 ml/sec (n = 40), 2.5 ml/sec (n = 62), or 5  ml/sec (n = 20).RESULTS. At infusion rates of 2.5 and 5 ml/sec, the device halted  the injector in every subject after an average volume of 12.5 ± 1.6 ml  was delivered. At 0.25 ml/sec, the device failed to halt the injector in 11 of  20 events. After reprogramming the algorithm, 10 more subjects were tested at  the lowest injection rate. The device halted 18 of 20 extravasation events  with an average volume of 3.7 ± 0.5 ml.CONCLUSION. In our model of contrast extravasation, the EDA halted a  power injector with reliability and reproducibility before a large volume of  contrast material was delivered. The sensitivity of the device approached, but  did not reach, 100%. This device may serve to diminish the morbidity of  extravasation events.","container-title":"American Journal of Roentgenology","DOI":"10.2214/ajr.174.2.1740315","ISSN":"0361-803X","issue":"2","journalAbbreviation":"American Journal of Roentgenology","page":"315-318","source":"ajronline.org (Atypon)","title":"A New Device to Limit Extravasation During Contrast-Enhanced CT","volume":"174","author":[{"family":"Powell","given":"Craig C."},{"family":"Li","given":"Jian","dropping-particle":"ming"},{"family":"Rodino","given":"Louis"},{"family":"Anderson","given":"Frederick A."}],"issued":{"date-parts":[["2000",2,1]]}}}],"schema":"https://github.com/citation-style-language/schema/raw/master/csl-citation.json"} </w:instrText>
            </w:r>
            <w:r w:rsidRPr="00797C29">
              <w:rPr>
                <w:rFonts w:cstheme="minorHAnsi"/>
              </w:rPr>
              <w:fldChar w:fldCharType="separate"/>
            </w:r>
            <w:r w:rsidR="005C72A7">
              <w:rPr>
                <w:rFonts w:cstheme="minorHAnsi"/>
                <w:noProof/>
              </w:rPr>
              <w:t>[6]</w:t>
            </w:r>
            <w:r w:rsidRPr="00797C29">
              <w:rPr>
                <w:rFonts w:cstheme="minorHAnsi"/>
              </w:rPr>
              <w:fldChar w:fldCharType="end"/>
            </w:r>
            <w:r w:rsidRPr="00797C29">
              <w:rPr>
                <w:rFonts w:cstheme="minorHAnsi"/>
              </w:rPr>
              <w:t>. A purported advantage of this device is that it is relatively quick to set-up, only taking approximately 20 seconds.</w:t>
            </w:r>
          </w:p>
        </w:tc>
      </w:tr>
      <w:tr w:rsidR="00266699" w14:paraId="45DED469" w14:textId="77777777" w:rsidTr="00CF3643">
        <w:tc>
          <w:tcPr>
            <w:tcW w:w="3114" w:type="dxa"/>
          </w:tcPr>
          <w:p w14:paraId="4601C620" w14:textId="77777777" w:rsidR="00266699" w:rsidRDefault="00266699" w:rsidP="00CF3643">
            <w:pPr>
              <w:rPr>
                <w:rFonts w:cstheme="minorHAnsi"/>
              </w:rPr>
            </w:pPr>
            <w:r w:rsidRPr="00797C29">
              <w:rPr>
                <w:rFonts w:cstheme="minorHAnsi"/>
              </w:rPr>
              <w:t>LD Contrast Agent Leak Detection Support System (</w:t>
            </w:r>
            <w:proofErr w:type="spellStart"/>
            <w:r w:rsidRPr="00797C29">
              <w:rPr>
                <w:rFonts w:cstheme="minorHAnsi"/>
              </w:rPr>
              <w:t>Nemoto</w:t>
            </w:r>
            <w:proofErr w:type="spellEnd"/>
            <w:r w:rsidRPr="00797C29">
              <w:rPr>
                <w:rFonts w:cstheme="minorHAnsi"/>
              </w:rPr>
              <w:t xml:space="preserve"> </w:t>
            </w:r>
            <w:proofErr w:type="spellStart"/>
            <w:r w:rsidRPr="00797C29">
              <w:rPr>
                <w:rFonts w:cstheme="minorHAnsi"/>
              </w:rPr>
              <w:t>Kyorindo</w:t>
            </w:r>
            <w:proofErr w:type="spellEnd"/>
            <w:r w:rsidRPr="00797C29">
              <w:rPr>
                <w:rFonts w:cstheme="minorHAnsi"/>
              </w:rPr>
              <w:t>)</w:t>
            </w:r>
          </w:p>
          <w:p w14:paraId="4D1A89CC" w14:textId="77777777" w:rsidR="00266699" w:rsidRPr="00CF3643" w:rsidRDefault="00266699" w:rsidP="00CF3643">
            <w:pPr>
              <w:rPr>
                <w:rFonts w:cstheme="minorHAnsi"/>
                <w:i/>
                <w:iCs/>
              </w:rPr>
            </w:pPr>
            <w:r w:rsidRPr="00CF3643">
              <w:rPr>
                <w:rFonts w:cstheme="minorHAnsi"/>
                <w:i/>
                <w:iCs/>
              </w:rPr>
              <w:t>Tokyo, Japan</w:t>
            </w:r>
          </w:p>
        </w:tc>
        <w:tc>
          <w:tcPr>
            <w:tcW w:w="11340" w:type="dxa"/>
          </w:tcPr>
          <w:p w14:paraId="0E253E97" w14:textId="567E7F70" w:rsidR="00266699" w:rsidRPr="00797C29" w:rsidRDefault="00266699" w:rsidP="00CF3643">
            <w:pPr>
              <w:rPr>
                <w:rFonts w:cstheme="minorHAnsi"/>
                <w:b/>
                <w:bCs/>
              </w:rPr>
            </w:pPr>
            <w:r w:rsidRPr="00DB3172">
              <w:rPr>
                <w:rFonts w:cstheme="minorHAnsi"/>
              </w:rPr>
              <w:t>This device utilises infrared rays to detect extravasation. A quality improvement project by Teo et al. has shown that together with other interventions CME</w:t>
            </w:r>
            <w:r>
              <w:rPr>
                <w:rFonts w:cstheme="minorHAnsi"/>
              </w:rPr>
              <w:t>X</w:t>
            </w:r>
            <w:r w:rsidRPr="00DB3172">
              <w:rPr>
                <w:rFonts w:cstheme="minorHAnsi"/>
              </w:rPr>
              <w:t xml:space="preserve"> reduced with the use of this device</w:t>
            </w:r>
            <w:r>
              <w:rPr>
                <w:rFonts w:cstheme="minorHAnsi"/>
              </w:rPr>
              <w:fldChar w:fldCharType="begin"/>
            </w:r>
            <w:r w:rsidR="005C72A7">
              <w:rPr>
                <w:rFonts w:cstheme="minorHAnsi"/>
              </w:rPr>
              <w:instrText xml:space="preserve"> ADDIN ZOTERO_ITEM CSL_CITATION {"citationID":"ZQKDeUVL","properties":{"formattedCitation":"[7]","plainCitation":"[7]","noteIndex":0},"citationItems":[{"id":175,"uris":["http://zotero.org/users/2960325/items/TAZCFSQV"],"uri":["http://zotero.org/users/2960325/items/TAZCFSQV"],"itemData":{"id":175,"type":"webpage","abstract":"Poster: \"ECR 2015 / C-0072 / Extravasation of Contrast Medium during CT Scanning – Tracking and Reduction of Rate of Extravasation\" by: \"M.  S.  K.  Teo, C.  Ong, A.  Ying, M.  Hng; Singapore/SG\"","genre":"Text","language":"en","title":"Extravasation of Contrast Medium during CT Scanning – Tracking and Reduction of Rate of Extravasation","URL":"https://posterng.netkey.at/esr/viewing/index.php?module=viewing_poster&amp;task=viewsection&amp;pi=126853&amp;ti=422983&amp;si=1478&amp;searchkey=","author":[{"family":"Teo","given":"Michael"},{"family":"Ong","given":"Clint"},{"family":"Ying","given":"Adeline"},{"family":"Hng","given":"Martin"}],"accessed":{"date-parts":[["2019",10,16]]},"issued":{"date-parts":[["2015",3,4]]}}}],"schema":"https://github.com/citation-style-language/schema/raw/master/csl-citation.json"} </w:instrText>
            </w:r>
            <w:r>
              <w:rPr>
                <w:rFonts w:cstheme="minorHAnsi"/>
              </w:rPr>
              <w:fldChar w:fldCharType="separate"/>
            </w:r>
            <w:r w:rsidR="005C72A7">
              <w:rPr>
                <w:rFonts w:cstheme="minorHAnsi"/>
                <w:noProof/>
              </w:rPr>
              <w:t>[7]</w:t>
            </w:r>
            <w:r>
              <w:rPr>
                <w:rFonts w:cstheme="minorHAnsi"/>
              </w:rPr>
              <w:fldChar w:fldCharType="end"/>
            </w:r>
            <w:r w:rsidRPr="00797C29">
              <w:rPr>
                <w:rFonts w:cstheme="minorHAnsi"/>
              </w:rPr>
              <w:t>. However, more prospective research is needed to assess the weight of effect the detection system has on reducing CME</w:t>
            </w:r>
            <w:r>
              <w:rPr>
                <w:rFonts w:cstheme="minorHAnsi"/>
              </w:rPr>
              <w:t>X</w:t>
            </w:r>
            <w:r w:rsidRPr="00797C29">
              <w:rPr>
                <w:rFonts w:cstheme="minorHAnsi"/>
              </w:rPr>
              <w:t xml:space="preserve"> and its severity.</w:t>
            </w:r>
          </w:p>
        </w:tc>
      </w:tr>
    </w:tbl>
    <w:p w14:paraId="21442D06" w14:textId="4762C98C" w:rsidR="00266699" w:rsidRDefault="00266699" w:rsidP="00A6111E">
      <w:pPr>
        <w:rPr>
          <w:rFonts w:cstheme="minorHAnsi"/>
          <w:b/>
          <w:bCs/>
        </w:rPr>
      </w:pPr>
    </w:p>
    <w:p w14:paraId="60CDE48A" w14:textId="77777777" w:rsidR="005C72A7" w:rsidRPr="005C72A7" w:rsidRDefault="005C72A7" w:rsidP="005C72A7">
      <w:pPr>
        <w:pStyle w:val="Bibliography"/>
        <w:rPr>
          <w:rFonts w:ascii="Calibri" w:cs="Calibri"/>
        </w:rPr>
      </w:pPr>
      <w:r>
        <w:rPr>
          <w:rFonts w:cstheme="minorHAnsi"/>
          <w:b/>
          <w:bCs/>
        </w:rPr>
        <w:fldChar w:fldCharType="begin"/>
      </w:r>
      <w:r>
        <w:rPr>
          <w:rFonts w:cstheme="minorHAnsi"/>
          <w:b/>
          <w:bCs/>
        </w:rPr>
        <w:instrText xml:space="preserve"> ADDIN ZOTERO_BIBL {"uncited":[],"omitted":[],"custom":[]} CSL_BIBLIOGRAPHY </w:instrText>
      </w:r>
      <w:r>
        <w:rPr>
          <w:rFonts w:cstheme="minorHAnsi"/>
          <w:b/>
          <w:bCs/>
        </w:rPr>
        <w:fldChar w:fldCharType="separate"/>
      </w:r>
      <w:r w:rsidRPr="005C72A7">
        <w:rPr>
          <w:rFonts w:ascii="Calibri" w:cs="Calibri"/>
        </w:rPr>
        <w:t xml:space="preserve">1. </w:t>
      </w:r>
      <w:r w:rsidRPr="005C72A7">
        <w:rPr>
          <w:rFonts w:ascii="Calibri" w:cs="Calibri"/>
        </w:rPr>
        <w:tab/>
        <w:t xml:space="preserve">Radiology - </w:t>
      </w:r>
      <w:proofErr w:type="spellStart"/>
      <w:r w:rsidRPr="005C72A7">
        <w:rPr>
          <w:rFonts w:ascii="Calibri" w:cs="Calibri"/>
        </w:rPr>
        <w:t>Medrad</w:t>
      </w:r>
      <w:proofErr w:type="spellEnd"/>
      <w:r w:rsidRPr="005C72A7">
        <w:rPr>
          <w:rFonts w:ascii="Calibri" w:cs="Calibri"/>
        </w:rPr>
        <w:t xml:space="preserve"> Stellant. http://radiology.bayer.co.uk/products/ct/medrad-stellant/. Accessed 13 Oct 2019</w:t>
      </w:r>
    </w:p>
    <w:p w14:paraId="55C57299" w14:textId="77777777" w:rsidR="005C72A7" w:rsidRPr="005C72A7" w:rsidRDefault="005C72A7" w:rsidP="005C72A7">
      <w:pPr>
        <w:pStyle w:val="Bibliography"/>
        <w:rPr>
          <w:rFonts w:ascii="Calibri" w:cs="Calibri"/>
        </w:rPr>
      </w:pPr>
      <w:r w:rsidRPr="005C72A7">
        <w:rPr>
          <w:rFonts w:ascii="Calibri" w:cs="Calibri"/>
        </w:rPr>
        <w:t xml:space="preserve">2. </w:t>
      </w:r>
      <w:r w:rsidRPr="005C72A7">
        <w:rPr>
          <w:rFonts w:ascii="Calibri" w:cs="Calibri"/>
        </w:rPr>
        <w:tab/>
      </w:r>
      <w:proofErr w:type="spellStart"/>
      <w:r w:rsidRPr="005C72A7">
        <w:rPr>
          <w:rFonts w:ascii="Calibri" w:cs="Calibri"/>
        </w:rPr>
        <w:t>Saade</w:t>
      </w:r>
      <w:proofErr w:type="spellEnd"/>
      <w:r w:rsidRPr="005C72A7">
        <w:rPr>
          <w:rFonts w:ascii="Calibri" w:cs="Calibri"/>
        </w:rPr>
        <w:t xml:space="preserve"> C, Brennan P (2011) Clinical Implementation of the New MEDRAD XDS Contrast Extravasation Detector for Multidetector Computed Tomography. J Med Imaging </w:t>
      </w:r>
      <w:proofErr w:type="spellStart"/>
      <w:r w:rsidRPr="005C72A7">
        <w:rPr>
          <w:rFonts w:ascii="Calibri" w:cs="Calibri"/>
        </w:rPr>
        <w:t>Radiat</w:t>
      </w:r>
      <w:proofErr w:type="spellEnd"/>
      <w:r w:rsidRPr="005C72A7">
        <w:rPr>
          <w:rFonts w:ascii="Calibri" w:cs="Calibri"/>
        </w:rPr>
        <w:t xml:space="preserve"> Sci 42:179–182. https://doi.org/10.1016/j.jmir.2011.05.003</w:t>
      </w:r>
    </w:p>
    <w:p w14:paraId="12CA4A13" w14:textId="77777777" w:rsidR="005C72A7" w:rsidRPr="005C72A7" w:rsidRDefault="005C72A7" w:rsidP="005C72A7">
      <w:pPr>
        <w:pStyle w:val="Bibliography"/>
        <w:rPr>
          <w:rFonts w:ascii="Calibri" w:cs="Calibri"/>
        </w:rPr>
      </w:pPr>
      <w:r w:rsidRPr="005C72A7">
        <w:rPr>
          <w:rFonts w:ascii="Calibri" w:cs="Calibri"/>
        </w:rPr>
        <w:lastRenderedPageBreak/>
        <w:t xml:space="preserve">3. </w:t>
      </w:r>
      <w:r w:rsidRPr="005C72A7">
        <w:rPr>
          <w:rFonts w:ascii="Calibri" w:cs="Calibri"/>
        </w:rPr>
        <w:tab/>
        <w:t xml:space="preserve">Hoff L, </w:t>
      </w:r>
      <w:proofErr w:type="spellStart"/>
      <w:r w:rsidRPr="005C72A7">
        <w:rPr>
          <w:rFonts w:ascii="Calibri" w:cs="Calibri"/>
        </w:rPr>
        <w:t>Brabrand</w:t>
      </w:r>
      <w:proofErr w:type="spellEnd"/>
      <w:r w:rsidRPr="005C72A7">
        <w:rPr>
          <w:rFonts w:ascii="Calibri" w:cs="Calibri"/>
        </w:rPr>
        <w:t xml:space="preserve"> K, Andersen NB, </w:t>
      </w:r>
      <w:proofErr w:type="spellStart"/>
      <w:r w:rsidRPr="005C72A7">
        <w:rPr>
          <w:rFonts w:ascii="Calibri" w:cs="Calibri"/>
        </w:rPr>
        <w:t>Medhus</w:t>
      </w:r>
      <w:proofErr w:type="spellEnd"/>
      <w:r w:rsidRPr="005C72A7">
        <w:rPr>
          <w:rFonts w:ascii="Calibri" w:cs="Calibri"/>
        </w:rPr>
        <w:t xml:space="preserve"> S (2008) Monitoring X-ray contrast agent injections with Doppler ultrasound. 2008 IEEE </w:t>
      </w:r>
      <w:proofErr w:type="spellStart"/>
      <w:r w:rsidRPr="005C72A7">
        <w:rPr>
          <w:rFonts w:ascii="Calibri" w:cs="Calibri"/>
        </w:rPr>
        <w:t>Ultrason</w:t>
      </w:r>
      <w:proofErr w:type="spellEnd"/>
      <w:r w:rsidRPr="005C72A7">
        <w:rPr>
          <w:rFonts w:ascii="Calibri" w:cs="Calibri"/>
        </w:rPr>
        <w:t xml:space="preserve"> </w:t>
      </w:r>
      <w:proofErr w:type="spellStart"/>
      <w:r w:rsidRPr="005C72A7">
        <w:rPr>
          <w:rFonts w:ascii="Calibri" w:cs="Calibri"/>
        </w:rPr>
        <w:t>Symp</w:t>
      </w:r>
      <w:proofErr w:type="spellEnd"/>
      <w:r w:rsidRPr="005C72A7">
        <w:rPr>
          <w:rFonts w:ascii="Calibri" w:cs="Calibri"/>
        </w:rPr>
        <w:t xml:space="preserve"> 13–16. https://doi.org/10.1109/ultsym.2008.0004</w:t>
      </w:r>
    </w:p>
    <w:p w14:paraId="7588835B" w14:textId="77777777" w:rsidR="005C72A7" w:rsidRPr="005C72A7" w:rsidRDefault="005C72A7" w:rsidP="005C72A7">
      <w:pPr>
        <w:pStyle w:val="Bibliography"/>
        <w:rPr>
          <w:rFonts w:ascii="Calibri" w:cs="Calibri"/>
        </w:rPr>
      </w:pPr>
      <w:r w:rsidRPr="005C72A7">
        <w:rPr>
          <w:rFonts w:ascii="Calibri" w:cs="Calibri"/>
        </w:rPr>
        <w:t xml:space="preserve">4. </w:t>
      </w:r>
      <w:r w:rsidRPr="005C72A7">
        <w:rPr>
          <w:rFonts w:ascii="Calibri" w:cs="Calibri"/>
        </w:rPr>
        <w:tab/>
        <w:t xml:space="preserve">Bracco EZEM Empower CT &amp; Empower CTA-D 200ml/200ml CT Contrast Media Injectors Syringes. In: </w:t>
      </w:r>
      <w:proofErr w:type="spellStart"/>
      <w:r w:rsidRPr="005C72A7">
        <w:rPr>
          <w:rFonts w:ascii="Calibri" w:cs="Calibri"/>
        </w:rPr>
        <w:t>Dispos</w:t>
      </w:r>
      <w:proofErr w:type="spellEnd"/>
      <w:r w:rsidRPr="005C72A7">
        <w:rPr>
          <w:rFonts w:ascii="Calibri" w:cs="Calibri"/>
        </w:rPr>
        <w:t xml:space="preserve">. Syr. Suppliers </w:t>
      </w:r>
      <w:proofErr w:type="spellStart"/>
      <w:r w:rsidRPr="005C72A7">
        <w:rPr>
          <w:rFonts w:ascii="Calibri" w:cs="Calibri"/>
        </w:rPr>
        <w:t>Medrad</w:t>
      </w:r>
      <w:proofErr w:type="spellEnd"/>
      <w:r w:rsidRPr="005C72A7">
        <w:rPr>
          <w:rFonts w:ascii="Calibri" w:cs="Calibri"/>
        </w:rPr>
        <w:t xml:space="preserve"> CT MRI ANGIO Contrast Inject. https://www.medismed.com/product/bracco-ezem-empower-ct-empower-cta-dual-head-injectors/. Accessed 13 Oct 2019</w:t>
      </w:r>
    </w:p>
    <w:p w14:paraId="11242CB4" w14:textId="77777777" w:rsidR="005C72A7" w:rsidRPr="005C72A7" w:rsidRDefault="005C72A7" w:rsidP="005C72A7">
      <w:pPr>
        <w:pStyle w:val="Bibliography"/>
        <w:rPr>
          <w:rFonts w:ascii="Calibri" w:cs="Calibri"/>
        </w:rPr>
      </w:pPr>
      <w:r w:rsidRPr="005C72A7">
        <w:rPr>
          <w:rFonts w:ascii="Calibri" w:cs="Calibri"/>
        </w:rPr>
        <w:t xml:space="preserve">5. </w:t>
      </w:r>
      <w:r w:rsidRPr="005C72A7">
        <w:rPr>
          <w:rFonts w:ascii="Calibri" w:cs="Calibri"/>
        </w:rPr>
        <w:tab/>
        <w:t xml:space="preserve">Birnbaum BA, Nelson RC, </w:t>
      </w:r>
      <w:proofErr w:type="spellStart"/>
      <w:r w:rsidRPr="005C72A7">
        <w:rPr>
          <w:rFonts w:ascii="Calibri" w:cs="Calibri"/>
        </w:rPr>
        <w:t>Chezmar</w:t>
      </w:r>
      <w:proofErr w:type="spellEnd"/>
      <w:r w:rsidRPr="005C72A7">
        <w:rPr>
          <w:rFonts w:ascii="Calibri" w:cs="Calibri"/>
        </w:rPr>
        <w:t xml:space="preserve"> JL, Glick SN (1999) Extravasation detection accessory: clinical evaluation in 500 patients. Radiology 212:431–438. https://doi.org/10.1148/radiology.212.2.r99au14431</w:t>
      </w:r>
    </w:p>
    <w:p w14:paraId="33D3A592" w14:textId="77777777" w:rsidR="005C72A7" w:rsidRPr="005C72A7" w:rsidRDefault="005C72A7" w:rsidP="005C72A7">
      <w:pPr>
        <w:pStyle w:val="Bibliography"/>
        <w:rPr>
          <w:rFonts w:ascii="Calibri" w:cs="Calibri"/>
        </w:rPr>
      </w:pPr>
      <w:r w:rsidRPr="005C72A7">
        <w:rPr>
          <w:rFonts w:ascii="Calibri" w:cs="Calibri"/>
        </w:rPr>
        <w:t xml:space="preserve">6. </w:t>
      </w:r>
      <w:r w:rsidRPr="005C72A7">
        <w:rPr>
          <w:rFonts w:ascii="Calibri" w:cs="Calibri"/>
        </w:rPr>
        <w:tab/>
        <w:t xml:space="preserve">Powell CC, Li J </w:t>
      </w:r>
      <w:proofErr w:type="spellStart"/>
      <w:r w:rsidRPr="005C72A7">
        <w:rPr>
          <w:rFonts w:ascii="Calibri" w:cs="Calibri"/>
        </w:rPr>
        <w:t>ming</w:t>
      </w:r>
      <w:proofErr w:type="spellEnd"/>
      <w:r w:rsidRPr="005C72A7">
        <w:rPr>
          <w:rFonts w:ascii="Calibri" w:cs="Calibri"/>
        </w:rPr>
        <w:t xml:space="preserve">, </w:t>
      </w:r>
      <w:proofErr w:type="spellStart"/>
      <w:r w:rsidRPr="005C72A7">
        <w:rPr>
          <w:rFonts w:ascii="Calibri" w:cs="Calibri"/>
        </w:rPr>
        <w:t>Rodino</w:t>
      </w:r>
      <w:proofErr w:type="spellEnd"/>
      <w:r w:rsidRPr="005C72A7">
        <w:rPr>
          <w:rFonts w:ascii="Calibri" w:cs="Calibri"/>
        </w:rPr>
        <w:t xml:space="preserve"> L, Anderson FA (2000) A New Device to Limit Extravasation During Contrast-Enhanced CT. Am J </w:t>
      </w:r>
      <w:proofErr w:type="spellStart"/>
      <w:r w:rsidRPr="005C72A7">
        <w:rPr>
          <w:rFonts w:ascii="Calibri" w:cs="Calibri"/>
        </w:rPr>
        <w:t>Roentgenol</w:t>
      </w:r>
      <w:proofErr w:type="spellEnd"/>
      <w:r w:rsidRPr="005C72A7">
        <w:rPr>
          <w:rFonts w:ascii="Calibri" w:cs="Calibri"/>
        </w:rPr>
        <w:t xml:space="preserve"> 174:315–318. https://doi.org/10.2214/ajr.174.2.1740315</w:t>
      </w:r>
    </w:p>
    <w:p w14:paraId="5983A402" w14:textId="77777777" w:rsidR="005C72A7" w:rsidRPr="005C72A7" w:rsidRDefault="005C72A7" w:rsidP="005C72A7">
      <w:pPr>
        <w:pStyle w:val="Bibliography"/>
        <w:rPr>
          <w:rFonts w:ascii="Calibri" w:cs="Calibri"/>
        </w:rPr>
      </w:pPr>
      <w:r w:rsidRPr="005C72A7">
        <w:rPr>
          <w:rFonts w:ascii="Calibri" w:cs="Calibri"/>
        </w:rPr>
        <w:t xml:space="preserve">7. </w:t>
      </w:r>
      <w:r w:rsidRPr="005C72A7">
        <w:rPr>
          <w:rFonts w:ascii="Calibri" w:cs="Calibri"/>
        </w:rPr>
        <w:tab/>
        <w:t xml:space="preserve">Teo M, Ong C, Ying A, </w:t>
      </w:r>
      <w:proofErr w:type="spellStart"/>
      <w:r w:rsidRPr="005C72A7">
        <w:rPr>
          <w:rFonts w:ascii="Calibri" w:cs="Calibri"/>
        </w:rPr>
        <w:t>Hng</w:t>
      </w:r>
      <w:proofErr w:type="spellEnd"/>
      <w:r w:rsidRPr="005C72A7">
        <w:rPr>
          <w:rFonts w:ascii="Calibri" w:cs="Calibri"/>
        </w:rPr>
        <w:t xml:space="preserve"> M (2015) Extravasation of Contrast Medium during CT Scanning – Tracking and Reduction of Rate of Extravasation. https://posterng.netkey.at/esr/viewing/index.php?module=viewing_poster&amp;task=viewsection&amp;pi=126853&amp;ti=422983&amp;si=1478&amp;searchkey=. Accessed 16 Oct 2019</w:t>
      </w:r>
    </w:p>
    <w:p w14:paraId="33DAEC6E" w14:textId="01B7D114" w:rsidR="005C72A7" w:rsidRPr="00E55108" w:rsidRDefault="005C72A7" w:rsidP="00A6111E">
      <w:pPr>
        <w:rPr>
          <w:rFonts w:cstheme="minorHAnsi"/>
          <w:b/>
          <w:bCs/>
        </w:rPr>
      </w:pPr>
      <w:r>
        <w:rPr>
          <w:rFonts w:cstheme="minorHAnsi"/>
          <w:b/>
          <w:bCs/>
        </w:rPr>
        <w:fldChar w:fldCharType="end"/>
      </w:r>
    </w:p>
    <w:sectPr w:rsidR="005C72A7" w:rsidRPr="00E55108" w:rsidSect="008F7F2A">
      <w:footerReference w:type="even" r:id="rId8"/>
      <w:footerReference w:type="default" r:id="rId9"/>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F564" w14:textId="77777777" w:rsidR="00D660E5" w:rsidRDefault="00D660E5" w:rsidP="00A612C2">
      <w:r>
        <w:separator/>
      </w:r>
    </w:p>
  </w:endnote>
  <w:endnote w:type="continuationSeparator" w:id="0">
    <w:p w14:paraId="47D46F0E" w14:textId="77777777" w:rsidR="00D660E5" w:rsidRDefault="00D660E5" w:rsidP="00A6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9829451"/>
      <w:docPartObj>
        <w:docPartGallery w:val="Page Numbers (Bottom of Page)"/>
        <w:docPartUnique/>
      </w:docPartObj>
    </w:sdtPr>
    <w:sdtEndPr>
      <w:rPr>
        <w:rStyle w:val="PageNumber"/>
      </w:rPr>
    </w:sdtEndPr>
    <w:sdtContent>
      <w:p w14:paraId="7DB0EAD8" w14:textId="17960B60" w:rsidR="00A612C2" w:rsidRDefault="00A612C2" w:rsidP="00A23B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114C82" w14:textId="77777777" w:rsidR="00A612C2" w:rsidRDefault="00A612C2" w:rsidP="00A612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3588299"/>
      <w:docPartObj>
        <w:docPartGallery w:val="Page Numbers (Bottom of Page)"/>
        <w:docPartUnique/>
      </w:docPartObj>
    </w:sdtPr>
    <w:sdtEndPr>
      <w:rPr>
        <w:rStyle w:val="PageNumber"/>
      </w:rPr>
    </w:sdtEndPr>
    <w:sdtContent>
      <w:p w14:paraId="78172ABD" w14:textId="1F990C29" w:rsidR="00A612C2" w:rsidRDefault="00A612C2" w:rsidP="00A23B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6E509B" w14:textId="77777777" w:rsidR="00A612C2" w:rsidRDefault="00A612C2" w:rsidP="00A612C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7E117" w14:textId="77777777" w:rsidR="00D660E5" w:rsidRDefault="00D660E5" w:rsidP="00A612C2">
      <w:r>
        <w:separator/>
      </w:r>
    </w:p>
  </w:footnote>
  <w:footnote w:type="continuationSeparator" w:id="0">
    <w:p w14:paraId="17E57EF1" w14:textId="77777777" w:rsidR="00D660E5" w:rsidRDefault="00D660E5" w:rsidP="00A61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4142"/>
    <w:multiLevelType w:val="hybridMultilevel"/>
    <w:tmpl w:val="729A0D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E61756"/>
    <w:multiLevelType w:val="hybridMultilevel"/>
    <w:tmpl w:val="FC501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862E99"/>
    <w:multiLevelType w:val="hybridMultilevel"/>
    <w:tmpl w:val="AFE8C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8634A1"/>
    <w:multiLevelType w:val="multilevel"/>
    <w:tmpl w:val="2C4E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C74DF"/>
    <w:multiLevelType w:val="hybridMultilevel"/>
    <w:tmpl w:val="B5AC3B7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F14B3"/>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B4E1128"/>
    <w:multiLevelType w:val="multilevel"/>
    <w:tmpl w:val="AC9A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6663E"/>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4B41194"/>
    <w:multiLevelType w:val="hybridMultilevel"/>
    <w:tmpl w:val="FD1E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721135"/>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8693AEF"/>
    <w:multiLevelType w:val="hybridMultilevel"/>
    <w:tmpl w:val="AA5E41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B528D5"/>
    <w:multiLevelType w:val="multilevel"/>
    <w:tmpl w:val="796C86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27562BD"/>
    <w:multiLevelType w:val="hybridMultilevel"/>
    <w:tmpl w:val="5EDE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976D15"/>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7A6715DB"/>
    <w:multiLevelType w:val="hybridMultilevel"/>
    <w:tmpl w:val="5CCA0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C60861"/>
    <w:multiLevelType w:val="multilevel"/>
    <w:tmpl w:val="2C4E29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FA94FD9"/>
    <w:multiLevelType w:val="multilevel"/>
    <w:tmpl w:val="2C4E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1"/>
  </w:num>
  <w:num w:numId="4">
    <w:abstractNumId w:val="3"/>
  </w:num>
  <w:num w:numId="5">
    <w:abstractNumId w:val="10"/>
  </w:num>
  <w:num w:numId="6">
    <w:abstractNumId w:val="13"/>
  </w:num>
  <w:num w:numId="7">
    <w:abstractNumId w:val="5"/>
  </w:num>
  <w:num w:numId="8">
    <w:abstractNumId w:val="16"/>
  </w:num>
  <w:num w:numId="9">
    <w:abstractNumId w:val="15"/>
  </w:num>
  <w:num w:numId="10">
    <w:abstractNumId w:val="9"/>
  </w:num>
  <w:num w:numId="11">
    <w:abstractNumId w:val="8"/>
  </w:num>
  <w:num w:numId="12">
    <w:abstractNumId w:val="1"/>
  </w:num>
  <w:num w:numId="13">
    <w:abstractNumId w:val="0"/>
  </w:num>
  <w:num w:numId="14">
    <w:abstractNumId w:val="2"/>
  </w:num>
  <w:num w:numId="15">
    <w:abstractNumId w:val="4"/>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13"/>
    <w:rsid w:val="0000703A"/>
    <w:rsid w:val="000107A8"/>
    <w:rsid w:val="00014683"/>
    <w:rsid w:val="00016FB6"/>
    <w:rsid w:val="00017D1F"/>
    <w:rsid w:val="000249D5"/>
    <w:rsid w:val="0003054C"/>
    <w:rsid w:val="00036FDD"/>
    <w:rsid w:val="00037271"/>
    <w:rsid w:val="0005760D"/>
    <w:rsid w:val="000605AF"/>
    <w:rsid w:val="00060E26"/>
    <w:rsid w:val="000618F6"/>
    <w:rsid w:val="00072D74"/>
    <w:rsid w:val="000731E4"/>
    <w:rsid w:val="00075EF6"/>
    <w:rsid w:val="00077F19"/>
    <w:rsid w:val="00080D37"/>
    <w:rsid w:val="00085FF0"/>
    <w:rsid w:val="000A1936"/>
    <w:rsid w:val="000A4202"/>
    <w:rsid w:val="000B0DFD"/>
    <w:rsid w:val="000B56EE"/>
    <w:rsid w:val="000E434A"/>
    <w:rsid w:val="000E7B61"/>
    <w:rsid w:val="000F2896"/>
    <w:rsid w:val="000F62A3"/>
    <w:rsid w:val="00105087"/>
    <w:rsid w:val="001058A5"/>
    <w:rsid w:val="00105DCD"/>
    <w:rsid w:val="00113914"/>
    <w:rsid w:val="00132F5A"/>
    <w:rsid w:val="00134B0E"/>
    <w:rsid w:val="001374B0"/>
    <w:rsid w:val="001434F6"/>
    <w:rsid w:val="00145311"/>
    <w:rsid w:val="0016059B"/>
    <w:rsid w:val="0016295F"/>
    <w:rsid w:val="00165ABF"/>
    <w:rsid w:val="00173EF9"/>
    <w:rsid w:val="0017753A"/>
    <w:rsid w:val="00180D55"/>
    <w:rsid w:val="00197A1D"/>
    <w:rsid w:val="001A01E0"/>
    <w:rsid w:val="001A1424"/>
    <w:rsid w:val="001A3703"/>
    <w:rsid w:val="001B557F"/>
    <w:rsid w:val="001C14C9"/>
    <w:rsid w:val="001C6BBE"/>
    <w:rsid w:val="001D1164"/>
    <w:rsid w:val="001D3A88"/>
    <w:rsid w:val="001D7D6F"/>
    <w:rsid w:val="001D7FF6"/>
    <w:rsid w:val="001E1CE8"/>
    <w:rsid w:val="001E29D2"/>
    <w:rsid w:val="001E4F87"/>
    <w:rsid w:val="001E7960"/>
    <w:rsid w:val="001F4F2A"/>
    <w:rsid w:val="002140CC"/>
    <w:rsid w:val="00216C06"/>
    <w:rsid w:val="002225C3"/>
    <w:rsid w:val="0022277C"/>
    <w:rsid w:val="00230C2C"/>
    <w:rsid w:val="00232BA1"/>
    <w:rsid w:val="00233245"/>
    <w:rsid w:val="00233DAA"/>
    <w:rsid w:val="0023711E"/>
    <w:rsid w:val="0023771E"/>
    <w:rsid w:val="00240759"/>
    <w:rsid w:val="00252850"/>
    <w:rsid w:val="00252B29"/>
    <w:rsid w:val="002548F9"/>
    <w:rsid w:val="00255202"/>
    <w:rsid w:val="002615FB"/>
    <w:rsid w:val="00266699"/>
    <w:rsid w:val="0026731F"/>
    <w:rsid w:val="002731A7"/>
    <w:rsid w:val="002804E8"/>
    <w:rsid w:val="002809C0"/>
    <w:rsid w:val="00283698"/>
    <w:rsid w:val="00296ADD"/>
    <w:rsid w:val="00297497"/>
    <w:rsid w:val="002A1822"/>
    <w:rsid w:val="002C6560"/>
    <w:rsid w:val="002C7E17"/>
    <w:rsid w:val="002D3D91"/>
    <w:rsid w:val="002D7273"/>
    <w:rsid w:val="002E2B2E"/>
    <w:rsid w:val="002E34A3"/>
    <w:rsid w:val="002F6C04"/>
    <w:rsid w:val="003052C5"/>
    <w:rsid w:val="00311F4F"/>
    <w:rsid w:val="003215DD"/>
    <w:rsid w:val="00325688"/>
    <w:rsid w:val="00325FBB"/>
    <w:rsid w:val="0032604B"/>
    <w:rsid w:val="00327E1D"/>
    <w:rsid w:val="0033325D"/>
    <w:rsid w:val="0034028B"/>
    <w:rsid w:val="003414E9"/>
    <w:rsid w:val="00352189"/>
    <w:rsid w:val="00352D9C"/>
    <w:rsid w:val="00354B04"/>
    <w:rsid w:val="00364AD4"/>
    <w:rsid w:val="00365102"/>
    <w:rsid w:val="0036683C"/>
    <w:rsid w:val="0037262D"/>
    <w:rsid w:val="003728D0"/>
    <w:rsid w:val="00375AE0"/>
    <w:rsid w:val="00377B62"/>
    <w:rsid w:val="00377B89"/>
    <w:rsid w:val="003801C5"/>
    <w:rsid w:val="003913C4"/>
    <w:rsid w:val="00397408"/>
    <w:rsid w:val="003A1E19"/>
    <w:rsid w:val="003B37BE"/>
    <w:rsid w:val="003C329E"/>
    <w:rsid w:val="003C3FD2"/>
    <w:rsid w:val="003C3FE1"/>
    <w:rsid w:val="003C6988"/>
    <w:rsid w:val="003D15FF"/>
    <w:rsid w:val="003E0F7C"/>
    <w:rsid w:val="003E253C"/>
    <w:rsid w:val="003E73D0"/>
    <w:rsid w:val="003F5936"/>
    <w:rsid w:val="00404F1B"/>
    <w:rsid w:val="0041154B"/>
    <w:rsid w:val="0041412A"/>
    <w:rsid w:val="00417948"/>
    <w:rsid w:val="004417C8"/>
    <w:rsid w:val="0044555C"/>
    <w:rsid w:val="004474C9"/>
    <w:rsid w:val="00457E4C"/>
    <w:rsid w:val="00460561"/>
    <w:rsid w:val="00460B05"/>
    <w:rsid w:val="00463343"/>
    <w:rsid w:val="004748C2"/>
    <w:rsid w:val="0047683E"/>
    <w:rsid w:val="00485926"/>
    <w:rsid w:val="00490CCB"/>
    <w:rsid w:val="00491CA9"/>
    <w:rsid w:val="004A0F12"/>
    <w:rsid w:val="004A6681"/>
    <w:rsid w:val="004A7978"/>
    <w:rsid w:val="004B2898"/>
    <w:rsid w:val="004B4923"/>
    <w:rsid w:val="004C2B2D"/>
    <w:rsid w:val="004C2BEE"/>
    <w:rsid w:val="004C3919"/>
    <w:rsid w:val="004C6916"/>
    <w:rsid w:val="004D583F"/>
    <w:rsid w:val="004E320C"/>
    <w:rsid w:val="004F1275"/>
    <w:rsid w:val="00503D76"/>
    <w:rsid w:val="005056E7"/>
    <w:rsid w:val="00506F33"/>
    <w:rsid w:val="00507D87"/>
    <w:rsid w:val="0051484B"/>
    <w:rsid w:val="00515D82"/>
    <w:rsid w:val="0052205A"/>
    <w:rsid w:val="00523D89"/>
    <w:rsid w:val="005336EA"/>
    <w:rsid w:val="00534D26"/>
    <w:rsid w:val="00541851"/>
    <w:rsid w:val="00541982"/>
    <w:rsid w:val="00542C4B"/>
    <w:rsid w:val="00545BF6"/>
    <w:rsid w:val="00552B10"/>
    <w:rsid w:val="005556B6"/>
    <w:rsid w:val="00557079"/>
    <w:rsid w:val="00575F84"/>
    <w:rsid w:val="00580DD9"/>
    <w:rsid w:val="00590062"/>
    <w:rsid w:val="00593DDD"/>
    <w:rsid w:val="005A64CE"/>
    <w:rsid w:val="005B6F47"/>
    <w:rsid w:val="005B778E"/>
    <w:rsid w:val="005C0FE5"/>
    <w:rsid w:val="005C1B2E"/>
    <w:rsid w:val="005C42FF"/>
    <w:rsid w:val="005C50EB"/>
    <w:rsid w:val="005C72A7"/>
    <w:rsid w:val="005D1293"/>
    <w:rsid w:val="005D34CC"/>
    <w:rsid w:val="005D6980"/>
    <w:rsid w:val="005E5CBA"/>
    <w:rsid w:val="005F12BA"/>
    <w:rsid w:val="005F29C3"/>
    <w:rsid w:val="006021C3"/>
    <w:rsid w:val="006038F6"/>
    <w:rsid w:val="00605A04"/>
    <w:rsid w:val="00605F10"/>
    <w:rsid w:val="00610B3B"/>
    <w:rsid w:val="00611D11"/>
    <w:rsid w:val="006127EA"/>
    <w:rsid w:val="00634CE2"/>
    <w:rsid w:val="0063519E"/>
    <w:rsid w:val="006532C3"/>
    <w:rsid w:val="00667155"/>
    <w:rsid w:val="00671BB8"/>
    <w:rsid w:val="006757C7"/>
    <w:rsid w:val="00677A95"/>
    <w:rsid w:val="00683E7E"/>
    <w:rsid w:val="00692EEC"/>
    <w:rsid w:val="006956A6"/>
    <w:rsid w:val="006A0CAE"/>
    <w:rsid w:val="006A4DCB"/>
    <w:rsid w:val="006A5FDD"/>
    <w:rsid w:val="006B20AD"/>
    <w:rsid w:val="006B274A"/>
    <w:rsid w:val="006B393E"/>
    <w:rsid w:val="006B6F6F"/>
    <w:rsid w:val="006C04C6"/>
    <w:rsid w:val="006C5EFC"/>
    <w:rsid w:val="006C7DA8"/>
    <w:rsid w:val="006D0E6E"/>
    <w:rsid w:val="006D4189"/>
    <w:rsid w:val="006F053A"/>
    <w:rsid w:val="006F069D"/>
    <w:rsid w:val="00702069"/>
    <w:rsid w:val="00707F4C"/>
    <w:rsid w:val="007120BB"/>
    <w:rsid w:val="0071398C"/>
    <w:rsid w:val="007213B6"/>
    <w:rsid w:val="00721D91"/>
    <w:rsid w:val="007260E4"/>
    <w:rsid w:val="00736882"/>
    <w:rsid w:val="00736ED7"/>
    <w:rsid w:val="007403E2"/>
    <w:rsid w:val="00757CF8"/>
    <w:rsid w:val="00764A4F"/>
    <w:rsid w:val="00771C91"/>
    <w:rsid w:val="00776CDC"/>
    <w:rsid w:val="007773FB"/>
    <w:rsid w:val="00780F9E"/>
    <w:rsid w:val="00785A85"/>
    <w:rsid w:val="0078604E"/>
    <w:rsid w:val="00797C29"/>
    <w:rsid w:val="00797F0A"/>
    <w:rsid w:val="007B21CF"/>
    <w:rsid w:val="007B3CBD"/>
    <w:rsid w:val="007C70BC"/>
    <w:rsid w:val="007E1329"/>
    <w:rsid w:val="007F4A65"/>
    <w:rsid w:val="00803B00"/>
    <w:rsid w:val="008105A2"/>
    <w:rsid w:val="00812DA9"/>
    <w:rsid w:val="00813205"/>
    <w:rsid w:val="00817EFF"/>
    <w:rsid w:val="008229B5"/>
    <w:rsid w:val="00825B35"/>
    <w:rsid w:val="00825D60"/>
    <w:rsid w:val="008323DF"/>
    <w:rsid w:val="0083342C"/>
    <w:rsid w:val="0083356D"/>
    <w:rsid w:val="0084205E"/>
    <w:rsid w:val="00844BC0"/>
    <w:rsid w:val="00862279"/>
    <w:rsid w:val="00867367"/>
    <w:rsid w:val="00890CFD"/>
    <w:rsid w:val="00891EBE"/>
    <w:rsid w:val="008966EC"/>
    <w:rsid w:val="008A06BB"/>
    <w:rsid w:val="008A31C6"/>
    <w:rsid w:val="008A40D7"/>
    <w:rsid w:val="008A4353"/>
    <w:rsid w:val="008A5DC0"/>
    <w:rsid w:val="008B289D"/>
    <w:rsid w:val="008B7552"/>
    <w:rsid w:val="008C040C"/>
    <w:rsid w:val="008C5F81"/>
    <w:rsid w:val="008D6CC7"/>
    <w:rsid w:val="008D7257"/>
    <w:rsid w:val="008E3E09"/>
    <w:rsid w:val="008F188A"/>
    <w:rsid w:val="008F3673"/>
    <w:rsid w:val="008F7F2A"/>
    <w:rsid w:val="009033BA"/>
    <w:rsid w:val="00914016"/>
    <w:rsid w:val="00916735"/>
    <w:rsid w:val="0091789E"/>
    <w:rsid w:val="00920F57"/>
    <w:rsid w:val="009212C0"/>
    <w:rsid w:val="00923230"/>
    <w:rsid w:val="009301DD"/>
    <w:rsid w:val="00936502"/>
    <w:rsid w:val="0094000E"/>
    <w:rsid w:val="00941138"/>
    <w:rsid w:val="009475D5"/>
    <w:rsid w:val="00947E6A"/>
    <w:rsid w:val="00950632"/>
    <w:rsid w:val="009658F1"/>
    <w:rsid w:val="0097206B"/>
    <w:rsid w:val="00974783"/>
    <w:rsid w:val="009839F8"/>
    <w:rsid w:val="00984A22"/>
    <w:rsid w:val="0099155D"/>
    <w:rsid w:val="00995FEC"/>
    <w:rsid w:val="009A703D"/>
    <w:rsid w:val="009C3305"/>
    <w:rsid w:val="009C672A"/>
    <w:rsid w:val="009D112A"/>
    <w:rsid w:val="009E14F6"/>
    <w:rsid w:val="009E310E"/>
    <w:rsid w:val="009E35C3"/>
    <w:rsid w:val="009F3803"/>
    <w:rsid w:val="009F40C1"/>
    <w:rsid w:val="009F76FD"/>
    <w:rsid w:val="00A023DF"/>
    <w:rsid w:val="00A0630F"/>
    <w:rsid w:val="00A072F0"/>
    <w:rsid w:val="00A07466"/>
    <w:rsid w:val="00A07892"/>
    <w:rsid w:val="00A16951"/>
    <w:rsid w:val="00A220C7"/>
    <w:rsid w:val="00A2294E"/>
    <w:rsid w:val="00A23BF9"/>
    <w:rsid w:val="00A31654"/>
    <w:rsid w:val="00A328E0"/>
    <w:rsid w:val="00A35743"/>
    <w:rsid w:val="00A37202"/>
    <w:rsid w:val="00A4695C"/>
    <w:rsid w:val="00A46C7B"/>
    <w:rsid w:val="00A478F8"/>
    <w:rsid w:val="00A50CBB"/>
    <w:rsid w:val="00A52E4B"/>
    <w:rsid w:val="00A6111E"/>
    <w:rsid w:val="00A612C2"/>
    <w:rsid w:val="00A64345"/>
    <w:rsid w:val="00A67837"/>
    <w:rsid w:val="00A7362D"/>
    <w:rsid w:val="00A7443F"/>
    <w:rsid w:val="00A74942"/>
    <w:rsid w:val="00A80AD4"/>
    <w:rsid w:val="00A81438"/>
    <w:rsid w:val="00A8555F"/>
    <w:rsid w:val="00A87349"/>
    <w:rsid w:val="00A92D34"/>
    <w:rsid w:val="00AA023A"/>
    <w:rsid w:val="00AA6109"/>
    <w:rsid w:val="00AB2566"/>
    <w:rsid w:val="00AB664E"/>
    <w:rsid w:val="00AC0A0A"/>
    <w:rsid w:val="00AC2AEB"/>
    <w:rsid w:val="00AC4BAE"/>
    <w:rsid w:val="00AC5060"/>
    <w:rsid w:val="00AC5807"/>
    <w:rsid w:val="00AC7220"/>
    <w:rsid w:val="00AD108E"/>
    <w:rsid w:val="00AD3420"/>
    <w:rsid w:val="00AD666E"/>
    <w:rsid w:val="00AD76DD"/>
    <w:rsid w:val="00AD7A58"/>
    <w:rsid w:val="00AE3E93"/>
    <w:rsid w:val="00AE44C7"/>
    <w:rsid w:val="00AE7846"/>
    <w:rsid w:val="00B0238F"/>
    <w:rsid w:val="00B0467A"/>
    <w:rsid w:val="00B21602"/>
    <w:rsid w:val="00B2600B"/>
    <w:rsid w:val="00B26697"/>
    <w:rsid w:val="00B47945"/>
    <w:rsid w:val="00B50938"/>
    <w:rsid w:val="00B50B6C"/>
    <w:rsid w:val="00B51257"/>
    <w:rsid w:val="00B52761"/>
    <w:rsid w:val="00B536B0"/>
    <w:rsid w:val="00B5684E"/>
    <w:rsid w:val="00B60CDC"/>
    <w:rsid w:val="00B64A22"/>
    <w:rsid w:val="00B705BB"/>
    <w:rsid w:val="00B73A24"/>
    <w:rsid w:val="00B860FB"/>
    <w:rsid w:val="00B91F4F"/>
    <w:rsid w:val="00B951C8"/>
    <w:rsid w:val="00BA6185"/>
    <w:rsid w:val="00BA78CF"/>
    <w:rsid w:val="00BB05D9"/>
    <w:rsid w:val="00BB4A6D"/>
    <w:rsid w:val="00BB50C1"/>
    <w:rsid w:val="00BB51C1"/>
    <w:rsid w:val="00BC12CB"/>
    <w:rsid w:val="00BC2FF2"/>
    <w:rsid w:val="00BC39D2"/>
    <w:rsid w:val="00BC6EAB"/>
    <w:rsid w:val="00BD716E"/>
    <w:rsid w:val="00BF0A46"/>
    <w:rsid w:val="00BF654B"/>
    <w:rsid w:val="00BF7F43"/>
    <w:rsid w:val="00C02697"/>
    <w:rsid w:val="00C05971"/>
    <w:rsid w:val="00C14B80"/>
    <w:rsid w:val="00C20461"/>
    <w:rsid w:val="00C205A6"/>
    <w:rsid w:val="00C252CA"/>
    <w:rsid w:val="00C265B9"/>
    <w:rsid w:val="00C401A6"/>
    <w:rsid w:val="00C42DDA"/>
    <w:rsid w:val="00C536D6"/>
    <w:rsid w:val="00C55491"/>
    <w:rsid w:val="00C56D10"/>
    <w:rsid w:val="00C66940"/>
    <w:rsid w:val="00C67742"/>
    <w:rsid w:val="00C70ED9"/>
    <w:rsid w:val="00C73889"/>
    <w:rsid w:val="00C809A9"/>
    <w:rsid w:val="00C82801"/>
    <w:rsid w:val="00C832BE"/>
    <w:rsid w:val="00CB033A"/>
    <w:rsid w:val="00CB116C"/>
    <w:rsid w:val="00CC0BE6"/>
    <w:rsid w:val="00CC34C8"/>
    <w:rsid w:val="00CC7200"/>
    <w:rsid w:val="00CD77F5"/>
    <w:rsid w:val="00CD7A4C"/>
    <w:rsid w:val="00CE6F6B"/>
    <w:rsid w:val="00CE7DBE"/>
    <w:rsid w:val="00CF3343"/>
    <w:rsid w:val="00D0450A"/>
    <w:rsid w:val="00D129B2"/>
    <w:rsid w:val="00D155EE"/>
    <w:rsid w:val="00D254AE"/>
    <w:rsid w:val="00D26FE0"/>
    <w:rsid w:val="00D3587C"/>
    <w:rsid w:val="00D41974"/>
    <w:rsid w:val="00D45ECC"/>
    <w:rsid w:val="00D47BD6"/>
    <w:rsid w:val="00D501C9"/>
    <w:rsid w:val="00D53C39"/>
    <w:rsid w:val="00D545B0"/>
    <w:rsid w:val="00D56EEA"/>
    <w:rsid w:val="00D571F6"/>
    <w:rsid w:val="00D60FCB"/>
    <w:rsid w:val="00D660E5"/>
    <w:rsid w:val="00D72863"/>
    <w:rsid w:val="00D72FB6"/>
    <w:rsid w:val="00D73441"/>
    <w:rsid w:val="00D738FC"/>
    <w:rsid w:val="00D74203"/>
    <w:rsid w:val="00D778F0"/>
    <w:rsid w:val="00D83DD2"/>
    <w:rsid w:val="00D9516A"/>
    <w:rsid w:val="00D956C5"/>
    <w:rsid w:val="00DA032B"/>
    <w:rsid w:val="00DA137D"/>
    <w:rsid w:val="00DA422E"/>
    <w:rsid w:val="00DB3172"/>
    <w:rsid w:val="00DB5FBA"/>
    <w:rsid w:val="00DC5BB5"/>
    <w:rsid w:val="00DD11A1"/>
    <w:rsid w:val="00DD4674"/>
    <w:rsid w:val="00DD5A0B"/>
    <w:rsid w:val="00DF18BE"/>
    <w:rsid w:val="00DF4332"/>
    <w:rsid w:val="00E00A3D"/>
    <w:rsid w:val="00E010B6"/>
    <w:rsid w:val="00E07178"/>
    <w:rsid w:val="00E07308"/>
    <w:rsid w:val="00E1009D"/>
    <w:rsid w:val="00E13793"/>
    <w:rsid w:val="00E1575F"/>
    <w:rsid w:val="00E21DFA"/>
    <w:rsid w:val="00E269E9"/>
    <w:rsid w:val="00E3169C"/>
    <w:rsid w:val="00E35E5C"/>
    <w:rsid w:val="00E36B87"/>
    <w:rsid w:val="00E50D69"/>
    <w:rsid w:val="00E550D1"/>
    <w:rsid w:val="00E55108"/>
    <w:rsid w:val="00E57A77"/>
    <w:rsid w:val="00E6010B"/>
    <w:rsid w:val="00E619E1"/>
    <w:rsid w:val="00E678E0"/>
    <w:rsid w:val="00E702CE"/>
    <w:rsid w:val="00E83C77"/>
    <w:rsid w:val="00E91D42"/>
    <w:rsid w:val="00E91F0B"/>
    <w:rsid w:val="00E9476C"/>
    <w:rsid w:val="00E96C0C"/>
    <w:rsid w:val="00EA31CB"/>
    <w:rsid w:val="00EA46FF"/>
    <w:rsid w:val="00EA6C95"/>
    <w:rsid w:val="00EB2A8A"/>
    <w:rsid w:val="00EC7F0D"/>
    <w:rsid w:val="00EE1305"/>
    <w:rsid w:val="00EE5513"/>
    <w:rsid w:val="00EE5A84"/>
    <w:rsid w:val="00EF2D10"/>
    <w:rsid w:val="00EF4834"/>
    <w:rsid w:val="00F07245"/>
    <w:rsid w:val="00F07284"/>
    <w:rsid w:val="00F11B6F"/>
    <w:rsid w:val="00F13E45"/>
    <w:rsid w:val="00F17EC2"/>
    <w:rsid w:val="00F20B13"/>
    <w:rsid w:val="00F22EAC"/>
    <w:rsid w:val="00F26FC2"/>
    <w:rsid w:val="00F27F54"/>
    <w:rsid w:val="00F340FD"/>
    <w:rsid w:val="00F346D9"/>
    <w:rsid w:val="00F367EB"/>
    <w:rsid w:val="00F43AEF"/>
    <w:rsid w:val="00F44543"/>
    <w:rsid w:val="00F47299"/>
    <w:rsid w:val="00F50784"/>
    <w:rsid w:val="00F674C8"/>
    <w:rsid w:val="00F74DD9"/>
    <w:rsid w:val="00F757FF"/>
    <w:rsid w:val="00F764BA"/>
    <w:rsid w:val="00F7787E"/>
    <w:rsid w:val="00F857B9"/>
    <w:rsid w:val="00F9171F"/>
    <w:rsid w:val="00F91E14"/>
    <w:rsid w:val="00F9270E"/>
    <w:rsid w:val="00F96703"/>
    <w:rsid w:val="00FC2235"/>
    <w:rsid w:val="00FC7B0B"/>
    <w:rsid w:val="00FD095F"/>
    <w:rsid w:val="00FD444D"/>
    <w:rsid w:val="00FD4CEB"/>
    <w:rsid w:val="00FD58E0"/>
    <w:rsid w:val="00FF4EA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284197"/>
  <w15:docId w15:val="{780F0D16-D53B-C64E-9D04-578872659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F0B"/>
    <w:rPr>
      <w:rFonts w:eastAsia="Times New Roman" w:cs="Times New Roman"/>
      <w:lang w:eastAsia="en-GB"/>
    </w:rPr>
  </w:style>
  <w:style w:type="paragraph" w:styleId="Heading1">
    <w:name w:val="heading 1"/>
    <w:basedOn w:val="Normal"/>
    <w:next w:val="Normal"/>
    <w:link w:val="Heading1Char"/>
    <w:uiPriority w:val="9"/>
    <w:qFormat/>
    <w:rsid w:val="002F6C04"/>
    <w:pPr>
      <w:keepNext/>
      <w:keepLines/>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nhideWhenUsed/>
    <w:qFormat/>
    <w:rsid w:val="00AE44C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4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3DD2"/>
    <w:pPr>
      <w:ind w:left="720"/>
      <w:contextualSpacing/>
    </w:pPr>
    <w:rPr>
      <w:rFonts w:eastAsiaTheme="minorHAnsi" w:cstheme="minorBidi"/>
      <w:lang w:eastAsia="en-US"/>
    </w:rPr>
  </w:style>
  <w:style w:type="paragraph" w:styleId="NormalWeb">
    <w:name w:val="Normal (Web)"/>
    <w:basedOn w:val="Normal"/>
    <w:uiPriority w:val="99"/>
    <w:semiHidden/>
    <w:unhideWhenUsed/>
    <w:rsid w:val="00D778F0"/>
    <w:pPr>
      <w:spacing w:before="100" w:beforeAutospacing="1" w:after="100" w:afterAutospacing="1"/>
    </w:pPr>
  </w:style>
  <w:style w:type="paragraph" w:styleId="Bibliography">
    <w:name w:val="Bibliography"/>
    <w:basedOn w:val="Normal"/>
    <w:next w:val="Normal"/>
    <w:uiPriority w:val="37"/>
    <w:unhideWhenUsed/>
    <w:rsid w:val="0033325D"/>
    <w:pPr>
      <w:tabs>
        <w:tab w:val="left" w:pos="500"/>
      </w:tabs>
      <w:spacing w:after="240"/>
      <w:ind w:left="504" w:hanging="504"/>
    </w:pPr>
    <w:rPr>
      <w:rFonts w:eastAsiaTheme="minorHAnsi" w:cstheme="minorBidi"/>
      <w:lang w:eastAsia="en-US"/>
    </w:rPr>
  </w:style>
  <w:style w:type="paragraph" w:styleId="BalloonText">
    <w:name w:val="Balloon Text"/>
    <w:basedOn w:val="Normal"/>
    <w:link w:val="BalloonTextChar"/>
    <w:uiPriority w:val="99"/>
    <w:semiHidden/>
    <w:unhideWhenUsed/>
    <w:rsid w:val="00491CA9"/>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491CA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45ECC"/>
    <w:rPr>
      <w:sz w:val="16"/>
      <w:szCs w:val="16"/>
    </w:rPr>
  </w:style>
  <w:style w:type="paragraph" w:styleId="CommentText">
    <w:name w:val="annotation text"/>
    <w:basedOn w:val="Normal"/>
    <w:link w:val="CommentTextChar"/>
    <w:uiPriority w:val="99"/>
    <w:semiHidden/>
    <w:unhideWhenUsed/>
    <w:rsid w:val="00D45ECC"/>
    <w:rPr>
      <w:rFonts w:eastAsiaTheme="minorHAnsi" w:cstheme="minorBidi"/>
      <w:sz w:val="20"/>
      <w:szCs w:val="20"/>
      <w:lang w:eastAsia="en-US"/>
    </w:rPr>
  </w:style>
  <w:style w:type="character" w:customStyle="1" w:styleId="CommentTextChar">
    <w:name w:val="Comment Text Char"/>
    <w:basedOn w:val="DefaultParagraphFont"/>
    <w:link w:val="CommentText"/>
    <w:uiPriority w:val="99"/>
    <w:semiHidden/>
    <w:rsid w:val="00D45ECC"/>
    <w:rPr>
      <w:sz w:val="20"/>
      <w:szCs w:val="20"/>
    </w:rPr>
  </w:style>
  <w:style w:type="paragraph" w:styleId="CommentSubject">
    <w:name w:val="annotation subject"/>
    <w:basedOn w:val="CommentText"/>
    <w:next w:val="CommentText"/>
    <w:link w:val="CommentSubjectChar"/>
    <w:uiPriority w:val="99"/>
    <w:semiHidden/>
    <w:unhideWhenUsed/>
    <w:rsid w:val="00D45ECC"/>
    <w:rPr>
      <w:b/>
      <w:bCs/>
    </w:rPr>
  </w:style>
  <w:style w:type="character" w:customStyle="1" w:styleId="CommentSubjectChar">
    <w:name w:val="Comment Subject Char"/>
    <w:basedOn w:val="CommentTextChar"/>
    <w:link w:val="CommentSubject"/>
    <w:uiPriority w:val="99"/>
    <w:semiHidden/>
    <w:rsid w:val="00D45ECC"/>
    <w:rPr>
      <w:b/>
      <w:bCs/>
      <w:sz w:val="20"/>
      <w:szCs w:val="20"/>
    </w:rPr>
  </w:style>
  <w:style w:type="paragraph" w:styleId="Revision">
    <w:name w:val="Revision"/>
    <w:hidden/>
    <w:uiPriority w:val="99"/>
    <w:semiHidden/>
    <w:rsid w:val="00E13793"/>
  </w:style>
  <w:style w:type="character" w:customStyle="1" w:styleId="Heading1Char">
    <w:name w:val="Heading 1 Char"/>
    <w:basedOn w:val="DefaultParagraphFont"/>
    <w:link w:val="Heading1"/>
    <w:uiPriority w:val="9"/>
    <w:rsid w:val="002F6C04"/>
    <w:rPr>
      <w:rFonts w:asciiTheme="majorHAnsi" w:eastAsiaTheme="majorEastAsia" w:hAnsiTheme="majorHAnsi" w:cstheme="majorBidi"/>
      <w:b/>
      <w:color w:val="2F5496" w:themeColor="accent1" w:themeShade="BF"/>
      <w:sz w:val="32"/>
      <w:szCs w:val="32"/>
      <w:lang w:eastAsia="en-GB"/>
    </w:rPr>
  </w:style>
  <w:style w:type="character" w:styleId="Hyperlink">
    <w:name w:val="Hyperlink"/>
    <w:basedOn w:val="DefaultParagraphFont"/>
    <w:uiPriority w:val="99"/>
    <w:unhideWhenUsed/>
    <w:rsid w:val="00A31654"/>
    <w:rPr>
      <w:color w:val="0563C1" w:themeColor="hyperlink"/>
      <w:u w:val="single"/>
    </w:rPr>
  </w:style>
  <w:style w:type="character" w:customStyle="1" w:styleId="UnresolvedMention1">
    <w:name w:val="Unresolved Mention1"/>
    <w:basedOn w:val="DefaultParagraphFont"/>
    <w:uiPriority w:val="99"/>
    <w:semiHidden/>
    <w:unhideWhenUsed/>
    <w:rsid w:val="00A31654"/>
    <w:rPr>
      <w:color w:val="605E5C"/>
      <w:shd w:val="clear" w:color="auto" w:fill="E1DFDD"/>
    </w:rPr>
  </w:style>
  <w:style w:type="character" w:customStyle="1" w:styleId="Heading2Char">
    <w:name w:val="Heading 2 Char"/>
    <w:basedOn w:val="DefaultParagraphFont"/>
    <w:link w:val="Heading2"/>
    <w:uiPriority w:val="9"/>
    <w:semiHidden/>
    <w:rsid w:val="00AE44C7"/>
    <w:rPr>
      <w:rFonts w:asciiTheme="majorHAnsi" w:eastAsiaTheme="majorEastAsia" w:hAnsiTheme="majorHAnsi" w:cstheme="majorBidi"/>
      <w:color w:val="2F5496" w:themeColor="accent1" w:themeShade="BF"/>
      <w:sz w:val="26"/>
      <w:szCs w:val="26"/>
      <w:lang w:eastAsia="en-GB"/>
    </w:rPr>
  </w:style>
  <w:style w:type="paragraph" w:styleId="Header">
    <w:name w:val="header"/>
    <w:basedOn w:val="Normal"/>
    <w:link w:val="HeaderChar"/>
    <w:rsid w:val="00984A22"/>
    <w:pPr>
      <w:tabs>
        <w:tab w:val="center" w:pos="4320"/>
        <w:tab w:val="right" w:pos="8640"/>
      </w:tabs>
    </w:pPr>
    <w:rPr>
      <w:rFonts w:ascii="Garamond" w:hAnsi="Garamond"/>
      <w:color w:val="008000"/>
      <w:w w:val="120"/>
      <w:lang w:val="en-CA" w:eastAsia="en-US"/>
    </w:rPr>
  </w:style>
  <w:style w:type="character" w:customStyle="1" w:styleId="HeaderChar">
    <w:name w:val="Header Char"/>
    <w:basedOn w:val="DefaultParagraphFont"/>
    <w:link w:val="Header"/>
    <w:rsid w:val="00984A22"/>
    <w:rPr>
      <w:rFonts w:ascii="Garamond" w:eastAsia="Times New Roman" w:hAnsi="Garamond" w:cs="Times New Roman"/>
      <w:color w:val="008000"/>
      <w:w w:val="120"/>
      <w:lang w:val="en-CA"/>
    </w:rPr>
  </w:style>
  <w:style w:type="paragraph" w:styleId="NoSpacing">
    <w:name w:val="No Spacing"/>
    <w:link w:val="NoSpacingChar"/>
    <w:uiPriority w:val="1"/>
    <w:qFormat/>
    <w:rsid w:val="004C2B2D"/>
    <w:rPr>
      <w:rFonts w:eastAsiaTheme="minorEastAsia"/>
      <w:sz w:val="22"/>
      <w:szCs w:val="22"/>
      <w:lang w:val="en-US" w:eastAsia="zh-CN"/>
    </w:rPr>
  </w:style>
  <w:style w:type="character" w:customStyle="1" w:styleId="NoSpacingChar">
    <w:name w:val="No Spacing Char"/>
    <w:basedOn w:val="DefaultParagraphFont"/>
    <w:link w:val="NoSpacing"/>
    <w:uiPriority w:val="1"/>
    <w:rsid w:val="004C2B2D"/>
    <w:rPr>
      <w:rFonts w:eastAsiaTheme="minorEastAsia"/>
      <w:sz w:val="22"/>
      <w:szCs w:val="22"/>
      <w:lang w:val="en-US" w:eastAsia="zh-CN"/>
    </w:rPr>
  </w:style>
  <w:style w:type="character" w:styleId="UnresolvedMention">
    <w:name w:val="Unresolved Mention"/>
    <w:basedOn w:val="DefaultParagraphFont"/>
    <w:uiPriority w:val="99"/>
    <w:semiHidden/>
    <w:unhideWhenUsed/>
    <w:rsid w:val="003D15FF"/>
    <w:rPr>
      <w:color w:val="605E5C"/>
      <w:shd w:val="clear" w:color="auto" w:fill="E1DFDD"/>
    </w:rPr>
  </w:style>
  <w:style w:type="paragraph" w:customStyle="1" w:styleId="MediumShading1-Accent21">
    <w:name w:val="Medium Shading 1 - Accent 21"/>
    <w:rsid w:val="00AB664E"/>
    <w:pPr>
      <w:suppressAutoHyphens/>
    </w:pPr>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A612C2"/>
    <w:pPr>
      <w:tabs>
        <w:tab w:val="center" w:pos="4680"/>
        <w:tab w:val="right" w:pos="9360"/>
      </w:tabs>
    </w:pPr>
  </w:style>
  <w:style w:type="character" w:customStyle="1" w:styleId="FooterChar">
    <w:name w:val="Footer Char"/>
    <w:basedOn w:val="DefaultParagraphFont"/>
    <w:link w:val="Footer"/>
    <w:uiPriority w:val="99"/>
    <w:rsid w:val="00A612C2"/>
    <w:rPr>
      <w:rFonts w:eastAsia="Times New Roman" w:cs="Times New Roman"/>
      <w:lang w:eastAsia="en-GB"/>
    </w:rPr>
  </w:style>
  <w:style w:type="character" w:styleId="PageNumber">
    <w:name w:val="page number"/>
    <w:basedOn w:val="DefaultParagraphFont"/>
    <w:uiPriority w:val="99"/>
    <w:semiHidden/>
    <w:unhideWhenUsed/>
    <w:rsid w:val="00A6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40617">
      <w:bodyDiv w:val="1"/>
      <w:marLeft w:val="0"/>
      <w:marRight w:val="0"/>
      <w:marTop w:val="0"/>
      <w:marBottom w:val="0"/>
      <w:divBdr>
        <w:top w:val="none" w:sz="0" w:space="0" w:color="auto"/>
        <w:left w:val="none" w:sz="0" w:space="0" w:color="auto"/>
        <w:bottom w:val="none" w:sz="0" w:space="0" w:color="auto"/>
        <w:right w:val="none" w:sz="0" w:space="0" w:color="auto"/>
      </w:divBdr>
    </w:div>
    <w:div w:id="66077300">
      <w:bodyDiv w:val="1"/>
      <w:marLeft w:val="0"/>
      <w:marRight w:val="0"/>
      <w:marTop w:val="0"/>
      <w:marBottom w:val="0"/>
      <w:divBdr>
        <w:top w:val="none" w:sz="0" w:space="0" w:color="auto"/>
        <w:left w:val="none" w:sz="0" w:space="0" w:color="auto"/>
        <w:bottom w:val="none" w:sz="0" w:space="0" w:color="auto"/>
        <w:right w:val="none" w:sz="0" w:space="0" w:color="auto"/>
      </w:divBdr>
    </w:div>
    <w:div w:id="120074738">
      <w:bodyDiv w:val="1"/>
      <w:marLeft w:val="0"/>
      <w:marRight w:val="0"/>
      <w:marTop w:val="0"/>
      <w:marBottom w:val="0"/>
      <w:divBdr>
        <w:top w:val="none" w:sz="0" w:space="0" w:color="auto"/>
        <w:left w:val="none" w:sz="0" w:space="0" w:color="auto"/>
        <w:bottom w:val="none" w:sz="0" w:space="0" w:color="auto"/>
        <w:right w:val="none" w:sz="0" w:space="0" w:color="auto"/>
      </w:divBdr>
    </w:div>
    <w:div w:id="160434563">
      <w:bodyDiv w:val="1"/>
      <w:marLeft w:val="0"/>
      <w:marRight w:val="0"/>
      <w:marTop w:val="0"/>
      <w:marBottom w:val="0"/>
      <w:divBdr>
        <w:top w:val="none" w:sz="0" w:space="0" w:color="auto"/>
        <w:left w:val="none" w:sz="0" w:space="0" w:color="auto"/>
        <w:bottom w:val="none" w:sz="0" w:space="0" w:color="auto"/>
        <w:right w:val="none" w:sz="0" w:space="0" w:color="auto"/>
      </w:divBdr>
    </w:div>
    <w:div w:id="185485013">
      <w:bodyDiv w:val="1"/>
      <w:marLeft w:val="0"/>
      <w:marRight w:val="0"/>
      <w:marTop w:val="0"/>
      <w:marBottom w:val="0"/>
      <w:divBdr>
        <w:top w:val="none" w:sz="0" w:space="0" w:color="auto"/>
        <w:left w:val="none" w:sz="0" w:space="0" w:color="auto"/>
        <w:bottom w:val="none" w:sz="0" w:space="0" w:color="auto"/>
        <w:right w:val="none" w:sz="0" w:space="0" w:color="auto"/>
      </w:divBdr>
    </w:div>
    <w:div w:id="215163620">
      <w:bodyDiv w:val="1"/>
      <w:marLeft w:val="0"/>
      <w:marRight w:val="0"/>
      <w:marTop w:val="0"/>
      <w:marBottom w:val="0"/>
      <w:divBdr>
        <w:top w:val="none" w:sz="0" w:space="0" w:color="auto"/>
        <w:left w:val="none" w:sz="0" w:space="0" w:color="auto"/>
        <w:bottom w:val="none" w:sz="0" w:space="0" w:color="auto"/>
        <w:right w:val="none" w:sz="0" w:space="0" w:color="auto"/>
      </w:divBdr>
    </w:div>
    <w:div w:id="255984203">
      <w:bodyDiv w:val="1"/>
      <w:marLeft w:val="0"/>
      <w:marRight w:val="0"/>
      <w:marTop w:val="0"/>
      <w:marBottom w:val="0"/>
      <w:divBdr>
        <w:top w:val="none" w:sz="0" w:space="0" w:color="auto"/>
        <w:left w:val="none" w:sz="0" w:space="0" w:color="auto"/>
        <w:bottom w:val="none" w:sz="0" w:space="0" w:color="auto"/>
        <w:right w:val="none" w:sz="0" w:space="0" w:color="auto"/>
      </w:divBdr>
    </w:div>
    <w:div w:id="306276668">
      <w:bodyDiv w:val="1"/>
      <w:marLeft w:val="0"/>
      <w:marRight w:val="0"/>
      <w:marTop w:val="0"/>
      <w:marBottom w:val="0"/>
      <w:divBdr>
        <w:top w:val="none" w:sz="0" w:space="0" w:color="auto"/>
        <w:left w:val="none" w:sz="0" w:space="0" w:color="auto"/>
        <w:bottom w:val="none" w:sz="0" w:space="0" w:color="auto"/>
        <w:right w:val="none" w:sz="0" w:space="0" w:color="auto"/>
      </w:divBdr>
    </w:div>
    <w:div w:id="320694912">
      <w:bodyDiv w:val="1"/>
      <w:marLeft w:val="0"/>
      <w:marRight w:val="0"/>
      <w:marTop w:val="0"/>
      <w:marBottom w:val="0"/>
      <w:divBdr>
        <w:top w:val="none" w:sz="0" w:space="0" w:color="auto"/>
        <w:left w:val="none" w:sz="0" w:space="0" w:color="auto"/>
        <w:bottom w:val="none" w:sz="0" w:space="0" w:color="auto"/>
        <w:right w:val="none" w:sz="0" w:space="0" w:color="auto"/>
      </w:divBdr>
    </w:div>
    <w:div w:id="331568355">
      <w:bodyDiv w:val="1"/>
      <w:marLeft w:val="0"/>
      <w:marRight w:val="0"/>
      <w:marTop w:val="0"/>
      <w:marBottom w:val="0"/>
      <w:divBdr>
        <w:top w:val="none" w:sz="0" w:space="0" w:color="auto"/>
        <w:left w:val="none" w:sz="0" w:space="0" w:color="auto"/>
        <w:bottom w:val="none" w:sz="0" w:space="0" w:color="auto"/>
        <w:right w:val="none" w:sz="0" w:space="0" w:color="auto"/>
      </w:divBdr>
    </w:div>
    <w:div w:id="342099727">
      <w:bodyDiv w:val="1"/>
      <w:marLeft w:val="0"/>
      <w:marRight w:val="0"/>
      <w:marTop w:val="0"/>
      <w:marBottom w:val="0"/>
      <w:divBdr>
        <w:top w:val="none" w:sz="0" w:space="0" w:color="auto"/>
        <w:left w:val="none" w:sz="0" w:space="0" w:color="auto"/>
        <w:bottom w:val="none" w:sz="0" w:space="0" w:color="auto"/>
        <w:right w:val="none" w:sz="0" w:space="0" w:color="auto"/>
      </w:divBdr>
    </w:div>
    <w:div w:id="422145710">
      <w:bodyDiv w:val="1"/>
      <w:marLeft w:val="0"/>
      <w:marRight w:val="0"/>
      <w:marTop w:val="0"/>
      <w:marBottom w:val="0"/>
      <w:divBdr>
        <w:top w:val="none" w:sz="0" w:space="0" w:color="auto"/>
        <w:left w:val="none" w:sz="0" w:space="0" w:color="auto"/>
        <w:bottom w:val="none" w:sz="0" w:space="0" w:color="auto"/>
        <w:right w:val="none" w:sz="0" w:space="0" w:color="auto"/>
      </w:divBdr>
    </w:div>
    <w:div w:id="451244148">
      <w:bodyDiv w:val="1"/>
      <w:marLeft w:val="0"/>
      <w:marRight w:val="0"/>
      <w:marTop w:val="0"/>
      <w:marBottom w:val="0"/>
      <w:divBdr>
        <w:top w:val="none" w:sz="0" w:space="0" w:color="auto"/>
        <w:left w:val="none" w:sz="0" w:space="0" w:color="auto"/>
        <w:bottom w:val="none" w:sz="0" w:space="0" w:color="auto"/>
        <w:right w:val="none" w:sz="0" w:space="0" w:color="auto"/>
      </w:divBdr>
    </w:div>
    <w:div w:id="454174574">
      <w:bodyDiv w:val="1"/>
      <w:marLeft w:val="0"/>
      <w:marRight w:val="0"/>
      <w:marTop w:val="0"/>
      <w:marBottom w:val="0"/>
      <w:divBdr>
        <w:top w:val="none" w:sz="0" w:space="0" w:color="auto"/>
        <w:left w:val="none" w:sz="0" w:space="0" w:color="auto"/>
        <w:bottom w:val="none" w:sz="0" w:space="0" w:color="auto"/>
        <w:right w:val="none" w:sz="0" w:space="0" w:color="auto"/>
      </w:divBdr>
    </w:div>
    <w:div w:id="469447233">
      <w:bodyDiv w:val="1"/>
      <w:marLeft w:val="0"/>
      <w:marRight w:val="0"/>
      <w:marTop w:val="0"/>
      <w:marBottom w:val="0"/>
      <w:divBdr>
        <w:top w:val="none" w:sz="0" w:space="0" w:color="auto"/>
        <w:left w:val="none" w:sz="0" w:space="0" w:color="auto"/>
        <w:bottom w:val="none" w:sz="0" w:space="0" w:color="auto"/>
        <w:right w:val="none" w:sz="0" w:space="0" w:color="auto"/>
      </w:divBdr>
    </w:div>
    <w:div w:id="473447104">
      <w:bodyDiv w:val="1"/>
      <w:marLeft w:val="0"/>
      <w:marRight w:val="0"/>
      <w:marTop w:val="0"/>
      <w:marBottom w:val="0"/>
      <w:divBdr>
        <w:top w:val="none" w:sz="0" w:space="0" w:color="auto"/>
        <w:left w:val="none" w:sz="0" w:space="0" w:color="auto"/>
        <w:bottom w:val="none" w:sz="0" w:space="0" w:color="auto"/>
        <w:right w:val="none" w:sz="0" w:space="0" w:color="auto"/>
      </w:divBdr>
    </w:div>
    <w:div w:id="545220079">
      <w:bodyDiv w:val="1"/>
      <w:marLeft w:val="0"/>
      <w:marRight w:val="0"/>
      <w:marTop w:val="0"/>
      <w:marBottom w:val="0"/>
      <w:divBdr>
        <w:top w:val="none" w:sz="0" w:space="0" w:color="auto"/>
        <w:left w:val="none" w:sz="0" w:space="0" w:color="auto"/>
        <w:bottom w:val="none" w:sz="0" w:space="0" w:color="auto"/>
        <w:right w:val="none" w:sz="0" w:space="0" w:color="auto"/>
      </w:divBdr>
    </w:div>
    <w:div w:id="566961088">
      <w:bodyDiv w:val="1"/>
      <w:marLeft w:val="0"/>
      <w:marRight w:val="0"/>
      <w:marTop w:val="0"/>
      <w:marBottom w:val="0"/>
      <w:divBdr>
        <w:top w:val="none" w:sz="0" w:space="0" w:color="auto"/>
        <w:left w:val="none" w:sz="0" w:space="0" w:color="auto"/>
        <w:bottom w:val="none" w:sz="0" w:space="0" w:color="auto"/>
        <w:right w:val="none" w:sz="0" w:space="0" w:color="auto"/>
      </w:divBdr>
    </w:div>
    <w:div w:id="649868693">
      <w:bodyDiv w:val="1"/>
      <w:marLeft w:val="0"/>
      <w:marRight w:val="0"/>
      <w:marTop w:val="0"/>
      <w:marBottom w:val="0"/>
      <w:divBdr>
        <w:top w:val="none" w:sz="0" w:space="0" w:color="auto"/>
        <w:left w:val="none" w:sz="0" w:space="0" w:color="auto"/>
        <w:bottom w:val="none" w:sz="0" w:space="0" w:color="auto"/>
        <w:right w:val="none" w:sz="0" w:space="0" w:color="auto"/>
      </w:divBdr>
    </w:div>
    <w:div w:id="702094616">
      <w:bodyDiv w:val="1"/>
      <w:marLeft w:val="0"/>
      <w:marRight w:val="0"/>
      <w:marTop w:val="0"/>
      <w:marBottom w:val="0"/>
      <w:divBdr>
        <w:top w:val="none" w:sz="0" w:space="0" w:color="auto"/>
        <w:left w:val="none" w:sz="0" w:space="0" w:color="auto"/>
        <w:bottom w:val="none" w:sz="0" w:space="0" w:color="auto"/>
        <w:right w:val="none" w:sz="0" w:space="0" w:color="auto"/>
      </w:divBdr>
    </w:div>
    <w:div w:id="710958376">
      <w:bodyDiv w:val="1"/>
      <w:marLeft w:val="0"/>
      <w:marRight w:val="0"/>
      <w:marTop w:val="0"/>
      <w:marBottom w:val="0"/>
      <w:divBdr>
        <w:top w:val="none" w:sz="0" w:space="0" w:color="auto"/>
        <w:left w:val="none" w:sz="0" w:space="0" w:color="auto"/>
        <w:bottom w:val="none" w:sz="0" w:space="0" w:color="auto"/>
        <w:right w:val="none" w:sz="0" w:space="0" w:color="auto"/>
      </w:divBdr>
    </w:div>
    <w:div w:id="716784326">
      <w:bodyDiv w:val="1"/>
      <w:marLeft w:val="0"/>
      <w:marRight w:val="0"/>
      <w:marTop w:val="0"/>
      <w:marBottom w:val="0"/>
      <w:divBdr>
        <w:top w:val="none" w:sz="0" w:space="0" w:color="auto"/>
        <w:left w:val="none" w:sz="0" w:space="0" w:color="auto"/>
        <w:bottom w:val="none" w:sz="0" w:space="0" w:color="auto"/>
        <w:right w:val="none" w:sz="0" w:space="0" w:color="auto"/>
      </w:divBdr>
    </w:div>
    <w:div w:id="724568118">
      <w:bodyDiv w:val="1"/>
      <w:marLeft w:val="0"/>
      <w:marRight w:val="0"/>
      <w:marTop w:val="0"/>
      <w:marBottom w:val="0"/>
      <w:divBdr>
        <w:top w:val="none" w:sz="0" w:space="0" w:color="auto"/>
        <w:left w:val="none" w:sz="0" w:space="0" w:color="auto"/>
        <w:bottom w:val="none" w:sz="0" w:space="0" w:color="auto"/>
        <w:right w:val="none" w:sz="0" w:space="0" w:color="auto"/>
      </w:divBdr>
    </w:div>
    <w:div w:id="730618711">
      <w:bodyDiv w:val="1"/>
      <w:marLeft w:val="0"/>
      <w:marRight w:val="0"/>
      <w:marTop w:val="0"/>
      <w:marBottom w:val="0"/>
      <w:divBdr>
        <w:top w:val="none" w:sz="0" w:space="0" w:color="auto"/>
        <w:left w:val="none" w:sz="0" w:space="0" w:color="auto"/>
        <w:bottom w:val="none" w:sz="0" w:space="0" w:color="auto"/>
        <w:right w:val="none" w:sz="0" w:space="0" w:color="auto"/>
      </w:divBdr>
    </w:div>
    <w:div w:id="734477635">
      <w:bodyDiv w:val="1"/>
      <w:marLeft w:val="0"/>
      <w:marRight w:val="0"/>
      <w:marTop w:val="0"/>
      <w:marBottom w:val="0"/>
      <w:divBdr>
        <w:top w:val="none" w:sz="0" w:space="0" w:color="auto"/>
        <w:left w:val="none" w:sz="0" w:space="0" w:color="auto"/>
        <w:bottom w:val="none" w:sz="0" w:space="0" w:color="auto"/>
        <w:right w:val="none" w:sz="0" w:space="0" w:color="auto"/>
      </w:divBdr>
    </w:div>
    <w:div w:id="758258720">
      <w:bodyDiv w:val="1"/>
      <w:marLeft w:val="0"/>
      <w:marRight w:val="0"/>
      <w:marTop w:val="0"/>
      <w:marBottom w:val="0"/>
      <w:divBdr>
        <w:top w:val="none" w:sz="0" w:space="0" w:color="auto"/>
        <w:left w:val="none" w:sz="0" w:space="0" w:color="auto"/>
        <w:bottom w:val="none" w:sz="0" w:space="0" w:color="auto"/>
        <w:right w:val="none" w:sz="0" w:space="0" w:color="auto"/>
      </w:divBdr>
    </w:div>
    <w:div w:id="782968089">
      <w:bodyDiv w:val="1"/>
      <w:marLeft w:val="0"/>
      <w:marRight w:val="0"/>
      <w:marTop w:val="0"/>
      <w:marBottom w:val="0"/>
      <w:divBdr>
        <w:top w:val="none" w:sz="0" w:space="0" w:color="auto"/>
        <w:left w:val="none" w:sz="0" w:space="0" w:color="auto"/>
        <w:bottom w:val="none" w:sz="0" w:space="0" w:color="auto"/>
        <w:right w:val="none" w:sz="0" w:space="0" w:color="auto"/>
      </w:divBdr>
    </w:div>
    <w:div w:id="827793675">
      <w:bodyDiv w:val="1"/>
      <w:marLeft w:val="0"/>
      <w:marRight w:val="0"/>
      <w:marTop w:val="0"/>
      <w:marBottom w:val="0"/>
      <w:divBdr>
        <w:top w:val="none" w:sz="0" w:space="0" w:color="auto"/>
        <w:left w:val="none" w:sz="0" w:space="0" w:color="auto"/>
        <w:bottom w:val="none" w:sz="0" w:space="0" w:color="auto"/>
        <w:right w:val="none" w:sz="0" w:space="0" w:color="auto"/>
      </w:divBdr>
    </w:div>
    <w:div w:id="833110430">
      <w:bodyDiv w:val="1"/>
      <w:marLeft w:val="0"/>
      <w:marRight w:val="0"/>
      <w:marTop w:val="0"/>
      <w:marBottom w:val="0"/>
      <w:divBdr>
        <w:top w:val="none" w:sz="0" w:space="0" w:color="auto"/>
        <w:left w:val="none" w:sz="0" w:space="0" w:color="auto"/>
        <w:bottom w:val="none" w:sz="0" w:space="0" w:color="auto"/>
        <w:right w:val="none" w:sz="0" w:space="0" w:color="auto"/>
      </w:divBdr>
    </w:div>
    <w:div w:id="877664480">
      <w:bodyDiv w:val="1"/>
      <w:marLeft w:val="0"/>
      <w:marRight w:val="0"/>
      <w:marTop w:val="0"/>
      <w:marBottom w:val="0"/>
      <w:divBdr>
        <w:top w:val="none" w:sz="0" w:space="0" w:color="auto"/>
        <w:left w:val="none" w:sz="0" w:space="0" w:color="auto"/>
        <w:bottom w:val="none" w:sz="0" w:space="0" w:color="auto"/>
        <w:right w:val="none" w:sz="0" w:space="0" w:color="auto"/>
      </w:divBdr>
    </w:div>
    <w:div w:id="881483111">
      <w:bodyDiv w:val="1"/>
      <w:marLeft w:val="0"/>
      <w:marRight w:val="0"/>
      <w:marTop w:val="0"/>
      <w:marBottom w:val="0"/>
      <w:divBdr>
        <w:top w:val="none" w:sz="0" w:space="0" w:color="auto"/>
        <w:left w:val="none" w:sz="0" w:space="0" w:color="auto"/>
        <w:bottom w:val="none" w:sz="0" w:space="0" w:color="auto"/>
        <w:right w:val="none" w:sz="0" w:space="0" w:color="auto"/>
      </w:divBdr>
    </w:div>
    <w:div w:id="956447745">
      <w:bodyDiv w:val="1"/>
      <w:marLeft w:val="0"/>
      <w:marRight w:val="0"/>
      <w:marTop w:val="0"/>
      <w:marBottom w:val="0"/>
      <w:divBdr>
        <w:top w:val="none" w:sz="0" w:space="0" w:color="auto"/>
        <w:left w:val="none" w:sz="0" w:space="0" w:color="auto"/>
        <w:bottom w:val="none" w:sz="0" w:space="0" w:color="auto"/>
        <w:right w:val="none" w:sz="0" w:space="0" w:color="auto"/>
      </w:divBdr>
    </w:div>
    <w:div w:id="976642631">
      <w:bodyDiv w:val="1"/>
      <w:marLeft w:val="0"/>
      <w:marRight w:val="0"/>
      <w:marTop w:val="0"/>
      <w:marBottom w:val="0"/>
      <w:divBdr>
        <w:top w:val="none" w:sz="0" w:space="0" w:color="auto"/>
        <w:left w:val="none" w:sz="0" w:space="0" w:color="auto"/>
        <w:bottom w:val="none" w:sz="0" w:space="0" w:color="auto"/>
        <w:right w:val="none" w:sz="0" w:space="0" w:color="auto"/>
      </w:divBdr>
    </w:div>
    <w:div w:id="1001736785">
      <w:bodyDiv w:val="1"/>
      <w:marLeft w:val="0"/>
      <w:marRight w:val="0"/>
      <w:marTop w:val="0"/>
      <w:marBottom w:val="0"/>
      <w:divBdr>
        <w:top w:val="none" w:sz="0" w:space="0" w:color="auto"/>
        <w:left w:val="none" w:sz="0" w:space="0" w:color="auto"/>
        <w:bottom w:val="none" w:sz="0" w:space="0" w:color="auto"/>
        <w:right w:val="none" w:sz="0" w:space="0" w:color="auto"/>
      </w:divBdr>
    </w:div>
    <w:div w:id="1029378532">
      <w:bodyDiv w:val="1"/>
      <w:marLeft w:val="0"/>
      <w:marRight w:val="0"/>
      <w:marTop w:val="0"/>
      <w:marBottom w:val="0"/>
      <w:divBdr>
        <w:top w:val="none" w:sz="0" w:space="0" w:color="auto"/>
        <w:left w:val="none" w:sz="0" w:space="0" w:color="auto"/>
        <w:bottom w:val="none" w:sz="0" w:space="0" w:color="auto"/>
        <w:right w:val="none" w:sz="0" w:space="0" w:color="auto"/>
      </w:divBdr>
    </w:div>
    <w:div w:id="1057628760">
      <w:bodyDiv w:val="1"/>
      <w:marLeft w:val="0"/>
      <w:marRight w:val="0"/>
      <w:marTop w:val="0"/>
      <w:marBottom w:val="0"/>
      <w:divBdr>
        <w:top w:val="none" w:sz="0" w:space="0" w:color="auto"/>
        <w:left w:val="none" w:sz="0" w:space="0" w:color="auto"/>
        <w:bottom w:val="none" w:sz="0" w:space="0" w:color="auto"/>
        <w:right w:val="none" w:sz="0" w:space="0" w:color="auto"/>
      </w:divBdr>
    </w:div>
    <w:div w:id="1065765568">
      <w:bodyDiv w:val="1"/>
      <w:marLeft w:val="0"/>
      <w:marRight w:val="0"/>
      <w:marTop w:val="0"/>
      <w:marBottom w:val="0"/>
      <w:divBdr>
        <w:top w:val="none" w:sz="0" w:space="0" w:color="auto"/>
        <w:left w:val="none" w:sz="0" w:space="0" w:color="auto"/>
        <w:bottom w:val="none" w:sz="0" w:space="0" w:color="auto"/>
        <w:right w:val="none" w:sz="0" w:space="0" w:color="auto"/>
      </w:divBdr>
    </w:div>
    <w:div w:id="1078861997">
      <w:bodyDiv w:val="1"/>
      <w:marLeft w:val="0"/>
      <w:marRight w:val="0"/>
      <w:marTop w:val="0"/>
      <w:marBottom w:val="0"/>
      <w:divBdr>
        <w:top w:val="none" w:sz="0" w:space="0" w:color="auto"/>
        <w:left w:val="none" w:sz="0" w:space="0" w:color="auto"/>
        <w:bottom w:val="none" w:sz="0" w:space="0" w:color="auto"/>
        <w:right w:val="none" w:sz="0" w:space="0" w:color="auto"/>
      </w:divBdr>
    </w:div>
    <w:div w:id="1097292393">
      <w:bodyDiv w:val="1"/>
      <w:marLeft w:val="0"/>
      <w:marRight w:val="0"/>
      <w:marTop w:val="0"/>
      <w:marBottom w:val="0"/>
      <w:divBdr>
        <w:top w:val="none" w:sz="0" w:space="0" w:color="auto"/>
        <w:left w:val="none" w:sz="0" w:space="0" w:color="auto"/>
        <w:bottom w:val="none" w:sz="0" w:space="0" w:color="auto"/>
        <w:right w:val="none" w:sz="0" w:space="0" w:color="auto"/>
      </w:divBdr>
    </w:div>
    <w:div w:id="1174950657">
      <w:bodyDiv w:val="1"/>
      <w:marLeft w:val="0"/>
      <w:marRight w:val="0"/>
      <w:marTop w:val="0"/>
      <w:marBottom w:val="0"/>
      <w:divBdr>
        <w:top w:val="none" w:sz="0" w:space="0" w:color="auto"/>
        <w:left w:val="none" w:sz="0" w:space="0" w:color="auto"/>
        <w:bottom w:val="none" w:sz="0" w:space="0" w:color="auto"/>
        <w:right w:val="none" w:sz="0" w:space="0" w:color="auto"/>
      </w:divBdr>
    </w:div>
    <w:div w:id="1212612869">
      <w:bodyDiv w:val="1"/>
      <w:marLeft w:val="0"/>
      <w:marRight w:val="0"/>
      <w:marTop w:val="0"/>
      <w:marBottom w:val="0"/>
      <w:divBdr>
        <w:top w:val="none" w:sz="0" w:space="0" w:color="auto"/>
        <w:left w:val="none" w:sz="0" w:space="0" w:color="auto"/>
        <w:bottom w:val="none" w:sz="0" w:space="0" w:color="auto"/>
        <w:right w:val="none" w:sz="0" w:space="0" w:color="auto"/>
      </w:divBdr>
    </w:div>
    <w:div w:id="1215657648">
      <w:bodyDiv w:val="1"/>
      <w:marLeft w:val="0"/>
      <w:marRight w:val="0"/>
      <w:marTop w:val="0"/>
      <w:marBottom w:val="0"/>
      <w:divBdr>
        <w:top w:val="none" w:sz="0" w:space="0" w:color="auto"/>
        <w:left w:val="none" w:sz="0" w:space="0" w:color="auto"/>
        <w:bottom w:val="none" w:sz="0" w:space="0" w:color="auto"/>
        <w:right w:val="none" w:sz="0" w:space="0" w:color="auto"/>
      </w:divBdr>
    </w:div>
    <w:div w:id="1223640972">
      <w:bodyDiv w:val="1"/>
      <w:marLeft w:val="0"/>
      <w:marRight w:val="0"/>
      <w:marTop w:val="0"/>
      <w:marBottom w:val="0"/>
      <w:divBdr>
        <w:top w:val="none" w:sz="0" w:space="0" w:color="auto"/>
        <w:left w:val="none" w:sz="0" w:space="0" w:color="auto"/>
        <w:bottom w:val="none" w:sz="0" w:space="0" w:color="auto"/>
        <w:right w:val="none" w:sz="0" w:space="0" w:color="auto"/>
      </w:divBdr>
      <w:divsChild>
        <w:div w:id="1055004545">
          <w:marLeft w:val="0"/>
          <w:marRight w:val="0"/>
          <w:marTop w:val="0"/>
          <w:marBottom w:val="0"/>
          <w:divBdr>
            <w:top w:val="none" w:sz="0" w:space="0" w:color="auto"/>
            <w:left w:val="none" w:sz="0" w:space="0" w:color="auto"/>
            <w:bottom w:val="none" w:sz="0" w:space="0" w:color="auto"/>
            <w:right w:val="none" w:sz="0" w:space="0" w:color="auto"/>
          </w:divBdr>
          <w:divsChild>
            <w:div w:id="1055157230">
              <w:marLeft w:val="0"/>
              <w:marRight w:val="0"/>
              <w:marTop w:val="0"/>
              <w:marBottom w:val="0"/>
              <w:divBdr>
                <w:top w:val="none" w:sz="0" w:space="0" w:color="auto"/>
                <w:left w:val="none" w:sz="0" w:space="0" w:color="auto"/>
                <w:bottom w:val="none" w:sz="0" w:space="0" w:color="auto"/>
                <w:right w:val="none" w:sz="0" w:space="0" w:color="auto"/>
              </w:divBdr>
              <w:divsChild>
                <w:div w:id="120255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373805">
      <w:bodyDiv w:val="1"/>
      <w:marLeft w:val="0"/>
      <w:marRight w:val="0"/>
      <w:marTop w:val="0"/>
      <w:marBottom w:val="0"/>
      <w:divBdr>
        <w:top w:val="none" w:sz="0" w:space="0" w:color="auto"/>
        <w:left w:val="none" w:sz="0" w:space="0" w:color="auto"/>
        <w:bottom w:val="none" w:sz="0" w:space="0" w:color="auto"/>
        <w:right w:val="none" w:sz="0" w:space="0" w:color="auto"/>
      </w:divBdr>
    </w:div>
    <w:div w:id="1316302659">
      <w:bodyDiv w:val="1"/>
      <w:marLeft w:val="0"/>
      <w:marRight w:val="0"/>
      <w:marTop w:val="0"/>
      <w:marBottom w:val="0"/>
      <w:divBdr>
        <w:top w:val="none" w:sz="0" w:space="0" w:color="auto"/>
        <w:left w:val="none" w:sz="0" w:space="0" w:color="auto"/>
        <w:bottom w:val="none" w:sz="0" w:space="0" w:color="auto"/>
        <w:right w:val="none" w:sz="0" w:space="0" w:color="auto"/>
      </w:divBdr>
    </w:div>
    <w:div w:id="1345863331">
      <w:bodyDiv w:val="1"/>
      <w:marLeft w:val="0"/>
      <w:marRight w:val="0"/>
      <w:marTop w:val="0"/>
      <w:marBottom w:val="0"/>
      <w:divBdr>
        <w:top w:val="none" w:sz="0" w:space="0" w:color="auto"/>
        <w:left w:val="none" w:sz="0" w:space="0" w:color="auto"/>
        <w:bottom w:val="none" w:sz="0" w:space="0" w:color="auto"/>
        <w:right w:val="none" w:sz="0" w:space="0" w:color="auto"/>
      </w:divBdr>
    </w:div>
    <w:div w:id="1346328679">
      <w:bodyDiv w:val="1"/>
      <w:marLeft w:val="0"/>
      <w:marRight w:val="0"/>
      <w:marTop w:val="0"/>
      <w:marBottom w:val="0"/>
      <w:divBdr>
        <w:top w:val="none" w:sz="0" w:space="0" w:color="auto"/>
        <w:left w:val="none" w:sz="0" w:space="0" w:color="auto"/>
        <w:bottom w:val="none" w:sz="0" w:space="0" w:color="auto"/>
        <w:right w:val="none" w:sz="0" w:space="0" w:color="auto"/>
      </w:divBdr>
    </w:div>
    <w:div w:id="1370032278">
      <w:bodyDiv w:val="1"/>
      <w:marLeft w:val="0"/>
      <w:marRight w:val="0"/>
      <w:marTop w:val="0"/>
      <w:marBottom w:val="0"/>
      <w:divBdr>
        <w:top w:val="none" w:sz="0" w:space="0" w:color="auto"/>
        <w:left w:val="none" w:sz="0" w:space="0" w:color="auto"/>
        <w:bottom w:val="none" w:sz="0" w:space="0" w:color="auto"/>
        <w:right w:val="none" w:sz="0" w:space="0" w:color="auto"/>
      </w:divBdr>
    </w:div>
    <w:div w:id="1403480818">
      <w:bodyDiv w:val="1"/>
      <w:marLeft w:val="0"/>
      <w:marRight w:val="0"/>
      <w:marTop w:val="0"/>
      <w:marBottom w:val="0"/>
      <w:divBdr>
        <w:top w:val="none" w:sz="0" w:space="0" w:color="auto"/>
        <w:left w:val="none" w:sz="0" w:space="0" w:color="auto"/>
        <w:bottom w:val="none" w:sz="0" w:space="0" w:color="auto"/>
        <w:right w:val="none" w:sz="0" w:space="0" w:color="auto"/>
      </w:divBdr>
    </w:div>
    <w:div w:id="1446844383">
      <w:bodyDiv w:val="1"/>
      <w:marLeft w:val="0"/>
      <w:marRight w:val="0"/>
      <w:marTop w:val="0"/>
      <w:marBottom w:val="0"/>
      <w:divBdr>
        <w:top w:val="none" w:sz="0" w:space="0" w:color="auto"/>
        <w:left w:val="none" w:sz="0" w:space="0" w:color="auto"/>
        <w:bottom w:val="none" w:sz="0" w:space="0" w:color="auto"/>
        <w:right w:val="none" w:sz="0" w:space="0" w:color="auto"/>
      </w:divBdr>
    </w:div>
    <w:div w:id="1457065966">
      <w:bodyDiv w:val="1"/>
      <w:marLeft w:val="0"/>
      <w:marRight w:val="0"/>
      <w:marTop w:val="0"/>
      <w:marBottom w:val="0"/>
      <w:divBdr>
        <w:top w:val="none" w:sz="0" w:space="0" w:color="auto"/>
        <w:left w:val="none" w:sz="0" w:space="0" w:color="auto"/>
        <w:bottom w:val="none" w:sz="0" w:space="0" w:color="auto"/>
        <w:right w:val="none" w:sz="0" w:space="0" w:color="auto"/>
      </w:divBdr>
    </w:div>
    <w:div w:id="1459911109">
      <w:bodyDiv w:val="1"/>
      <w:marLeft w:val="0"/>
      <w:marRight w:val="0"/>
      <w:marTop w:val="0"/>
      <w:marBottom w:val="0"/>
      <w:divBdr>
        <w:top w:val="none" w:sz="0" w:space="0" w:color="auto"/>
        <w:left w:val="none" w:sz="0" w:space="0" w:color="auto"/>
        <w:bottom w:val="none" w:sz="0" w:space="0" w:color="auto"/>
        <w:right w:val="none" w:sz="0" w:space="0" w:color="auto"/>
      </w:divBdr>
    </w:div>
    <w:div w:id="1575968908">
      <w:bodyDiv w:val="1"/>
      <w:marLeft w:val="0"/>
      <w:marRight w:val="0"/>
      <w:marTop w:val="0"/>
      <w:marBottom w:val="0"/>
      <w:divBdr>
        <w:top w:val="none" w:sz="0" w:space="0" w:color="auto"/>
        <w:left w:val="none" w:sz="0" w:space="0" w:color="auto"/>
        <w:bottom w:val="none" w:sz="0" w:space="0" w:color="auto"/>
        <w:right w:val="none" w:sz="0" w:space="0" w:color="auto"/>
      </w:divBdr>
      <w:divsChild>
        <w:div w:id="760108124">
          <w:marLeft w:val="0"/>
          <w:marRight w:val="0"/>
          <w:marTop w:val="0"/>
          <w:marBottom w:val="0"/>
          <w:divBdr>
            <w:top w:val="none" w:sz="0" w:space="0" w:color="auto"/>
            <w:left w:val="none" w:sz="0" w:space="0" w:color="auto"/>
            <w:bottom w:val="none" w:sz="0" w:space="0" w:color="auto"/>
            <w:right w:val="none" w:sz="0" w:space="0" w:color="auto"/>
          </w:divBdr>
          <w:divsChild>
            <w:div w:id="199826992">
              <w:marLeft w:val="0"/>
              <w:marRight w:val="0"/>
              <w:marTop w:val="0"/>
              <w:marBottom w:val="0"/>
              <w:divBdr>
                <w:top w:val="none" w:sz="0" w:space="0" w:color="auto"/>
                <w:left w:val="none" w:sz="0" w:space="0" w:color="auto"/>
                <w:bottom w:val="none" w:sz="0" w:space="0" w:color="auto"/>
                <w:right w:val="none" w:sz="0" w:space="0" w:color="auto"/>
              </w:divBdr>
              <w:divsChild>
                <w:div w:id="124277599">
                  <w:marLeft w:val="0"/>
                  <w:marRight w:val="0"/>
                  <w:marTop w:val="0"/>
                  <w:marBottom w:val="0"/>
                  <w:divBdr>
                    <w:top w:val="none" w:sz="0" w:space="0" w:color="auto"/>
                    <w:left w:val="none" w:sz="0" w:space="0" w:color="auto"/>
                    <w:bottom w:val="none" w:sz="0" w:space="0" w:color="auto"/>
                    <w:right w:val="none" w:sz="0" w:space="0" w:color="auto"/>
                  </w:divBdr>
                </w:div>
                <w:div w:id="218326016">
                  <w:marLeft w:val="0"/>
                  <w:marRight w:val="0"/>
                  <w:marTop w:val="0"/>
                  <w:marBottom w:val="0"/>
                  <w:divBdr>
                    <w:top w:val="none" w:sz="0" w:space="0" w:color="auto"/>
                    <w:left w:val="none" w:sz="0" w:space="0" w:color="auto"/>
                    <w:bottom w:val="none" w:sz="0" w:space="0" w:color="auto"/>
                    <w:right w:val="none" w:sz="0" w:space="0" w:color="auto"/>
                  </w:divBdr>
                </w:div>
                <w:div w:id="1366326274">
                  <w:marLeft w:val="0"/>
                  <w:marRight w:val="0"/>
                  <w:marTop w:val="0"/>
                  <w:marBottom w:val="0"/>
                  <w:divBdr>
                    <w:top w:val="none" w:sz="0" w:space="0" w:color="auto"/>
                    <w:left w:val="none" w:sz="0" w:space="0" w:color="auto"/>
                    <w:bottom w:val="none" w:sz="0" w:space="0" w:color="auto"/>
                    <w:right w:val="none" w:sz="0" w:space="0" w:color="auto"/>
                  </w:divBdr>
                </w:div>
                <w:div w:id="19862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02230">
      <w:bodyDiv w:val="1"/>
      <w:marLeft w:val="0"/>
      <w:marRight w:val="0"/>
      <w:marTop w:val="0"/>
      <w:marBottom w:val="0"/>
      <w:divBdr>
        <w:top w:val="none" w:sz="0" w:space="0" w:color="auto"/>
        <w:left w:val="none" w:sz="0" w:space="0" w:color="auto"/>
        <w:bottom w:val="none" w:sz="0" w:space="0" w:color="auto"/>
        <w:right w:val="none" w:sz="0" w:space="0" w:color="auto"/>
      </w:divBdr>
    </w:div>
    <w:div w:id="1611670351">
      <w:bodyDiv w:val="1"/>
      <w:marLeft w:val="0"/>
      <w:marRight w:val="0"/>
      <w:marTop w:val="0"/>
      <w:marBottom w:val="0"/>
      <w:divBdr>
        <w:top w:val="none" w:sz="0" w:space="0" w:color="auto"/>
        <w:left w:val="none" w:sz="0" w:space="0" w:color="auto"/>
        <w:bottom w:val="none" w:sz="0" w:space="0" w:color="auto"/>
        <w:right w:val="none" w:sz="0" w:space="0" w:color="auto"/>
      </w:divBdr>
    </w:div>
    <w:div w:id="1643806701">
      <w:bodyDiv w:val="1"/>
      <w:marLeft w:val="0"/>
      <w:marRight w:val="0"/>
      <w:marTop w:val="0"/>
      <w:marBottom w:val="0"/>
      <w:divBdr>
        <w:top w:val="none" w:sz="0" w:space="0" w:color="auto"/>
        <w:left w:val="none" w:sz="0" w:space="0" w:color="auto"/>
        <w:bottom w:val="none" w:sz="0" w:space="0" w:color="auto"/>
        <w:right w:val="none" w:sz="0" w:space="0" w:color="auto"/>
      </w:divBdr>
    </w:div>
    <w:div w:id="1683822637">
      <w:bodyDiv w:val="1"/>
      <w:marLeft w:val="0"/>
      <w:marRight w:val="0"/>
      <w:marTop w:val="0"/>
      <w:marBottom w:val="0"/>
      <w:divBdr>
        <w:top w:val="none" w:sz="0" w:space="0" w:color="auto"/>
        <w:left w:val="none" w:sz="0" w:space="0" w:color="auto"/>
        <w:bottom w:val="none" w:sz="0" w:space="0" w:color="auto"/>
        <w:right w:val="none" w:sz="0" w:space="0" w:color="auto"/>
      </w:divBdr>
    </w:div>
    <w:div w:id="1705475469">
      <w:bodyDiv w:val="1"/>
      <w:marLeft w:val="0"/>
      <w:marRight w:val="0"/>
      <w:marTop w:val="0"/>
      <w:marBottom w:val="0"/>
      <w:divBdr>
        <w:top w:val="none" w:sz="0" w:space="0" w:color="auto"/>
        <w:left w:val="none" w:sz="0" w:space="0" w:color="auto"/>
        <w:bottom w:val="none" w:sz="0" w:space="0" w:color="auto"/>
        <w:right w:val="none" w:sz="0" w:space="0" w:color="auto"/>
      </w:divBdr>
    </w:div>
    <w:div w:id="1713728197">
      <w:bodyDiv w:val="1"/>
      <w:marLeft w:val="0"/>
      <w:marRight w:val="0"/>
      <w:marTop w:val="0"/>
      <w:marBottom w:val="0"/>
      <w:divBdr>
        <w:top w:val="none" w:sz="0" w:space="0" w:color="auto"/>
        <w:left w:val="none" w:sz="0" w:space="0" w:color="auto"/>
        <w:bottom w:val="none" w:sz="0" w:space="0" w:color="auto"/>
        <w:right w:val="none" w:sz="0" w:space="0" w:color="auto"/>
      </w:divBdr>
    </w:div>
    <w:div w:id="1733891442">
      <w:bodyDiv w:val="1"/>
      <w:marLeft w:val="0"/>
      <w:marRight w:val="0"/>
      <w:marTop w:val="0"/>
      <w:marBottom w:val="0"/>
      <w:divBdr>
        <w:top w:val="none" w:sz="0" w:space="0" w:color="auto"/>
        <w:left w:val="none" w:sz="0" w:space="0" w:color="auto"/>
        <w:bottom w:val="none" w:sz="0" w:space="0" w:color="auto"/>
        <w:right w:val="none" w:sz="0" w:space="0" w:color="auto"/>
      </w:divBdr>
    </w:div>
    <w:div w:id="1741975517">
      <w:bodyDiv w:val="1"/>
      <w:marLeft w:val="0"/>
      <w:marRight w:val="0"/>
      <w:marTop w:val="0"/>
      <w:marBottom w:val="0"/>
      <w:divBdr>
        <w:top w:val="none" w:sz="0" w:space="0" w:color="auto"/>
        <w:left w:val="none" w:sz="0" w:space="0" w:color="auto"/>
        <w:bottom w:val="none" w:sz="0" w:space="0" w:color="auto"/>
        <w:right w:val="none" w:sz="0" w:space="0" w:color="auto"/>
      </w:divBdr>
    </w:div>
    <w:div w:id="1750541224">
      <w:bodyDiv w:val="1"/>
      <w:marLeft w:val="0"/>
      <w:marRight w:val="0"/>
      <w:marTop w:val="0"/>
      <w:marBottom w:val="0"/>
      <w:divBdr>
        <w:top w:val="none" w:sz="0" w:space="0" w:color="auto"/>
        <w:left w:val="none" w:sz="0" w:space="0" w:color="auto"/>
        <w:bottom w:val="none" w:sz="0" w:space="0" w:color="auto"/>
        <w:right w:val="none" w:sz="0" w:space="0" w:color="auto"/>
      </w:divBdr>
    </w:div>
    <w:div w:id="1808889208">
      <w:bodyDiv w:val="1"/>
      <w:marLeft w:val="0"/>
      <w:marRight w:val="0"/>
      <w:marTop w:val="0"/>
      <w:marBottom w:val="0"/>
      <w:divBdr>
        <w:top w:val="none" w:sz="0" w:space="0" w:color="auto"/>
        <w:left w:val="none" w:sz="0" w:space="0" w:color="auto"/>
        <w:bottom w:val="none" w:sz="0" w:space="0" w:color="auto"/>
        <w:right w:val="none" w:sz="0" w:space="0" w:color="auto"/>
      </w:divBdr>
    </w:div>
    <w:div w:id="1832483875">
      <w:bodyDiv w:val="1"/>
      <w:marLeft w:val="0"/>
      <w:marRight w:val="0"/>
      <w:marTop w:val="0"/>
      <w:marBottom w:val="0"/>
      <w:divBdr>
        <w:top w:val="none" w:sz="0" w:space="0" w:color="auto"/>
        <w:left w:val="none" w:sz="0" w:space="0" w:color="auto"/>
        <w:bottom w:val="none" w:sz="0" w:space="0" w:color="auto"/>
        <w:right w:val="none" w:sz="0" w:space="0" w:color="auto"/>
      </w:divBdr>
    </w:div>
    <w:div w:id="1840652013">
      <w:bodyDiv w:val="1"/>
      <w:marLeft w:val="0"/>
      <w:marRight w:val="0"/>
      <w:marTop w:val="0"/>
      <w:marBottom w:val="0"/>
      <w:divBdr>
        <w:top w:val="none" w:sz="0" w:space="0" w:color="auto"/>
        <w:left w:val="none" w:sz="0" w:space="0" w:color="auto"/>
        <w:bottom w:val="none" w:sz="0" w:space="0" w:color="auto"/>
        <w:right w:val="none" w:sz="0" w:space="0" w:color="auto"/>
      </w:divBdr>
    </w:div>
    <w:div w:id="1900164935">
      <w:bodyDiv w:val="1"/>
      <w:marLeft w:val="0"/>
      <w:marRight w:val="0"/>
      <w:marTop w:val="0"/>
      <w:marBottom w:val="0"/>
      <w:divBdr>
        <w:top w:val="none" w:sz="0" w:space="0" w:color="auto"/>
        <w:left w:val="none" w:sz="0" w:space="0" w:color="auto"/>
        <w:bottom w:val="none" w:sz="0" w:space="0" w:color="auto"/>
        <w:right w:val="none" w:sz="0" w:space="0" w:color="auto"/>
      </w:divBdr>
    </w:div>
    <w:div w:id="1912303039">
      <w:bodyDiv w:val="1"/>
      <w:marLeft w:val="0"/>
      <w:marRight w:val="0"/>
      <w:marTop w:val="0"/>
      <w:marBottom w:val="0"/>
      <w:divBdr>
        <w:top w:val="none" w:sz="0" w:space="0" w:color="auto"/>
        <w:left w:val="none" w:sz="0" w:space="0" w:color="auto"/>
        <w:bottom w:val="none" w:sz="0" w:space="0" w:color="auto"/>
        <w:right w:val="none" w:sz="0" w:space="0" w:color="auto"/>
      </w:divBdr>
    </w:div>
    <w:div w:id="1953394170">
      <w:bodyDiv w:val="1"/>
      <w:marLeft w:val="0"/>
      <w:marRight w:val="0"/>
      <w:marTop w:val="0"/>
      <w:marBottom w:val="0"/>
      <w:divBdr>
        <w:top w:val="none" w:sz="0" w:space="0" w:color="auto"/>
        <w:left w:val="none" w:sz="0" w:space="0" w:color="auto"/>
        <w:bottom w:val="none" w:sz="0" w:space="0" w:color="auto"/>
        <w:right w:val="none" w:sz="0" w:space="0" w:color="auto"/>
      </w:divBdr>
    </w:div>
    <w:div w:id="2032875670">
      <w:bodyDiv w:val="1"/>
      <w:marLeft w:val="0"/>
      <w:marRight w:val="0"/>
      <w:marTop w:val="0"/>
      <w:marBottom w:val="0"/>
      <w:divBdr>
        <w:top w:val="none" w:sz="0" w:space="0" w:color="auto"/>
        <w:left w:val="none" w:sz="0" w:space="0" w:color="auto"/>
        <w:bottom w:val="none" w:sz="0" w:space="0" w:color="auto"/>
        <w:right w:val="none" w:sz="0" w:space="0" w:color="auto"/>
      </w:divBdr>
    </w:div>
    <w:div w:id="2045976951">
      <w:bodyDiv w:val="1"/>
      <w:marLeft w:val="0"/>
      <w:marRight w:val="0"/>
      <w:marTop w:val="0"/>
      <w:marBottom w:val="0"/>
      <w:divBdr>
        <w:top w:val="none" w:sz="0" w:space="0" w:color="auto"/>
        <w:left w:val="none" w:sz="0" w:space="0" w:color="auto"/>
        <w:bottom w:val="none" w:sz="0" w:space="0" w:color="auto"/>
        <w:right w:val="none" w:sz="0" w:space="0" w:color="auto"/>
      </w:divBdr>
    </w:div>
    <w:div w:id="2057582520">
      <w:bodyDiv w:val="1"/>
      <w:marLeft w:val="0"/>
      <w:marRight w:val="0"/>
      <w:marTop w:val="0"/>
      <w:marBottom w:val="0"/>
      <w:divBdr>
        <w:top w:val="none" w:sz="0" w:space="0" w:color="auto"/>
        <w:left w:val="none" w:sz="0" w:space="0" w:color="auto"/>
        <w:bottom w:val="none" w:sz="0" w:space="0" w:color="auto"/>
        <w:right w:val="none" w:sz="0" w:space="0" w:color="auto"/>
      </w:divBdr>
    </w:div>
    <w:div w:id="2075279801">
      <w:bodyDiv w:val="1"/>
      <w:marLeft w:val="0"/>
      <w:marRight w:val="0"/>
      <w:marTop w:val="0"/>
      <w:marBottom w:val="0"/>
      <w:divBdr>
        <w:top w:val="none" w:sz="0" w:space="0" w:color="auto"/>
        <w:left w:val="none" w:sz="0" w:space="0" w:color="auto"/>
        <w:bottom w:val="none" w:sz="0" w:space="0" w:color="auto"/>
        <w:right w:val="none" w:sz="0" w:space="0" w:color="auto"/>
      </w:divBdr>
    </w:div>
    <w:div w:id="2107728752">
      <w:bodyDiv w:val="1"/>
      <w:marLeft w:val="0"/>
      <w:marRight w:val="0"/>
      <w:marTop w:val="0"/>
      <w:marBottom w:val="0"/>
      <w:divBdr>
        <w:top w:val="none" w:sz="0" w:space="0" w:color="auto"/>
        <w:left w:val="none" w:sz="0" w:space="0" w:color="auto"/>
        <w:bottom w:val="none" w:sz="0" w:space="0" w:color="auto"/>
        <w:right w:val="none" w:sz="0" w:space="0" w:color="auto"/>
      </w:divBdr>
    </w:div>
    <w:div w:id="2127920532">
      <w:bodyDiv w:val="1"/>
      <w:marLeft w:val="0"/>
      <w:marRight w:val="0"/>
      <w:marTop w:val="0"/>
      <w:marBottom w:val="0"/>
      <w:divBdr>
        <w:top w:val="none" w:sz="0" w:space="0" w:color="auto"/>
        <w:left w:val="none" w:sz="0" w:space="0" w:color="auto"/>
        <w:bottom w:val="none" w:sz="0" w:space="0" w:color="auto"/>
        <w:right w:val="none" w:sz="0" w:space="0" w:color="auto"/>
      </w:divBdr>
    </w:div>
    <w:div w:id="21339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88C9B-569F-1945-953F-16C36B26D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Pages>
  <Words>2317</Words>
  <Characters>13210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Authors: Giles Roditi, Nadir Khan ………</dc:creator>
  <cp:keywords/>
  <dc:description/>
  <cp:lastModifiedBy>Khan, Nadir</cp:lastModifiedBy>
  <cp:revision>16</cp:revision>
  <dcterms:created xsi:type="dcterms:W3CDTF">2021-05-03T19:21:00Z</dcterms:created>
  <dcterms:modified xsi:type="dcterms:W3CDTF">2022-01-24T12:23:00Z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id="pxZ5EVJ1"/&gt;&lt;style id="http://www.zotero.org/styles/european-radiology" hasBibliography="1" bibliographyStyleHasBeenSet="1"/&gt;&lt;prefs&gt;&lt;pref name="fieldType" value="Field"/&gt;&lt;pref name="automaticJou</vt:lpwstr>
  </property>
  <property fmtid="{D5CDD505-2E9C-101B-9397-08002B2CF9AE}" pid="3" name="ZOTERO_PREF_2">
    <vt:lpwstr>rnalAbbreviations" value="true"/&gt;&lt;pref name="dontAskDelayCitationUpdates" value="true"/&gt;&lt;/prefs&gt;&lt;/data&gt;</vt:lpwstr>
  </property>
</Properties>
</file>