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A9791" w14:textId="77777777" w:rsidR="00F40EBC" w:rsidRPr="00CC1310" w:rsidRDefault="00F40EBC" w:rsidP="00FC13C9">
      <w:pPr>
        <w:spacing w:line="360" w:lineRule="auto"/>
        <w:jc w:val="both"/>
        <w:rPr>
          <w:b/>
          <w:i/>
          <w:u w:val="single"/>
          <w:lang w:val="en-US"/>
        </w:rPr>
      </w:pPr>
      <w:r w:rsidRPr="00CC1310">
        <w:rPr>
          <w:b/>
          <w:i/>
          <w:u w:val="single"/>
          <w:lang w:val="en-US"/>
        </w:rPr>
        <w:t>SUPPLEMENTARY MATERIAL</w:t>
      </w:r>
    </w:p>
    <w:p w14:paraId="3BC56C72" w14:textId="77777777" w:rsidR="00F40EBC" w:rsidRDefault="00F40EBC" w:rsidP="00FC13C9">
      <w:pPr>
        <w:spacing w:line="360" w:lineRule="auto"/>
        <w:jc w:val="both"/>
        <w:rPr>
          <w:b/>
          <w:i/>
          <w:lang w:val="en-US"/>
        </w:rPr>
      </w:pPr>
    </w:p>
    <w:p w14:paraId="1FDE1D65" w14:textId="77777777" w:rsidR="00F40EBC" w:rsidRPr="00467ECA" w:rsidRDefault="00F40EBC" w:rsidP="00FC13C9">
      <w:pPr>
        <w:spacing w:line="360" w:lineRule="auto"/>
        <w:jc w:val="both"/>
        <w:rPr>
          <w:b/>
          <w:i/>
          <w:lang w:val="en-US"/>
        </w:rPr>
      </w:pPr>
      <w:r>
        <w:rPr>
          <w:b/>
          <w:i/>
          <w:lang w:val="en-US"/>
        </w:rPr>
        <w:t>S</w:t>
      </w:r>
      <w:r w:rsidRPr="00467ECA">
        <w:rPr>
          <w:b/>
          <w:i/>
          <w:lang w:val="en-US"/>
        </w:rPr>
        <w:t>earch strategy – string</w:t>
      </w:r>
    </w:p>
    <w:p w14:paraId="271A6636" w14:textId="77777777" w:rsidR="00F40EBC" w:rsidRPr="00467ECA" w:rsidRDefault="00F40EBC" w:rsidP="00FC13C9">
      <w:pPr>
        <w:spacing w:line="360" w:lineRule="auto"/>
        <w:jc w:val="both"/>
        <w:rPr>
          <w:b/>
          <w:i/>
          <w:lang w:val="en-US"/>
        </w:rPr>
      </w:pPr>
      <w:r w:rsidRPr="00467ECA">
        <w:rPr>
          <w:lang w:val="en-US"/>
        </w:rPr>
        <w:t>“((coronary computed tomography) OR (CCTA) OR (CT)) AND ((transcatheter aortic valve implantation) OR (transcatheter aortic valve replacement) OR (TAVI) OR (TAVR)) AND ((coronary artery disease) OR (CAD) OR (coronary stenosis) OR (coronary tree)) NOT (editorial) NOT (review) NOT (letter) NOT (case report) AND ('article' OR 'article in press')”.</w:t>
      </w:r>
    </w:p>
    <w:p w14:paraId="3ACFFA23" w14:textId="77777777" w:rsidR="00F40EBC" w:rsidRPr="00467ECA" w:rsidRDefault="00F40EBC" w:rsidP="00FC13C9">
      <w:pPr>
        <w:spacing w:line="360" w:lineRule="auto"/>
        <w:jc w:val="both"/>
        <w:rPr>
          <w:b/>
          <w:i/>
          <w:lang w:val="en-US"/>
        </w:rPr>
      </w:pPr>
    </w:p>
    <w:p w14:paraId="57BBE65B" w14:textId="77777777" w:rsidR="00507E62" w:rsidRPr="00467ECA" w:rsidRDefault="00507E62" w:rsidP="00507E62">
      <w:pPr>
        <w:spacing w:line="360" w:lineRule="auto"/>
        <w:jc w:val="both"/>
        <w:rPr>
          <w:b/>
          <w:i/>
          <w:lang w:val="en-US"/>
        </w:rPr>
      </w:pPr>
      <w:r w:rsidRPr="00467ECA">
        <w:rPr>
          <w:b/>
          <w:i/>
          <w:lang w:val="en-US"/>
        </w:rPr>
        <w:t xml:space="preserve">Assessment of Study Quality </w:t>
      </w:r>
    </w:p>
    <w:p w14:paraId="5E812280" w14:textId="77777777" w:rsidR="00467ECA" w:rsidRPr="00F27724" w:rsidRDefault="00467ECA" w:rsidP="00467ECA">
      <w:pPr>
        <w:spacing w:line="360" w:lineRule="auto"/>
        <w:jc w:val="both"/>
        <w:rPr>
          <w:lang w:val="en-US"/>
        </w:rPr>
      </w:pPr>
      <w:r w:rsidRPr="00467ECA">
        <w:rPr>
          <w:lang w:val="en-US"/>
        </w:rPr>
        <w:t xml:space="preserve">With regard to the risk of bias in patient selection, </w:t>
      </w:r>
      <w:r w:rsidRPr="00F27724">
        <w:rPr>
          <w:lang w:val="en-US"/>
        </w:rPr>
        <w:t>two</w:t>
      </w:r>
      <w:r w:rsidRPr="00467ECA">
        <w:rPr>
          <w:lang w:val="en-US"/>
        </w:rPr>
        <w:t xml:space="preserve"> stud</w:t>
      </w:r>
      <w:r w:rsidRPr="00F27724">
        <w:rPr>
          <w:lang w:val="en-US"/>
        </w:rPr>
        <w:t>ies</w:t>
      </w:r>
      <w:r w:rsidRPr="00467ECA">
        <w:rPr>
          <w:lang w:val="en-US"/>
        </w:rPr>
        <w:t xml:space="preserve"> </w:t>
      </w:r>
      <w:r w:rsidRPr="00F27724">
        <w:rPr>
          <w:lang w:val="en-US"/>
        </w:rPr>
        <w:t>were</w:t>
      </w:r>
      <w:r w:rsidRPr="00467ECA">
        <w:rPr>
          <w:lang w:val="en-US"/>
        </w:rPr>
        <w:t xml:space="preserve"> rated at high risk because </w:t>
      </w:r>
      <w:r w:rsidRPr="00F27724">
        <w:rPr>
          <w:lang w:val="en-US"/>
        </w:rPr>
        <w:t>one [18]</w:t>
      </w:r>
      <w:r w:rsidRPr="00467ECA">
        <w:rPr>
          <w:lang w:val="en-US"/>
        </w:rPr>
        <w:t xml:space="preserve"> did not report whether the enrolled patients were consecutive or not and </w:t>
      </w:r>
      <w:r w:rsidRPr="00F27724">
        <w:rPr>
          <w:lang w:val="en-US"/>
        </w:rPr>
        <w:t>the other study [19]</w:t>
      </w:r>
      <w:r w:rsidRPr="00467ECA">
        <w:rPr>
          <w:lang w:val="en-US"/>
        </w:rPr>
        <w:t xml:space="preserve"> </w:t>
      </w:r>
      <w:r w:rsidRPr="00F42E81">
        <w:rPr>
          <w:lang w:val="en-US"/>
        </w:rPr>
        <w:t>divided the initial population into two groups</w:t>
      </w:r>
      <w:r w:rsidRPr="00F27724">
        <w:rPr>
          <w:lang w:val="en-US"/>
        </w:rPr>
        <w:t>:</w:t>
      </w:r>
      <w:r w:rsidRPr="00467ECA">
        <w:rPr>
          <w:lang w:val="en-US"/>
        </w:rPr>
        <w:t xml:space="preserve"> </w:t>
      </w:r>
      <w:r w:rsidRPr="00F27724">
        <w:rPr>
          <w:lang w:val="en-US"/>
        </w:rPr>
        <w:t>a)</w:t>
      </w:r>
      <w:r w:rsidRPr="00467ECA">
        <w:rPr>
          <w:lang w:val="en-US"/>
        </w:rPr>
        <w:t xml:space="preserve"> undergoing CCTA and ICA (388 patients included in the meta-analysis) and </w:t>
      </w:r>
      <w:r w:rsidRPr="00F27724">
        <w:rPr>
          <w:lang w:val="en-US"/>
        </w:rPr>
        <w:t>b)</w:t>
      </w:r>
      <w:r w:rsidRPr="00467ECA">
        <w:rPr>
          <w:lang w:val="en-US"/>
        </w:rPr>
        <w:t xml:space="preserve"> undergoing only CCTA (72 patients) on the basis of clinical decision (i.e. negative </w:t>
      </w:r>
      <w:r w:rsidRPr="0057753A">
        <w:rPr>
          <w:lang w:val="en-US"/>
        </w:rPr>
        <w:t xml:space="preserve">CCTA examination). </w:t>
      </w:r>
    </w:p>
    <w:p w14:paraId="1B15627E" w14:textId="77777777" w:rsidR="00467ECA" w:rsidRPr="00467ECA" w:rsidRDefault="00467ECA" w:rsidP="00467ECA">
      <w:pPr>
        <w:spacing w:line="360" w:lineRule="auto"/>
        <w:jc w:val="both"/>
        <w:rPr>
          <w:lang w:val="en-US"/>
        </w:rPr>
      </w:pPr>
      <w:r w:rsidRPr="00467ECA">
        <w:rPr>
          <w:lang w:val="en-US"/>
        </w:rPr>
        <w:t xml:space="preserve">All studies were rated at low risk for the index test, whereas regarding the reference standard two </w:t>
      </w:r>
      <w:r w:rsidRPr="00F27724">
        <w:rPr>
          <w:lang w:val="en-US"/>
        </w:rPr>
        <w:t>[12, 20]</w:t>
      </w:r>
      <w:r w:rsidRPr="00467ECA">
        <w:rPr>
          <w:lang w:val="en-US"/>
        </w:rPr>
        <w:t xml:space="preserve"> were rated as unclear because they did not report whether the quantitative assessment of ICA was blinded to CCTA. </w:t>
      </w:r>
      <w:r w:rsidRPr="00F27724">
        <w:rPr>
          <w:lang w:val="en-US"/>
        </w:rPr>
        <w:t>Considering</w:t>
      </w:r>
      <w:r w:rsidRPr="00467ECA">
        <w:rPr>
          <w:lang w:val="en-US"/>
        </w:rPr>
        <w:t xml:space="preserve"> flow and timing, two studies </w:t>
      </w:r>
      <w:r w:rsidRPr="00F27724">
        <w:rPr>
          <w:lang w:val="en-US"/>
        </w:rPr>
        <w:t>[21, 22]</w:t>
      </w:r>
      <w:r w:rsidRPr="00467ECA">
        <w:rPr>
          <w:lang w:val="en-US"/>
        </w:rPr>
        <w:t xml:space="preserve"> did not report the interval between ICA and CCTA and hence were rated as unclear. With regard to concerns regarding applicability, four studies were rated high </w:t>
      </w:r>
      <w:proofErr w:type="gramStart"/>
      <w:r w:rsidRPr="00467ECA">
        <w:rPr>
          <w:lang w:val="en-US"/>
        </w:rPr>
        <w:t>in patient</w:t>
      </w:r>
      <w:proofErr w:type="gramEnd"/>
      <w:r w:rsidRPr="00467ECA">
        <w:rPr>
          <w:lang w:val="en-US"/>
        </w:rPr>
        <w:t xml:space="preserve"> selection </w:t>
      </w:r>
      <w:r w:rsidRPr="00F27724">
        <w:rPr>
          <w:lang w:val="en-US"/>
        </w:rPr>
        <w:t>[18, 23–25]</w:t>
      </w:r>
      <w:r w:rsidRPr="00467ECA">
        <w:rPr>
          <w:lang w:val="en-US"/>
        </w:rPr>
        <w:t xml:space="preserve"> because in their population there was a very low percentage of patients with CAD (below 20%, even 0% in two of them), while another study </w:t>
      </w:r>
      <w:r w:rsidRPr="00F27724">
        <w:rPr>
          <w:lang w:val="en-US"/>
        </w:rPr>
        <w:t>[21]</w:t>
      </w:r>
      <w:r w:rsidRPr="00467ECA">
        <w:rPr>
          <w:lang w:val="en-US"/>
        </w:rPr>
        <w:t xml:space="preserve"> was rated as unclear because it did not </w:t>
      </w:r>
      <w:r w:rsidRPr="00F27724">
        <w:rPr>
          <w:lang w:val="en-US"/>
        </w:rPr>
        <w:t>mention</w:t>
      </w:r>
      <w:r w:rsidRPr="00467ECA">
        <w:rPr>
          <w:lang w:val="en-US"/>
        </w:rPr>
        <w:t xml:space="preserve"> the number of patients with prior CAD, previous PCI or CABG. The </w:t>
      </w:r>
      <w:proofErr w:type="spellStart"/>
      <w:r w:rsidRPr="00467ECA">
        <w:rPr>
          <w:lang w:val="en-US"/>
        </w:rPr>
        <w:t>Deeks</w:t>
      </w:r>
      <w:proofErr w:type="spellEnd"/>
      <w:r w:rsidRPr="00467ECA">
        <w:rPr>
          <w:lang w:val="en-US"/>
        </w:rPr>
        <w:t>’ funnel plot (</w:t>
      </w:r>
      <w:r w:rsidRPr="00467ECA">
        <w:rPr>
          <w:b/>
          <w:lang w:val="en-US"/>
        </w:rPr>
        <w:t>figure s1</w:t>
      </w:r>
      <w:r w:rsidRPr="00467ECA">
        <w:rPr>
          <w:lang w:val="en-US"/>
        </w:rPr>
        <w:t>) resulted in a p = 0.31, suggesting symmetry in the data and a low likelihood of publication bias. Furthermore, influence analysis revealed that all of the included studies fell below the red-dotted line, and outlier detection analysis revealed no outlier value, indicating that all 14 studies should be included (</w:t>
      </w:r>
      <w:r w:rsidRPr="00467ECA">
        <w:rPr>
          <w:b/>
          <w:lang w:val="en-US"/>
        </w:rPr>
        <w:t>figure s2)</w:t>
      </w:r>
      <w:r w:rsidRPr="00467ECA">
        <w:rPr>
          <w:lang w:val="en-US"/>
        </w:rPr>
        <w:t>.</w:t>
      </w:r>
    </w:p>
    <w:p w14:paraId="1E703505" w14:textId="77777777" w:rsidR="00507E62" w:rsidRPr="00467ECA" w:rsidRDefault="00507E62" w:rsidP="00FC13C9">
      <w:pPr>
        <w:spacing w:line="360" w:lineRule="auto"/>
        <w:jc w:val="both"/>
        <w:rPr>
          <w:b/>
          <w:i/>
          <w:lang w:val="en-US"/>
        </w:rPr>
      </w:pPr>
    </w:p>
    <w:p w14:paraId="51AED1F7" w14:textId="77777777" w:rsidR="005971DE" w:rsidRPr="00467ECA" w:rsidRDefault="005971DE" w:rsidP="005971DE">
      <w:pPr>
        <w:spacing w:line="360" w:lineRule="auto"/>
        <w:jc w:val="both"/>
        <w:rPr>
          <w:b/>
          <w:i/>
          <w:lang w:val="en-US"/>
        </w:rPr>
      </w:pPr>
      <w:r w:rsidRPr="00467ECA">
        <w:rPr>
          <w:b/>
          <w:i/>
          <w:lang w:val="en-US"/>
        </w:rPr>
        <w:t>Diagnostic Accuracy: secondary analysis</w:t>
      </w:r>
    </w:p>
    <w:p w14:paraId="3AB9BFB5" w14:textId="77777777" w:rsidR="005971DE" w:rsidRPr="00467ECA" w:rsidRDefault="005971DE" w:rsidP="005971DE">
      <w:pPr>
        <w:spacing w:line="360" w:lineRule="auto"/>
        <w:jc w:val="both"/>
        <w:rPr>
          <w:lang w:val="en-US"/>
        </w:rPr>
      </w:pPr>
      <w:r w:rsidRPr="00467ECA">
        <w:rPr>
          <w:lang w:val="en-US"/>
        </w:rPr>
        <w:t xml:space="preserve">A total of 794 patients were included in the analysis at the patient-level including only patients with all segments evaluable. In this subgroup, </w:t>
      </w:r>
      <w:r w:rsidRPr="00F27724">
        <w:rPr>
          <w:lang w:val="en-US"/>
        </w:rPr>
        <w:t xml:space="preserve">63.6% of </w:t>
      </w:r>
      <w:r w:rsidRPr="00467ECA">
        <w:rPr>
          <w:lang w:val="en-US"/>
        </w:rPr>
        <w:t xml:space="preserve">patients </w:t>
      </w:r>
      <w:r w:rsidRPr="00F27724">
        <w:rPr>
          <w:lang w:val="en-US"/>
        </w:rPr>
        <w:t xml:space="preserve">were </w:t>
      </w:r>
      <w:r w:rsidRPr="00467ECA">
        <w:rPr>
          <w:lang w:val="en-US"/>
        </w:rPr>
        <w:t xml:space="preserve">included (789 out of 1240). In particular, </w:t>
      </w:r>
      <w:r w:rsidRPr="00F27724">
        <w:rPr>
          <w:lang w:val="en-US"/>
        </w:rPr>
        <w:t xml:space="preserve">0% </w:t>
      </w:r>
      <w:r w:rsidRPr="00467ECA">
        <w:rPr>
          <w:lang w:val="en-US"/>
        </w:rPr>
        <w:t xml:space="preserve">of patients </w:t>
      </w:r>
      <w:r w:rsidRPr="00F27724">
        <w:rPr>
          <w:lang w:val="en-US"/>
        </w:rPr>
        <w:t xml:space="preserve">were </w:t>
      </w:r>
      <w:r w:rsidRPr="00467ECA">
        <w:rPr>
          <w:lang w:val="en-US"/>
        </w:rPr>
        <w:t xml:space="preserve">excluded (0/140) in the study by Rossi et al. </w:t>
      </w:r>
      <w:r w:rsidRPr="00F27724">
        <w:rPr>
          <w:lang w:val="en-US"/>
        </w:rPr>
        <w:t>[23]</w:t>
      </w:r>
      <w:r w:rsidRPr="00467ECA">
        <w:rPr>
          <w:lang w:val="en-US"/>
        </w:rPr>
        <w:t xml:space="preserve">, 13% (8/60) in the study by Pontone et al. </w:t>
      </w:r>
      <w:r w:rsidRPr="00F27724">
        <w:rPr>
          <w:lang w:val="en-US"/>
        </w:rPr>
        <w:t>[26]</w:t>
      </w:r>
      <w:r w:rsidRPr="00467ECA">
        <w:rPr>
          <w:lang w:val="en-US"/>
        </w:rPr>
        <w:t xml:space="preserve">, 20% (62/243) in the study by Andreini et al. </w:t>
      </w:r>
      <w:r w:rsidRPr="00F27724">
        <w:rPr>
          <w:lang w:val="en-US"/>
        </w:rPr>
        <w:t>[27]</w:t>
      </w:r>
      <w:r w:rsidRPr="00467ECA">
        <w:rPr>
          <w:lang w:val="en-US"/>
        </w:rPr>
        <w:t xml:space="preserve">, 22% (13/60) in the study by Matsumoto et al. </w:t>
      </w:r>
      <w:r w:rsidRPr="00F27724">
        <w:rPr>
          <w:lang w:val="en-US"/>
        </w:rPr>
        <w:t>[18]</w:t>
      </w:r>
      <w:r w:rsidRPr="00467ECA">
        <w:rPr>
          <w:lang w:val="en-US"/>
        </w:rPr>
        <w:t xml:space="preserve"> and up to 55% (259/475 and 109/200) in the study by Opolsky et al. </w:t>
      </w:r>
      <w:r w:rsidRPr="00F27724">
        <w:rPr>
          <w:lang w:val="en-US"/>
        </w:rPr>
        <w:t>[28]</w:t>
      </w:r>
      <w:r w:rsidRPr="00467ECA">
        <w:rPr>
          <w:lang w:val="en-US"/>
        </w:rPr>
        <w:t xml:space="preserve"> and Strong et al. </w:t>
      </w:r>
      <w:r w:rsidRPr="00F27724">
        <w:rPr>
          <w:lang w:val="en-US"/>
        </w:rPr>
        <w:t>[24]</w:t>
      </w:r>
      <w:r w:rsidRPr="00467ECA">
        <w:rPr>
          <w:lang w:val="en-US"/>
        </w:rPr>
        <w:t xml:space="preserve">. The pooled sensitivity and specificity for CCTA were 94% (89–97%) and 80% (64–90%) respectively, and the +LR and -LR were 4.6 (2.4–8.8) and 0.08 (0.04–0.14), with a </w:t>
      </w:r>
      <w:r w:rsidRPr="00467ECA">
        <w:rPr>
          <w:lang w:val="en-US"/>
        </w:rPr>
        <w:lastRenderedPageBreak/>
        <w:t xml:space="preserve">DOR of 59 (23–149). The HSROC had an AUC = 0.95 (0.92–0.96). The summary forest plot and HSROC plot are reported in </w:t>
      </w:r>
      <w:r w:rsidRPr="00467ECA">
        <w:rPr>
          <w:b/>
          <w:lang w:val="en-US"/>
        </w:rPr>
        <w:t>Figure s3.</w:t>
      </w:r>
      <w:r w:rsidRPr="00467ECA">
        <w:rPr>
          <w:lang w:val="en-US"/>
        </w:rPr>
        <w:t xml:space="preserve"> </w:t>
      </w:r>
    </w:p>
    <w:p w14:paraId="02FC4778" w14:textId="77777777" w:rsidR="005971DE" w:rsidRPr="00467ECA" w:rsidRDefault="005971DE" w:rsidP="005971DE">
      <w:pPr>
        <w:spacing w:line="360" w:lineRule="auto"/>
        <w:jc w:val="both"/>
        <w:rPr>
          <w:lang w:val="en-US"/>
        </w:rPr>
      </w:pPr>
      <w:r w:rsidRPr="00467ECA">
        <w:rPr>
          <w:lang w:val="en-US"/>
        </w:rPr>
        <w:t xml:space="preserve">A total of 6865 vessels were included in the analysis at the vessel-level. The pooled sensitivity and specificity for CCTA were 92% (88–95%) and 79% (70–86%) respectively, and the +LR and -LR were 4.4 (3.1–6.3) and 0.10 (0.07–0.15), with a DOR of 42 (25-74). The HSROC had an AUC = 0.94 (0.91-0.95). The summary forest plot and HSROC plot are </w:t>
      </w:r>
      <w:r w:rsidRPr="00F27724">
        <w:rPr>
          <w:lang w:val="en-US"/>
        </w:rPr>
        <w:t>illustrated</w:t>
      </w:r>
      <w:r w:rsidRPr="00467ECA">
        <w:rPr>
          <w:lang w:val="en-US"/>
        </w:rPr>
        <w:t xml:space="preserve"> in </w:t>
      </w:r>
      <w:r w:rsidRPr="00467ECA">
        <w:rPr>
          <w:b/>
          <w:lang w:val="en-US"/>
        </w:rPr>
        <w:t>Figure s4.</w:t>
      </w:r>
      <w:r w:rsidRPr="00467ECA">
        <w:rPr>
          <w:lang w:val="en-US"/>
        </w:rPr>
        <w:t xml:space="preserve"> </w:t>
      </w:r>
    </w:p>
    <w:p w14:paraId="234E695D" w14:textId="77777777" w:rsidR="005971DE" w:rsidRPr="00467ECA" w:rsidRDefault="005971DE" w:rsidP="005971DE">
      <w:pPr>
        <w:spacing w:line="360" w:lineRule="auto"/>
        <w:jc w:val="both"/>
        <w:rPr>
          <w:lang w:val="en-US"/>
        </w:rPr>
      </w:pPr>
      <w:r w:rsidRPr="00467ECA">
        <w:rPr>
          <w:iCs/>
          <w:color w:val="000000"/>
          <w:lang w:val="en-US"/>
        </w:rPr>
        <w:t xml:space="preserve">A </w:t>
      </w:r>
      <w:r w:rsidRPr="00467ECA">
        <w:rPr>
          <w:lang w:val="en-US"/>
        </w:rPr>
        <w:t>total of 13525 coronary arter</w:t>
      </w:r>
      <w:r w:rsidRPr="00F27724">
        <w:rPr>
          <w:lang w:val="en-US"/>
        </w:rPr>
        <w:t>y</w:t>
      </w:r>
      <w:r w:rsidRPr="00467ECA">
        <w:rPr>
          <w:lang w:val="en-US"/>
        </w:rPr>
        <w:t xml:space="preserve"> segment</w:t>
      </w:r>
      <w:r w:rsidRPr="00F27724">
        <w:rPr>
          <w:lang w:val="en-US"/>
        </w:rPr>
        <w:t>s</w:t>
      </w:r>
      <w:r w:rsidRPr="00467ECA">
        <w:rPr>
          <w:lang w:val="en-US"/>
        </w:rPr>
        <w:t xml:space="preserve"> were included in the analysis at the segment-level. The pooled sensitivity and specificity for CCTA were 95% (89–98%) and 91% (83–95%) respectively and the +LR and -LR were 10.6 (5.6–20.4) and 0.06 (0.03-0.12), with a DOR of 189 (61–583). The HSROC had an AUC = 0.98 (0.96–0.99). The summary forest plot and HSROC plot are </w:t>
      </w:r>
      <w:r w:rsidRPr="00F27724">
        <w:rPr>
          <w:lang w:val="en-US"/>
        </w:rPr>
        <w:t>shown</w:t>
      </w:r>
      <w:r w:rsidRPr="00467ECA">
        <w:rPr>
          <w:lang w:val="en-US"/>
        </w:rPr>
        <w:t xml:space="preserve"> in </w:t>
      </w:r>
      <w:r w:rsidRPr="00467ECA">
        <w:rPr>
          <w:b/>
          <w:lang w:val="en-US"/>
        </w:rPr>
        <w:t>Figure s5.</w:t>
      </w:r>
      <w:r w:rsidRPr="00467ECA">
        <w:rPr>
          <w:lang w:val="en-US"/>
        </w:rPr>
        <w:t xml:space="preserve"> </w:t>
      </w:r>
    </w:p>
    <w:p w14:paraId="122CD30E" w14:textId="77777777" w:rsidR="005971DE" w:rsidRPr="00467ECA" w:rsidRDefault="005971DE" w:rsidP="005971DE">
      <w:pPr>
        <w:spacing w:line="360" w:lineRule="auto"/>
        <w:jc w:val="both"/>
        <w:rPr>
          <w:lang w:val="en-US"/>
        </w:rPr>
      </w:pPr>
      <w:r w:rsidRPr="00F27724">
        <w:rPr>
          <w:lang w:val="en-US"/>
        </w:rPr>
        <w:t>Comparison between</w:t>
      </w:r>
      <w:r w:rsidRPr="00467ECA">
        <w:rPr>
          <w:lang w:val="en-US"/>
        </w:rPr>
        <w:t xml:space="preserve"> the diagnostic performance of CCTA in proximal </w:t>
      </w:r>
      <w:r w:rsidRPr="00F27724">
        <w:rPr>
          <w:lang w:val="en-US"/>
        </w:rPr>
        <w:t>and</w:t>
      </w:r>
      <w:r w:rsidRPr="00467ECA">
        <w:rPr>
          <w:lang w:val="en-US"/>
        </w:rPr>
        <w:t xml:space="preserve"> distal coronary arter</w:t>
      </w:r>
      <w:r w:rsidRPr="00F27724">
        <w:rPr>
          <w:lang w:val="en-US"/>
        </w:rPr>
        <w:t>y</w:t>
      </w:r>
      <w:r w:rsidRPr="00467ECA">
        <w:rPr>
          <w:lang w:val="en-US"/>
        </w:rPr>
        <w:t xml:space="preserve"> segments</w:t>
      </w:r>
      <w:r w:rsidRPr="00F27724">
        <w:rPr>
          <w:lang w:val="en-US"/>
        </w:rPr>
        <w:t xml:space="preserve"> was not possible</w:t>
      </w:r>
      <w:r w:rsidRPr="00467ECA">
        <w:rPr>
          <w:lang w:val="en-US"/>
        </w:rPr>
        <w:t xml:space="preserve">. Only one paper </w:t>
      </w:r>
      <w:r w:rsidRPr="00F27724">
        <w:rPr>
          <w:lang w:val="en-US"/>
        </w:rPr>
        <w:t>[27]</w:t>
      </w:r>
      <w:r w:rsidRPr="00467ECA">
        <w:rPr>
          <w:lang w:val="en-US"/>
        </w:rPr>
        <w:t xml:space="preserve"> </w:t>
      </w:r>
      <w:r w:rsidRPr="00F27724">
        <w:rPr>
          <w:lang w:val="en-US"/>
        </w:rPr>
        <w:t>showed</w:t>
      </w:r>
      <w:r w:rsidRPr="00467ECA">
        <w:rPr>
          <w:lang w:val="en-US"/>
        </w:rPr>
        <w:t xml:space="preserve"> such </w:t>
      </w:r>
      <w:r w:rsidRPr="00F27724">
        <w:rPr>
          <w:lang w:val="en-US"/>
        </w:rPr>
        <w:t xml:space="preserve">an </w:t>
      </w:r>
      <w:r w:rsidRPr="00467ECA">
        <w:rPr>
          <w:lang w:val="en-US"/>
        </w:rPr>
        <w:t>analysis (excluding non-assessable segments in the analysis) in proximal vs. distal segments</w:t>
      </w:r>
      <w:r w:rsidRPr="00F27724">
        <w:rPr>
          <w:lang w:val="en-US"/>
        </w:rPr>
        <w:t xml:space="preserve">: </w:t>
      </w:r>
      <w:r w:rsidRPr="00467ECA">
        <w:rPr>
          <w:lang w:val="en-US"/>
        </w:rPr>
        <w:t>sensitivity of 94.7% (86.9-98.5%) vs. 88.5% (81.1-93.7%), p = 0.20 and specificity of 98.6% (97.7-99.2%) vs. 99.4 (99.1-99.7%)</w:t>
      </w:r>
      <w:r w:rsidRPr="00F27724">
        <w:rPr>
          <w:lang w:val="en-US"/>
        </w:rPr>
        <w:t>,</w:t>
      </w:r>
      <w:r w:rsidRPr="00467ECA">
        <w:rPr>
          <w:lang w:val="en-US"/>
        </w:rPr>
        <w:t xml:space="preserve"> p = 0.01; PPV of 81.6% (73.1-87.9) vs. 84.8% (77.7-89.9), p = 0.57 and NPV of 99.7% (99.1-99.9) vs. 99.6% (99.3.99.8), p &gt; 0.99.</w:t>
      </w:r>
    </w:p>
    <w:p w14:paraId="5CA98864" w14:textId="77777777" w:rsidR="00F40EBC" w:rsidRDefault="005971DE" w:rsidP="005971DE">
      <w:pPr>
        <w:spacing w:line="360" w:lineRule="auto"/>
        <w:jc w:val="both"/>
        <w:rPr>
          <w:lang w:val="en-US"/>
        </w:rPr>
      </w:pPr>
      <w:r w:rsidRPr="00467ECA">
        <w:rPr>
          <w:lang w:val="en-US"/>
        </w:rPr>
        <w:t>A total of 791 CABG were sub-analyzed. The pooled sensitivity and specificity for CCTA were 96% (92–98%) and 99% (93–100%) respectively, and the +LR and -LR were 69.0 (13.5–352.8) and 0.04 (0.02–0.08) with a DOR of 1735 (287–10490). A total of 62 stented segment</w:t>
      </w:r>
      <w:r w:rsidRPr="00F27724">
        <w:rPr>
          <w:lang w:val="en-US"/>
        </w:rPr>
        <w:t>s</w:t>
      </w:r>
      <w:r w:rsidRPr="00467ECA">
        <w:rPr>
          <w:lang w:val="en-US"/>
        </w:rPr>
        <w:t xml:space="preserve"> were sub-analyzed. </w:t>
      </w:r>
      <w:r w:rsidRPr="00F27724">
        <w:rPr>
          <w:lang w:val="en-US"/>
        </w:rPr>
        <w:t>P</w:t>
      </w:r>
      <w:r w:rsidRPr="00467ECA">
        <w:rPr>
          <w:lang w:val="en-US"/>
        </w:rPr>
        <w:t>ooled sensitivity and specificity for CCTA were 92% (64–99%) and 82% (68–91%) respectively and the +LR and -LR were 5.03 (2.73–9.26) and 0.09 (0.01–0.62).</w:t>
      </w:r>
    </w:p>
    <w:p w14:paraId="6EE24907" w14:textId="77777777" w:rsidR="00F40EBC" w:rsidRDefault="00F40EBC" w:rsidP="00FC13C9">
      <w:pPr>
        <w:spacing w:line="360" w:lineRule="auto"/>
        <w:jc w:val="both"/>
        <w:rPr>
          <w:b/>
          <w:lang w:val="en-US"/>
        </w:rPr>
      </w:pPr>
      <w:r>
        <w:rPr>
          <w:b/>
          <w:lang w:val="en-US"/>
        </w:rPr>
        <w:br w:type="page"/>
      </w:r>
    </w:p>
    <w:p w14:paraId="7A18968A" w14:textId="77777777" w:rsidR="00F40EBC" w:rsidRPr="00F40EBC" w:rsidRDefault="00F40EBC" w:rsidP="00FC13C9">
      <w:pPr>
        <w:spacing w:line="360" w:lineRule="auto"/>
        <w:jc w:val="both"/>
        <w:rPr>
          <w:b/>
          <w:lang w:val="en-US"/>
        </w:rPr>
      </w:pPr>
      <w:r w:rsidRPr="00F40EBC">
        <w:rPr>
          <w:b/>
          <w:lang w:val="en-US"/>
        </w:rPr>
        <w:lastRenderedPageBreak/>
        <w:t>FIGURE LEGENDS</w:t>
      </w:r>
    </w:p>
    <w:p w14:paraId="1C5415DC" w14:textId="1B24FE86" w:rsidR="00F40EBC" w:rsidRDefault="00F40EBC" w:rsidP="00FC13C9">
      <w:pPr>
        <w:spacing w:line="360" w:lineRule="auto"/>
        <w:jc w:val="both"/>
        <w:rPr>
          <w:lang w:val="en-US"/>
        </w:rPr>
      </w:pPr>
      <w:r w:rsidRPr="00295CDB">
        <w:rPr>
          <w:b/>
          <w:lang w:val="en-US"/>
        </w:rPr>
        <w:t xml:space="preserve">Figure </w:t>
      </w:r>
      <w:r>
        <w:rPr>
          <w:b/>
          <w:lang w:val="en-US"/>
        </w:rPr>
        <w:t>s</w:t>
      </w:r>
      <w:r w:rsidR="007059AD">
        <w:rPr>
          <w:b/>
          <w:lang w:val="en-US"/>
        </w:rPr>
        <w:t>1</w:t>
      </w:r>
      <w:r w:rsidRPr="00295CDB">
        <w:rPr>
          <w:lang w:val="en-US"/>
        </w:rPr>
        <w:t xml:space="preserve">. </w:t>
      </w:r>
      <w:proofErr w:type="spellStart"/>
      <w:r w:rsidRPr="00295CDB">
        <w:rPr>
          <w:lang w:val="en-US"/>
        </w:rPr>
        <w:t>Deeks</w:t>
      </w:r>
      <w:proofErr w:type="spellEnd"/>
      <w:r w:rsidRPr="00295CDB">
        <w:rPr>
          <w:lang w:val="en-US"/>
        </w:rPr>
        <w:t>’ funnel plot</w:t>
      </w:r>
      <w:r w:rsidR="004A451B">
        <w:rPr>
          <w:lang w:val="en-US"/>
        </w:rPr>
        <w:t xml:space="preserve"> with superimposed regression line. </w:t>
      </w:r>
      <w:r w:rsidR="004A451B" w:rsidRPr="004A451B">
        <w:rPr>
          <w:lang w:val="en-US"/>
        </w:rPr>
        <w:t>The inverse of the square root of the effective sample size is displayed on the vertical axis. The diagnostic odds ratio is shown on the horizontal axis. p=0.31 reflects a symmetrical funnel shape and the absence of publication bias.</w:t>
      </w:r>
    </w:p>
    <w:p w14:paraId="7545192B" w14:textId="76E37330" w:rsidR="00AF34F3" w:rsidRDefault="00AF34F3" w:rsidP="00FC13C9">
      <w:pPr>
        <w:spacing w:line="360" w:lineRule="auto"/>
        <w:jc w:val="both"/>
        <w:rPr>
          <w:lang w:val="en-US"/>
        </w:rPr>
      </w:pPr>
    </w:p>
    <w:p w14:paraId="0EC70049" w14:textId="1ED13B5F" w:rsidR="00AF34F3" w:rsidRDefault="00AF34F3" w:rsidP="00FC13C9">
      <w:pPr>
        <w:spacing w:line="360" w:lineRule="auto"/>
        <w:jc w:val="both"/>
        <w:rPr>
          <w:lang w:val="en-US"/>
        </w:rPr>
      </w:pPr>
      <w:r>
        <w:rPr>
          <w:noProof/>
          <w:lang w:val="en-US"/>
        </w:rPr>
        <w:drawing>
          <wp:inline distT="0" distB="0" distL="0" distR="0" wp14:anchorId="656EACAE" wp14:editId="2D6F3857">
            <wp:extent cx="5000625" cy="3648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00625" cy="3648075"/>
                    </a:xfrm>
                    <a:prstGeom prst="rect">
                      <a:avLst/>
                    </a:prstGeom>
                    <a:noFill/>
                    <a:ln>
                      <a:noFill/>
                    </a:ln>
                  </pic:spPr>
                </pic:pic>
              </a:graphicData>
            </a:graphic>
          </wp:inline>
        </w:drawing>
      </w:r>
    </w:p>
    <w:p w14:paraId="7C0BEA5B" w14:textId="77777777" w:rsidR="00AF34F3" w:rsidRPr="00344AAB" w:rsidRDefault="00AF34F3" w:rsidP="00FC13C9">
      <w:pPr>
        <w:spacing w:line="360" w:lineRule="auto"/>
        <w:jc w:val="both"/>
        <w:rPr>
          <w:b/>
          <w:lang w:val="en-US"/>
        </w:rPr>
      </w:pPr>
    </w:p>
    <w:p w14:paraId="50D68BBE" w14:textId="77777777" w:rsidR="00AF34F3" w:rsidRDefault="00AF34F3">
      <w:pPr>
        <w:rPr>
          <w:b/>
          <w:lang w:val="en-US"/>
        </w:rPr>
      </w:pPr>
      <w:r>
        <w:rPr>
          <w:b/>
          <w:lang w:val="en-US"/>
        </w:rPr>
        <w:br w:type="page"/>
      </w:r>
    </w:p>
    <w:p w14:paraId="60D757C9" w14:textId="37EB16CD" w:rsidR="00F40EBC" w:rsidRDefault="00F40EBC" w:rsidP="00FC13C9">
      <w:pPr>
        <w:spacing w:line="360" w:lineRule="auto"/>
        <w:jc w:val="both"/>
        <w:rPr>
          <w:lang w:val="en-US"/>
        </w:rPr>
      </w:pPr>
      <w:r w:rsidRPr="00C56279">
        <w:rPr>
          <w:b/>
          <w:lang w:val="en-US"/>
        </w:rPr>
        <w:lastRenderedPageBreak/>
        <w:t>Figure s</w:t>
      </w:r>
      <w:r w:rsidR="007059AD">
        <w:rPr>
          <w:b/>
          <w:lang w:val="en-US"/>
        </w:rPr>
        <w:t>2</w:t>
      </w:r>
      <w:r>
        <w:rPr>
          <w:lang w:val="en-US"/>
        </w:rPr>
        <w:t xml:space="preserve">. </w:t>
      </w:r>
      <w:r w:rsidR="002C0D04" w:rsidRPr="002C0D04">
        <w:rPr>
          <w:lang w:val="en-US"/>
        </w:rPr>
        <w:t xml:space="preserve">Composite graphic of model diagnostic: quantile plot of residual based goodness-of fit (panel a); Chi-squared probability plot of squared </w:t>
      </w:r>
      <w:proofErr w:type="spellStart"/>
      <w:r w:rsidR="002C0D04" w:rsidRPr="002C0D04">
        <w:rPr>
          <w:lang w:val="en-US"/>
        </w:rPr>
        <w:t>Mahalanobis</w:t>
      </w:r>
      <w:proofErr w:type="spellEnd"/>
      <w:r w:rsidR="002C0D04" w:rsidRPr="002C0D04">
        <w:rPr>
          <w:lang w:val="en-US"/>
        </w:rPr>
        <w:t xml:space="preserve"> distances for assessment of the bivariate normality assumption (panel b); </w:t>
      </w:r>
      <w:proofErr w:type="spellStart"/>
      <w:r w:rsidR="002C0D04" w:rsidRPr="002C0D04">
        <w:rPr>
          <w:lang w:val="en-US"/>
        </w:rPr>
        <w:t>spikeplot</w:t>
      </w:r>
      <w:proofErr w:type="spellEnd"/>
      <w:r w:rsidR="002C0D04" w:rsidRPr="002C0D04">
        <w:rPr>
          <w:lang w:val="en-US"/>
        </w:rPr>
        <w:t xml:space="preserve"> for checking for particularly influential observations using Cook’s distance (panel c) and a scatter plot for checking for outliers using standardized predicted random effects (panel d).</w:t>
      </w:r>
    </w:p>
    <w:p w14:paraId="26C6F97E" w14:textId="3A5E24A0" w:rsidR="00AF34F3" w:rsidRDefault="00AF34F3" w:rsidP="00FC13C9">
      <w:pPr>
        <w:spacing w:line="360" w:lineRule="auto"/>
        <w:jc w:val="both"/>
        <w:rPr>
          <w:lang w:val="en-US"/>
        </w:rPr>
      </w:pPr>
    </w:p>
    <w:p w14:paraId="48AFDD66" w14:textId="6963E23C" w:rsidR="00AF34F3" w:rsidRDefault="00AF34F3" w:rsidP="00FC13C9">
      <w:pPr>
        <w:spacing w:line="360" w:lineRule="auto"/>
        <w:jc w:val="both"/>
        <w:rPr>
          <w:lang w:val="en-US"/>
        </w:rPr>
      </w:pPr>
      <w:r>
        <w:rPr>
          <w:noProof/>
          <w:lang w:val="en-US"/>
        </w:rPr>
        <w:drawing>
          <wp:inline distT="0" distB="0" distL="0" distR="0" wp14:anchorId="3A0E7166" wp14:editId="556D9E6F">
            <wp:extent cx="611505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4457700"/>
                    </a:xfrm>
                    <a:prstGeom prst="rect">
                      <a:avLst/>
                    </a:prstGeom>
                    <a:noFill/>
                    <a:ln>
                      <a:noFill/>
                    </a:ln>
                  </pic:spPr>
                </pic:pic>
              </a:graphicData>
            </a:graphic>
          </wp:inline>
        </w:drawing>
      </w:r>
    </w:p>
    <w:p w14:paraId="2BBFB05C" w14:textId="77777777" w:rsidR="00AF34F3" w:rsidRDefault="00AF34F3">
      <w:pPr>
        <w:rPr>
          <w:b/>
          <w:lang w:val="en-US"/>
        </w:rPr>
      </w:pPr>
      <w:r>
        <w:rPr>
          <w:b/>
          <w:lang w:val="en-US"/>
        </w:rPr>
        <w:br w:type="page"/>
      </w:r>
    </w:p>
    <w:p w14:paraId="404FA312" w14:textId="73DD70CB" w:rsidR="00F40EBC" w:rsidRDefault="00F40EBC" w:rsidP="00FC13C9">
      <w:pPr>
        <w:spacing w:line="360" w:lineRule="auto"/>
        <w:jc w:val="both"/>
        <w:rPr>
          <w:lang w:val="en-US"/>
        </w:rPr>
      </w:pPr>
      <w:r w:rsidRPr="00C56279">
        <w:rPr>
          <w:b/>
          <w:lang w:val="en-US"/>
        </w:rPr>
        <w:lastRenderedPageBreak/>
        <w:t>Figure s</w:t>
      </w:r>
      <w:r w:rsidR="007059AD">
        <w:rPr>
          <w:b/>
          <w:lang w:val="en-US"/>
        </w:rPr>
        <w:t>3</w:t>
      </w:r>
      <w:r>
        <w:rPr>
          <w:b/>
          <w:lang w:val="en-US"/>
        </w:rPr>
        <w:t xml:space="preserve">. </w:t>
      </w:r>
      <w:r w:rsidRPr="00295CDB">
        <w:rPr>
          <w:lang w:val="en-US"/>
        </w:rPr>
        <w:t>Summary forest plot and HSROC plot</w:t>
      </w:r>
      <w:r>
        <w:rPr>
          <w:lang w:val="en-US"/>
        </w:rPr>
        <w:t xml:space="preserve"> at a</w:t>
      </w:r>
      <w:r w:rsidRPr="00F40EBC">
        <w:rPr>
          <w:lang w:val="en-US"/>
        </w:rPr>
        <w:t xml:space="preserve"> </w:t>
      </w:r>
      <w:r w:rsidRPr="00EE22C6">
        <w:rPr>
          <w:lang w:val="en-US"/>
        </w:rPr>
        <w:t>patient</w:t>
      </w:r>
      <w:r>
        <w:rPr>
          <w:lang w:val="en-US"/>
        </w:rPr>
        <w:t>-</w:t>
      </w:r>
      <w:r w:rsidRPr="00EE22C6">
        <w:rPr>
          <w:lang w:val="en-US"/>
        </w:rPr>
        <w:t>level including only patients with all segments evaluable.</w:t>
      </w:r>
    </w:p>
    <w:p w14:paraId="113CFE81" w14:textId="6BFC5DEC" w:rsidR="00AF34F3" w:rsidRDefault="00AF34F3" w:rsidP="00FC13C9">
      <w:pPr>
        <w:spacing w:line="360" w:lineRule="auto"/>
        <w:jc w:val="both"/>
        <w:rPr>
          <w:lang w:val="en-US"/>
        </w:rPr>
      </w:pPr>
    </w:p>
    <w:p w14:paraId="4BAC1661" w14:textId="49D462CE" w:rsidR="00AF34F3" w:rsidRDefault="00AF34F3" w:rsidP="00FC13C9">
      <w:pPr>
        <w:spacing w:line="360" w:lineRule="auto"/>
        <w:jc w:val="both"/>
        <w:rPr>
          <w:b/>
          <w:lang w:val="en-US"/>
        </w:rPr>
      </w:pPr>
      <w:r>
        <w:rPr>
          <w:noProof/>
          <w:lang w:val="en-US"/>
        </w:rPr>
        <w:drawing>
          <wp:inline distT="0" distB="0" distL="0" distR="0" wp14:anchorId="4F495C7E" wp14:editId="6E18D5F1">
            <wp:extent cx="6115050" cy="2562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2562225"/>
                    </a:xfrm>
                    <a:prstGeom prst="rect">
                      <a:avLst/>
                    </a:prstGeom>
                    <a:noFill/>
                    <a:ln>
                      <a:noFill/>
                    </a:ln>
                  </pic:spPr>
                </pic:pic>
              </a:graphicData>
            </a:graphic>
          </wp:inline>
        </w:drawing>
      </w:r>
    </w:p>
    <w:p w14:paraId="4A2FB657" w14:textId="73DF542C" w:rsidR="00F40EBC" w:rsidRDefault="00F40EBC" w:rsidP="00FC13C9">
      <w:pPr>
        <w:spacing w:line="360" w:lineRule="auto"/>
        <w:jc w:val="both"/>
        <w:rPr>
          <w:lang w:val="en-US"/>
        </w:rPr>
      </w:pPr>
      <w:r w:rsidRPr="00C56279">
        <w:rPr>
          <w:b/>
          <w:lang w:val="en-US"/>
        </w:rPr>
        <w:t>Figure s</w:t>
      </w:r>
      <w:r w:rsidR="007059AD">
        <w:rPr>
          <w:b/>
          <w:lang w:val="en-US"/>
        </w:rPr>
        <w:t>4</w:t>
      </w:r>
      <w:r>
        <w:rPr>
          <w:b/>
          <w:lang w:val="en-US"/>
        </w:rPr>
        <w:t xml:space="preserve">. </w:t>
      </w:r>
      <w:r w:rsidRPr="00295CDB">
        <w:rPr>
          <w:lang w:val="en-US"/>
        </w:rPr>
        <w:t>Summary forest plot and HSROC plot</w:t>
      </w:r>
      <w:r>
        <w:rPr>
          <w:lang w:val="en-US"/>
        </w:rPr>
        <w:t xml:space="preserve"> </w:t>
      </w:r>
      <w:r w:rsidRPr="00EE22C6">
        <w:rPr>
          <w:lang w:val="en-US"/>
        </w:rPr>
        <w:t>at the vessel</w:t>
      </w:r>
      <w:r>
        <w:rPr>
          <w:lang w:val="en-US"/>
        </w:rPr>
        <w:t>-</w:t>
      </w:r>
      <w:r w:rsidRPr="00EE22C6">
        <w:rPr>
          <w:lang w:val="en-US"/>
        </w:rPr>
        <w:t>leve</w:t>
      </w:r>
      <w:r>
        <w:rPr>
          <w:lang w:val="en-US"/>
        </w:rPr>
        <w:t>l.</w:t>
      </w:r>
    </w:p>
    <w:p w14:paraId="59AD05EF" w14:textId="5DC975AB" w:rsidR="00AF34F3" w:rsidRDefault="00AF34F3" w:rsidP="00FC13C9">
      <w:pPr>
        <w:spacing w:line="360" w:lineRule="auto"/>
        <w:jc w:val="both"/>
        <w:rPr>
          <w:lang w:val="en-US"/>
        </w:rPr>
      </w:pPr>
    </w:p>
    <w:p w14:paraId="14B404C7" w14:textId="6CEC0463" w:rsidR="00AF34F3" w:rsidRDefault="00AF34F3" w:rsidP="00FC13C9">
      <w:pPr>
        <w:spacing w:line="360" w:lineRule="auto"/>
        <w:jc w:val="both"/>
        <w:rPr>
          <w:b/>
          <w:lang w:val="en-US"/>
        </w:rPr>
      </w:pPr>
      <w:r>
        <w:rPr>
          <w:noProof/>
          <w:lang w:val="en-US"/>
        </w:rPr>
        <w:drawing>
          <wp:inline distT="0" distB="0" distL="0" distR="0" wp14:anchorId="3F4B60F3" wp14:editId="181807B2">
            <wp:extent cx="6115050" cy="2571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2571750"/>
                    </a:xfrm>
                    <a:prstGeom prst="rect">
                      <a:avLst/>
                    </a:prstGeom>
                    <a:noFill/>
                    <a:ln>
                      <a:noFill/>
                    </a:ln>
                  </pic:spPr>
                </pic:pic>
              </a:graphicData>
            </a:graphic>
          </wp:inline>
        </w:drawing>
      </w:r>
    </w:p>
    <w:p w14:paraId="5637255E" w14:textId="77777777" w:rsidR="00AF34F3" w:rsidRDefault="00AF34F3">
      <w:pPr>
        <w:rPr>
          <w:b/>
          <w:lang w:val="en-US"/>
        </w:rPr>
      </w:pPr>
      <w:r>
        <w:rPr>
          <w:b/>
          <w:lang w:val="en-US"/>
        </w:rPr>
        <w:br w:type="page"/>
      </w:r>
    </w:p>
    <w:p w14:paraId="2373086A" w14:textId="0FE66682" w:rsidR="00F40EBC" w:rsidRDefault="00F40EBC" w:rsidP="00FC13C9">
      <w:pPr>
        <w:spacing w:line="360" w:lineRule="auto"/>
        <w:jc w:val="both"/>
        <w:rPr>
          <w:b/>
          <w:lang w:val="en-US"/>
        </w:rPr>
      </w:pPr>
      <w:r w:rsidRPr="00C56279">
        <w:rPr>
          <w:b/>
          <w:lang w:val="en-US"/>
        </w:rPr>
        <w:lastRenderedPageBreak/>
        <w:t>Figure s</w:t>
      </w:r>
      <w:r w:rsidR="007059AD">
        <w:rPr>
          <w:b/>
          <w:lang w:val="en-US"/>
        </w:rPr>
        <w:t>5</w:t>
      </w:r>
      <w:r>
        <w:rPr>
          <w:b/>
          <w:lang w:val="en-US"/>
        </w:rPr>
        <w:t xml:space="preserve">. </w:t>
      </w:r>
      <w:r w:rsidRPr="00295CDB">
        <w:rPr>
          <w:lang w:val="en-US"/>
        </w:rPr>
        <w:t>Summary forest plot and HSROC plot</w:t>
      </w:r>
      <w:r w:rsidRPr="00F40EBC">
        <w:rPr>
          <w:lang w:val="en-US"/>
        </w:rPr>
        <w:t xml:space="preserve"> </w:t>
      </w:r>
      <w:r>
        <w:rPr>
          <w:lang w:val="en-US"/>
        </w:rPr>
        <w:t>a</w:t>
      </w:r>
      <w:r w:rsidRPr="00AC7154">
        <w:rPr>
          <w:lang w:val="en-US"/>
        </w:rPr>
        <w:t xml:space="preserve">t </w:t>
      </w:r>
      <w:r>
        <w:rPr>
          <w:lang w:val="en-US"/>
        </w:rPr>
        <w:t>the</w:t>
      </w:r>
      <w:r w:rsidRPr="00AC7154">
        <w:rPr>
          <w:lang w:val="en-US"/>
        </w:rPr>
        <w:t xml:space="preserve"> segment-level</w:t>
      </w:r>
      <w:r>
        <w:rPr>
          <w:lang w:val="en-US"/>
        </w:rPr>
        <w:t>.</w:t>
      </w:r>
    </w:p>
    <w:p w14:paraId="0F169810" w14:textId="77777777" w:rsidR="00F40EBC" w:rsidRPr="00F40EBC" w:rsidRDefault="00F40EBC" w:rsidP="00FC13C9">
      <w:pPr>
        <w:spacing w:line="360" w:lineRule="auto"/>
        <w:jc w:val="both"/>
        <w:rPr>
          <w:lang w:val="en-US"/>
        </w:rPr>
      </w:pPr>
    </w:p>
    <w:p w14:paraId="70D45136" w14:textId="3C8E7959" w:rsidR="00F40EBC" w:rsidRDefault="00AF34F3" w:rsidP="00FC13C9">
      <w:pPr>
        <w:spacing w:line="360" w:lineRule="auto"/>
        <w:jc w:val="both"/>
        <w:rPr>
          <w:lang w:val="en-US"/>
        </w:rPr>
      </w:pPr>
      <w:r>
        <w:rPr>
          <w:b/>
          <w:noProof/>
          <w:lang w:val="en-US"/>
        </w:rPr>
        <w:drawing>
          <wp:inline distT="0" distB="0" distL="0" distR="0" wp14:anchorId="40D2210D" wp14:editId="45311A4F">
            <wp:extent cx="6105525" cy="2543175"/>
            <wp:effectExtent l="0" t="0" r="9525" b="9525"/>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5525" cy="2543175"/>
                    </a:xfrm>
                    <a:prstGeom prst="rect">
                      <a:avLst/>
                    </a:prstGeom>
                    <a:noFill/>
                    <a:ln>
                      <a:noFill/>
                    </a:ln>
                  </pic:spPr>
                </pic:pic>
              </a:graphicData>
            </a:graphic>
          </wp:inline>
        </w:drawing>
      </w:r>
    </w:p>
    <w:p w14:paraId="1C3C75B0" w14:textId="77777777" w:rsidR="00F30239" w:rsidRPr="00F40EBC" w:rsidRDefault="00F30239" w:rsidP="00FC13C9">
      <w:pPr>
        <w:spacing w:line="360" w:lineRule="auto"/>
        <w:jc w:val="both"/>
        <w:rPr>
          <w:lang w:val="en-US"/>
        </w:rPr>
      </w:pPr>
    </w:p>
    <w:sectPr w:rsidR="00F30239" w:rsidRPr="00F40EBC" w:rsidSect="007B7DD3">
      <w:footerReference w:type="even" r:id="rId11"/>
      <w:footerReference w:type="default" r:id="rId12"/>
      <w:pgSz w:w="11900" w:h="1682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1DF60" w14:textId="77777777" w:rsidR="00EE7458" w:rsidRDefault="00EE7458" w:rsidP="00EF0248">
      <w:r>
        <w:separator/>
      </w:r>
    </w:p>
  </w:endnote>
  <w:endnote w:type="continuationSeparator" w:id="0">
    <w:p w14:paraId="370D00F8" w14:textId="77777777" w:rsidR="00EE7458" w:rsidRDefault="00EE7458" w:rsidP="00EF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FC3B8" w14:textId="25673146" w:rsidR="00AF34F3" w:rsidRDefault="00AF34F3">
    <w:pPr>
      <w:pStyle w:val="Footer"/>
    </w:pPr>
    <w:r>
      <w:t xml:space="preserve">Eur </w:t>
    </w:r>
    <w:proofErr w:type="spellStart"/>
    <w:r>
      <w:t>Radiol</w:t>
    </w:r>
    <w:proofErr w:type="spellEnd"/>
    <w:r>
      <w:t xml:space="preserve"> (2022) Gatti M, Gallone G, Poggi V et al</w:t>
    </w:r>
  </w:p>
  <w:p w14:paraId="2A940B81" w14:textId="77777777" w:rsidR="00EF0248" w:rsidRDefault="00EF0248" w:rsidP="00EF0248">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1032831"/>
      <w:docPartObj>
        <w:docPartGallery w:val="Page Numbers (Bottom of Page)"/>
        <w:docPartUnique/>
      </w:docPartObj>
    </w:sdtPr>
    <w:sdtEndPr>
      <w:rPr>
        <w:rStyle w:val="PageNumber"/>
      </w:rPr>
    </w:sdtEndPr>
    <w:sdtContent>
      <w:p w14:paraId="67EE1FB9" w14:textId="6804CAD8" w:rsidR="00EF0248" w:rsidRDefault="00EF0248" w:rsidP="00990ED0">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47EA23" w14:textId="77777777" w:rsidR="00EF0248" w:rsidRDefault="00EF0248" w:rsidP="00EF0248">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06E05" w14:textId="77777777" w:rsidR="00EE7458" w:rsidRDefault="00EE7458" w:rsidP="00EF0248">
      <w:r>
        <w:separator/>
      </w:r>
    </w:p>
  </w:footnote>
  <w:footnote w:type="continuationSeparator" w:id="0">
    <w:p w14:paraId="67D6B578" w14:textId="77777777" w:rsidR="00EE7458" w:rsidRDefault="00EE7458" w:rsidP="00EF0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proofState w:spelling="clean" w:grammar="clean"/>
  <w:defaultTabStop w:val="708"/>
  <w:hyphenationZone w:val="283"/>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BC"/>
    <w:rsid w:val="002C0D04"/>
    <w:rsid w:val="00426176"/>
    <w:rsid w:val="00466B36"/>
    <w:rsid w:val="00467ECA"/>
    <w:rsid w:val="00476A10"/>
    <w:rsid w:val="004A451B"/>
    <w:rsid w:val="004B337B"/>
    <w:rsid w:val="004C15DD"/>
    <w:rsid w:val="00507E62"/>
    <w:rsid w:val="0057753A"/>
    <w:rsid w:val="005971DE"/>
    <w:rsid w:val="005B48B8"/>
    <w:rsid w:val="005B52DB"/>
    <w:rsid w:val="00611F5E"/>
    <w:rsid w:val="0062646F"/>
    <w:rsid w:val="007059AD"/>
    <w:rsid w:val="007B7DD3"/>
    <w:rsid w:val="0092242D"/>
    <w:rsid w:val="00A200D2"/>
    <w:rsid w:val="00AF34F3"/>
    <w:rsid w:val="00B2216A"/>
    <w:rsid w:val="00CE3D67"/>
    <w:rsid w:val="00CE673D"/>
    <w:rsid w:val="00D40F8D"/>
    <w:rsid w:val="00DB12CB"/>
    <w:rsid w:val="00E15275"/>
    <w:rsid w:val="00EE7458"/>
    <w:rsid w:val="00EF0248"/>
    <w:rsid w:val="00F27724"/>
    <w:rsid w:val="00F30239"/>
    <w:rsid w:val="00F40EBC"/>
    <w:rsid w:val="00F42E81"/>
    <w:rsid w:val="00F65D94"/>
    <w:rsid w:val="00F67128"/>
    <w:rsid w:val="00FC13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E53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40EBC"/>
    <w:rPr>
      <w:rFonts w:ascii="Times New Roman" w:eastAsia="Times New Roman" w:hAnsi="Times New Roman" w:cs="Times New Roman"/>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59AD"/>
    <w:rPr>
      <w:sz w:val="18"/>
      <w:szCs w:val="18"/>
    </w:rPr>
  </w:style>
  <w:style w:type="character" w:customStyle="1" w:styleId="BalloonTextChar">
    <w:name w:val="Balloon Text Char"/>
    <w:basedOn w:val="DefaultParagraphFont"/>
    <w:link w:val="BalloonText"/>
    <w:uiPriority w:val="99"/>
    <w:semiHidden/>
    <w:rsid w:val="007059AD"/>
    <w:rPr>
      <w:rFonts w:ascii="Times New Roman" w:eastAsia="Times New Roman" w:hAnsi="Times New Roman" w:cs="Times New Roman"/>
      <w:sz w:val="18"/>
      <w:szCs w:val="18"/>
      <w:lang w:eastAsia="it-IT"/>
    </w:rPr>
  </w:style>
  <w:style w:type="paragraph" w:styleId="Revision">
    <w:name w:val="Revision"/>
    <w:hidden/>
    <w:uiPriority w:val="99"/>
    <w:semiHidden/>
    <w:rsid w:val="00EF0248"/>
    <w:rPr>
      <w:rFonts w:ascii="Times New Roman" w:eastAsia="Times New Roman" w:hAnsi="Times New Roman" w:cs="Times New Roman"/>
      <w:lang w:eastAsia="it-IT"/>
    </w:rPr>
  </w:style>
  <w:style w:type="paragraph" w:styleId="Footer">
    <w:name w:val="footer"/>
    <w:basedOn w:val="Normal"/>
    <w:link w:val="FooterChar"/>
    <w:uiPriority w:val="99"/>
    <w:unhideWhenUsed/>
    <w:rsid w:val="00EF0248"/>
    <w:pPr>
      <w:tabs>
        <w:tab w:val="center" w:pos="4680"/>
        <w:tab w:val="right" w:pos="9360"/>
      </w:tabs>
    </w:pPr>
  </w:style>
  <w:style w:type="character" w:customStyle="1" w:styleId="FooterChar">
    <w:name w:val="Footer Char"/>
    <w:basedOn w:val="DefaultParagraphFont"/>
    <w:link w:val="Footer"/>
    <w:uiPriority w:val="99"/>
    <w:rsid w:val="00EF0248"/>
    <w:rPr>
      <w:rFonts w:ascii="Times New Roman" w:eastAsia="Times New Roman" w:hAnsi="Times New Roman" w:cs="Times New Roman"/>
      <w:lang w:eastAsia="it-IT"/>
    </w:rPr>
  </w:style>
  <w:style w:type="character" w:styleId="PageNumber">
    <w:name w:val="page number"/>
    <w:basedOn w:val="DefaultParagraphFont"/>
    <w:uiPriority w:val="99"/>
    <w:semiHidden/>
    <w:unhideWhenUsed/>
    <w:rsid w:val="00EF0248"/>
  </w:style>
  <w:style w:type="paragraph" w:styleId="Header">
    <w:name w:val="header"/>
    <w:basedOn w:val="Normal"/>
    <w:link w:val="HeaderChar"/>
    <w:uiPriority w:val="99"/>
    <w:unhideWhenUsed/>
    <w:rsid w:val="00AF34F3"/>
    <w:pPr>
      <w:tabs>
        <w:tab w:val="center" w:pos="4703"/>
        <w:tab w:val="right" w:pos="9406"/>
      </w:tabs>
    </w:pPr>
  </w:style>
  <w:style w:type="character" w:customStyle="1" w:styleId="HeaderChar">
    <w:name w:val="Header Char"/>
    <w:basedOn w:val="DefaultParagraphFont"/>
    <w:link w:val="Header"/>
    <w:uiPriority w:val="99"/>
    <w:rsid w:val="00AF34F3"/>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824</Words>
  <Characters>4700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2022-02-03T11:41:00Z</dcterms:created>
  <dcterms:modified xsi:type="dcterms:W3CDTF">2022-02-03T11:41:00Z</dcterms:modified>
</cp:coreProperties>
</file>