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03884" w14:textId="77777777" w:rsidR="00A65B44" w:rsidRPr="00A65B44" w:rsidRDefault="00901AA0" w:rsidP="00A65B4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Procedure details of </w:t>
      </w:r>
      <w:r w:rsidR="00A65B44" w:rsidRPr="00A65B44">
        <w:rPr>
          <w:rFonts w:ascii="Times New Roman" w:hAnsi="Times New Roman" w:cs="Times New Roman"/>
          <w:b/>
          <w:sz w:val="24"/>
          <w:szCs w:val="24"/>
        </w:rPr>
        <w:t>MWA with intra-procedural CECT monitoring of minimal ablative margin</w:t>
      </w:r>
    </w:p>
    <w:p w14:paraId="46C516F0" w14:textId="77777777" w:rsidR="00A65B44" w:rsidRDefault="00A65B44" w:rsidP="00A65B44">
      <w:pPr>
        <w:spacing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To guide probe placement, both US and CT were used. In </w:t>
      </w: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cases, each </w:t>
      </w:r>
      <w:r w:rsidRPr="00B36EC9">
        <w:rPr>
          <w:rFonts w:ascii="Times New Roman" w:hAnsi="Times New Roman" w:cs="Times New Roman"/>
          <w:sz w:val="24"/>
          <w:szCs w:val="24"/>
        </w:rPr>
        <w:t xml:space="preserve">microwave probe was inserted under real-time </w:t>
      </w:r>
      <w:r>
        <w:rPr>
          <w:rFonts w:ascii="Times New Roman" w:hAnsi="Times New Roman" w:cs="Times New Roman"/>
          <w:sz w:val="24"/>
          <w:szCs w:val="24"/>
        </w:rPr>
        <w:t>US</w:t>
      </w:r>
      <w:r w:rsidRPr="00B36EC9">
        <w:rPr>
          <w:rFonts w:ascii="Times New Roman" w:hAnsi="Times New Roman" w:cs="Times New Roman"/>
          <w:sz w:val="24"/>
          <w:szCs w:val="24"/>
        </w:rPr>
        <w:t xml:space="preserve"> guidance and </w:t>
      </w:r>
      <w:r>
        <w:rPr>
          <w:rFonts w:ascii="Times New Roman" w:hAnsi="Times New Roman" w:cs="Times New Roman"/>
          <w:sz w:val="24"/>
          <w:szCs w:val="24"/>
        </w:rPr>
        <w:t>its</w:t>
      </w:r>
      <w:r w:rsidRPr="00B36EC9">
        <w:rPr>
          <w:rFonts w:ascii="Times New Roman" w:hAnsi="Times New Roman" w:cs="Times New Roman"/>
          <w:sz w:val="24"/>
          <w:szCs w:val="24"/>
        </w:rPr>
        <w:t xml:space="preserve"> </w:t>
      </w:r>
      <w:r>
        <w:rPr>
          <w:rFonts w:ascii="Times New Roman" w:hAnsi="Times New Roman" w:cs="Times New Roman"/>
          <w:sz w:val="24"/>
          <w:szCs w:val="24"/>
        </w:rPr>
        <w:t>position</w:t>
      </w:r>
      <w:r w:rsidRPr="00B36EC9">
        <w:rPr>
          <w:rFonts w:ascii="Times New Roman" w:hAnsi="Times New Roman" w:cs="Times New Roman"/>
          <w:sz w:val="24"/>
          <w:szCs w:val="24"/>
        </w:rPr>
        <w:t xml:space="preserve"> was </w:t>
      </w:r>
      <w:r>
        <w:rPr>
          <w:rFonts w:ascii="Times New Roman" w:hAnsi="Times New Roman" w:cs="Times New Roman"/>
          <w:sz w:val="24"/>
          <w:szCs w:val="24"/>
        </w:rPr>
        <w:t>also verified</w:t>
      </w:r>
      <w:r w:rsidRPr="00B36EC9">
        <w:rPr>
          <w:rFonts w:ascii="Times New Roman" w:hAnsi="Times New Roman" w:cs="Times New Roman"/>
          <w:sz w:val="24"/>
          <w:szCs w:val="24"/>
        </w:rPr>
        <w:t xml:space="preserve"> by </w:t>
      </w:r>
      <w:r>
        <w:rPr>
          <w:rFonts w:ascii="Times New Roman" w:hAnsi="Times New Roman" w:cs="Times New Roman"/>
          <w:sz w:val="24"/>
          <w:szCs w:val="24"/>
        </w:rPr>
        <w:t>CT. Hydro-displacement technique prior to ablation was optionally used to avoid thermal injury for tumors abutting diaphragm, stomach, or bowel. According to</w:t>
      </w:r>
      <w:r w:rsidRPr="00B36EC9">
        <w:rPr>
          <w:rFonts w:ascii="Times New Roman" w:hAnsi="Times New Roman" w:cs="Times New Roman"/>
          <w:sz w:val="24"/>
          <w:szCs w:val="24"/>
        </w:rPr>
        <w:t xml:space="preserve"> tumor size and location, </w:t>
      </w:r>
      <w:r>
        <w:rPr>
          <w:rFonts w:ascii="Times New Roman" w:hAnsi="Times New Roman" w:cs="Times New Roman"/>
          <w:sz w:val="24"/>
          <w:szCs w:val="24"/>
        </w:rPr>
        <w:t xml:space="preserve">ablations </w:t>
      </w:r>
      <w:r w:rsidRPr="00B36EC9">
        <w:rPr>
          <w:rFonts w:ascii="Times New Roman" w:hAnsi="Times New Roman" w:cs="Times New Roman"/>
          <w:sz w:val="24"/>
          <w:szCs w:val="24"/>
        </w:rPr>
        <w:t xml:space="preserve">using </w:t>
      </w:r>
      <w:r>
        <w:rPr>
          <w:rFonts w:ascii="Times New Roman" w:hAnsi="Times New Roman" w:cs="Times New Roman"/>
          <w:sz w:val="24"/>
          <w:szCs w:val="24"/>
        </w:rPr>
        <w:t xml:space="preserve">single or </w:t>
      </w:r>
      <w:r w:rsidRPr="00B36EC9">
        <w:rPr>
          <w:rFonts w:ascii="Times New Roman" w:hAnsi="Times New Roman" w:cs="Times New Roman"/>
          <w:sz w:val="24"/>
          <w:szCs w:val="24"/>
        </w:rPr>
        <w:t xml:space="preserve">multiple </w:t>
      </w:r>
      <w:r>
        <w:rPr>
          <w:rFonts w:ascii="Times New Roman" w:hAnsi="Times New Roman" w:cs="Times New Roman"/>
          <w:sz w:val="24"/>
          <w:szCs w:val="24"/>
        </w:rPr>
        <w:t>overlapping probes</w:t>
      </w:r>
      <w:r w:rsidRPr="00B36EC9">
        <w:rPr>
          <w:rFonts w:ascii="Times New Roman" w:hAnsi="Times New Roman" w:cs="Times New Roman"/>
          <w:sz w:val="24"/>
          <w:szCs w:val="24"/>
        </w:rPr>
        <w:t xml:space="preserve"> </w:t>
      </w:r>
      <w:r>
        <w:rPr>
          <w:rFonts w:ascii="Times New Roman" w:hAnsi="Times New Roman" w:cs="Times New Roman"/>
          <w:sz w:val="24"/>
          <w:szCs w:val="24"/>
        </w:rPr>
        <w:t>were performed at the operator’s discretion</w:t>
      </w:r>
      <w:r w:rsidRPr="00B36EC9">
        <w:rPr>
          <w:rFonts w:ascii="Times New Roman" w:hAnsi="Times New Roman" w:cs="Times New Roman"/>
          <w:sz w:val="24"/>
          <w:szCs w:val="24"/>
        </w:rPr>
        <w:t xml:space="preserve">. </w:t>
      </w:r>
      <w:r>
        <w:rPr>
          <w:rFonts w:ascii="Times New Roman" w:hAnsi="Times New Roman" w:cs="Times New Roman"/>
          <w:sz w:val="24"/>
          <w:szCs w:val="24"/>
        </w:rPr>
        <w:t>After expected ablation completion, immediate CECT was performed to monitor the treatment. This may be done with the microwave antenna left in situ or after complete withdrawal, the former being preferred due to ease of repositioning of the antenna(s) for additional ablations as necessary. By comparing post-ablation CECT images to pre-treatment imaging studies (prior CT or MRI as well as in-suite pre-procedure CT for tumor localization), operators determined whether a sufficient minimal ablative margin was achieved, and if not, pinpointed the location of the insufficient minimal margin. In all cases, imaging evaluation was done using visual (or “cognitive”) registration using side-by-side comparisons on a PACS (Picture Archiving and Communication System) workstation. Additional software-based fusion technique (</w:t>
      </w:r>
      <w:proofErr w:type="spellStart"/>
      <w:r>
        <w:rPr>
          <w:rFonts w:ascii="Times New Roman" w:hAnsi="Times New Roman" w:cs="Times New Roman"/>
          <w:sz w:val="24"/>
          <w:szCs w:val="24"/>
        </w:rPr>
        <w:t>NeuWave</w:t>
      </w:r>
      <w:proofErr w:type="spellEnd"/>
      <w:r>
        <w:rPr>
          <w:rFonts w:ascii="Times New Roman" w:hAnsi="Times New Roman" w:cs="Times New Roman"/>
          <w:sz w:val="24"/>
          <w:szCs w:val="24"/>
        </w:rPr>
        <w:t xml:space="preserve"> Ablation Confirmation Software) was used in select cases based on availability and operator’s preference. If sufficient minimal ablative margin was not achieved after careful assessment of the pre-treatment and intra-procedure CECT images, probes were repositioned to the position of potentially suboptimal margin and additional ablation was performed, and this process was documented in the procedure report. </w:t>
      </w:r>
    </w:p>
    <w:p w14:paraId="120DE01D" w14:textId="77777777" w:rsidR="00A65B44" w:rsidRDefault="00A65B44">
      <w:pPr>
        <w:widowControl/>
        <w:wordWrap/>
        <w:autoSpaceDE/>
        <w:autoSpaceDN/>
        <w:jc w:val="both"/>
        <w:rPr>
          <w:rFonts w:ascii="Times New Roman" w:hAnsi="Times New Roman" w:cs="Times New Roman"/>
          <w:i/>
          <w:sz w:val="24"/>
          <w:szCs w:val="24"/>
        </w:rPr>
      </w:pPr>
      <w:r>
        <w:rPr>
          <w:rFonts w:ascii="Times New Roman" w:hAnsi="Times New Roman" w:cs="Times New Roman"/>
          <w:i/>
          <w:sz w:val="24"/>
          <w:szCs w:val="24"/>
        </w:rPr>
        <w:br w:type="page"/>
      </w:r>
    </w:p>
    <w:p w14:paraId="395B73BB" w14:textId="77777777" w:rsidR="00A65B44" w:rsidRPr="00A65B44" w:rsidRDefault="00A65B44" w:rsidP="00A65B44">
      <w:pPr>
        <w:spacing w:line="480" w:lineRule="auto"/>
        <w:jc w:val="both"/>
        <w:rPr>
          <w:rFonts w:ascii="Times New Roman" w:hAnsi="Times New Roman" w:cs="Times New Roman"/>
          <w:b/>
          <w:sz w:val="24"/>
          <w:szCs w:val="24"/>
        </w:rPr>
      </w:pPr>
      <w:r w:rsidRPr="00A65B44">
        <w:rPr>
          <w:rFonts w:ascii="Times New Roman" w:hAnsi="Times New Roman" w:cs="Times New Roman" w:hint="eastAsia"/>
          <w:b/>
          <w:sz w:val="24"/>
          <w:szCs w:val="24"/>
        </w:rPr>
        <w:lastRenderedPageBreak/>
        <w:t xml:space="preserve">Intra-procedural CT </w:t>
      </w:r>
      <w:r w:rsidRPr="00A65B44">
        <w:rPr>
          <w:rFonts w:ascii="Times New Roman" w:hAnsi="Times New Roman" w:cs="Times New Roman"/>
          <w:b/>
          <w:sz w:val="24"/>
          <w:szCs w:val="24"/>
        </w:rPr>
        <w:t>protocol</w:t>
      </w:r>
    </w:p>
    <w:p w14:paraId="04739372" w14:textId="77777777" w:rsidR="00A65B44" w:rsidRDefault="00A65B44" w:rsidP="00A65B44">
      <w:pPr>
        <w:spacing w:line="480" w:lineRule="auto"/>
        <w:ind w:firstLineChars="100" w:firstLine="240"/>
        <w:jc w:val="both"/>
        <w:rPr>
          <w:rFonts w:ascii="Times New Roman" w:hAnsi="Times New Roman" w:cs="Times New Roman"/>
          <w:sz w:val="24"/>
          <w:szCs w:val="24"/>
        </w:rPr>
      </w:pPr>
      <w:r w:rsidRPr="004C1590">
        <w:rPr>
          <w:rFonts w:ascii="Times New Roman" w:hAnsi="Times New Roman" w:cs="Times New Roman"/>
          <w:sz w:val="24"/>
          <w:szCs w:val="24"/>
        </w:rPr>
        <w:t xml:space="preserve">All intra-procedural CT exams were performed with a 64-channel scanner (SOMATOM Definition: Siemens </w:t>
      </w:r>
      <w:proofErr w:type="spellStart"/>
      <w:r w:rsidRPr="004C1590">
        <w:rPr>
          <w:rFonts w:ascii="Times New Roman" w:hAnsi="Times New Roman" w:cs="Times New Roman"/>
          <w:sz w:val="24"/>
          <w:szCs w:val="24"/>
        </w:rPr>
        <w:t>Healthineers</w:t>
      </w:r>
      <w:proofErr w:type="spellEnd"/>
      <w:r w:rsidRPr="004C1590">
        <w:rPr>
          <w:rFonts w:ascii="Times New Roman" w:hAnsi="Times New Roman" w:cs="Times New Roman"/>
          <w:sz w:val="24"/>
          <w:szCs w:val="24"/>
        </w:rPr>
        <w:t xml:space="preserve">). For CT acquisition parameters, in general a beam collimation of 0.625 mm x 64, a pitch of 0.75, a gantry rotation time of 0.75 sec, and </w:t>
      </w:r>
      <w:proofErr w:type="spellStart"/>
      <w:r w:rsidRPr="004C1590">
        <w:rPr>
          <w:rFonts w:ascii="Times New Roman" w:hAnsi="Times New Roman" w:cs="Times New Roman"/>
          <w:sz w:val="24"/>
          <w:szCs w:val="24"/>
        </w:rPr>
        <w:t>kVp</w:t>
      </w:r>
      <w:proofErr w:type="spellEnd"/>
      <w:r w:rsidRPr="004C1590">
        <w:rPr>
          <w:rFonts w:ascii="Times New Roman" w:hAnsi="Times New Roman" w:cs="Times New Roman"/>
          <w:sz w:val="24"/>
          <w:szCs w:val="24"/>
        </w:rPr>
        <w:t>/effective mA of 120/200 was used.</w:t>
      </w:r>
    </w:p>
    <w:p w14:paraId="60EC2CF7" w14:textId="77777777" w:rsidR="00A65B44" w:rsidRDefault="00A65B44" w:rsidP="00A65B44">
      <w:pPr>
        <w:spacing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Intra-procedural CT exams for initial tumor localization were done either with or without use of intravenous contrast, determined by the operator depending on tumor visibility and conspicuity at non-contrast CT and at B-mode US. After expected ablation completion, CECT was performed: portal venous phase in CRLM patients; late arterial phase and portal venous phases in HCC patients, and CECT images were reconstructed in axial, coronal, and sagittal planes at 2-3 mm for minimal margin assessment.</w:t>
      </w:r>
      <w:r w:rsidRPr="00E27637">
        <w:rPr>
          <w:rFonts w:ascii="Times New Roman" w:hAnsi="Times New Roman" w:cs="Times New Roman"/>
          <w:sz w:val="24"/>
          <w:szCs w:val="24"/>
        </w:rPr>
        <w:t xml:space="preserve"> </w:t>
      </w:r>
      <w:r>
        <w:rPr>
          <w:rFonts w:ascii="Times New Roman" w:hAnsi="Times New Roman" w:cs="Times New Roman"/>
          <w:sz w:val="24"/>
          <w:szCs w:val="24"/>
        </w:rPr>
        <w:t>Intermittent CT images for confirmation of probe position during lesion targeting did not require any contrast media</w:t>
      </w:r>
      <w:r>
        <w:rPr>
          <w:rFonts w:ascii="Times New Roman" w:hAnsi="Times New Roman" w:cs="Times New Roman" w:hint="eastAsia"/>
          <w:sz w:val="24"/>
          <w:szCs w:val="24"/>
        </w:rPr>
        <w:t xml:space="preserve">. </w:t>
      </w:r>
    </w:p>
    <w:p w14:paraId="5F85F48B" w14:textId="77777777" w:rsidR="00DF01A1" w:rsidRDefault="00DF01A1"/>
    <w:p w14:paraId="31035928" w14:textId="77777777" w:rsidR="009F7DD1" w:rsidRPr="00DA01BE" w:rsidRDefault="009F7DD1" w:rsidP="009F7DD1">
      <w:pPr>
        <w:spacing w:line="480" w:lineRule="auto"/>
        <w:jc w:val="both"/>
        <w:rPr>
          <w:rFonts w:ascii="Times New Roman" w:hAnsi="Times New Roman" w:cs="Times New Roman"/>
          <w:b/>
          <w:sz w:val="24"/>
          <w:szCs w:val="24"/>
        </w:rPr>
      </w:pPr>
      <w:r>
        <w:rPr>
          <w:rFonts w:ascii="Times New Roman" w:hAnsi="Times New Roman" w:cs="Times New Roman"/>
          <w:b/>
          <w:sz w:val="24"/>
          <w:szCs w:val="24"/>
        </w:rPr>
        <w:t>Immediate post-ablation MRI protocol</w:t>
      </w:r>
    </w:p>
    <w:p w14:paraId="68801325" w14:textId="77777777" w:rsidR="009F7DD1" w:rsidRDefault="009F7DD1" w:rsidP="009F7DD1">
      <w:pPr>
        <w:spacing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At our institution, after MWA of liver tumors, </w:t>
      </w:r>
      <w:proofErr w:type="spellStart"/>
      <w:r>
        <w:rPr>
          <w:rFonts w:ascii="Times New Roman" w:hAnsi="Times New Roman" w:cs="Times New Roman"/>
          <w:sz w:val="24"/>
          <w:szCs w:val="24"/>
        </w:rPr>
        <w:t>gadoxetic</w:t>
      </w:r>
      <w:proofErr w:type="spellEnd"/>
      <w:r>
        <w:rPr>
          <w:rFonts w:ascii="Times New Roman" w:hAnsi="Times New Roman" w:cs="Times New Roman"/>
          <w:sz w:val="24"/>
          <w:szCs w:val="24"/>
        </w:rPr>
        <w:t xml:space="preserve"> acid-enhanced liver MRI within 24 hours is routinely performed. However, due to variability of patient needs and MRI availability, MRI taken within 1 week after the treatment was considered an immediate follow-up exam in this study. Liver MRIs were obtained on either 1.5T or 3T scanners. MRI sequences included axial images of heavily T2-weighted imaging, T2-weighted fast spin echo imaging, dual echo gradient echo imaging, diffusion-weighted imaging, and </w:t>
      </w:r>
      <w:proofErr w:type="gramStart"/>
      <w:r>
        <w:rPr>
          <w:rFonts w:ascii="Times New Roman" w:hAnsi="Times New Roman" w:cs="Times New Roman"/>
          <w:sz w:val="24"/>
          <w:szCs w:val="24"/>
        </w:rPr>
        <w:t>pre</w:t>
      </w:r>
      <w:proofErr w:type="gramEnd"/>
      <w:r>
        <w:rPr>
          <w:rFonts w:ascii="Times New Roman" w:hAnsi="Times New Roman" w:cs="Times New Roman"/>
          <w:sz w:val="24"/>
          <w:szCs w:val="24"/>
        </w:rPr>
        <w:t xml:space="preserve"> and post-contrast fat suppressed T1-weighted images. Post-contrast T1-weighted images included arterial phase, portal venous phase, transitional phase, and hepatobiliary phase after intravenous administration of 0.1 </w:t>
      </w:r>
      <w:r>
        <w:rPr>
          <w:rFonts w:ascii="Times New Roman" w:hAnsi="Times New Roman" w:cs="Times New Roman"/>
          <w:sz w:val="24"/>
          <w:szCs w:val="24"/>
        </w:rPr>
        <w:lastRenderedPageBreak/>
        <w:t xml:space="preserve">mmol/kg of </w:t>
      </w:r>
      <w:proofErr w:type="spellStart"/>
      <w:r>
        <w:rPr>
          <w:rFonts w:ascii="Times New Roman" w:hAnsi="Times New Roman" w:cs="Times New Roman"/>
          <w:sz w:val="24"/>
          <w:szCs w:val="24"/>
        </w:rPr>
        <w:t>gadoxetic</w:t>
      </w:r>
      <w:proofErr w:type="spellEnd"/>
      <w:r>
        <w:rPr>
          <w:rFonts w:ascii="Times New Roman" w:hAnsi="Times New Roman" w:cs="Times New Roman"/>
          <w:sz w:val="24"/>
          <w:szCs w:val="24"/>
        </w:rPr>
        <w:t xml:space="preserve"> acid. Coronal images of portal venous phase and hepatobiliary phase were also obtained in addition to the axial images of each phase, respectively. </w:t>
      </w:r>
    </w:p>
    <w:p w14:paraId="146B5473" w14:textId="77777777" w:rsidR="00901AA0" w:rsidRPr="00DA01BE" w:rsidRDefault="00901AA0" w:rsidP="00901AA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Assessment of technical outcomes on post-ablation MRI </w:t>
      </w:r>
    </w:p>
    <w:p w14:paraId="749389BB" w14:textId="77777777" w:rsidR="00901AA0" w:rsidRDefault="00901AA0" w:rsidP="00901AA0">
      <w:pPr>
        <w:spacing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C</w:t>
      </w:r>
      <w:r w:rsidRPr="00884410">
        <w:rPr>
          <w:rFonts w:ascii="Times New Roman" w:hAnsi="Times New Roman" w:cs="Times New Roman"/>
          <w:sz w:val="24"/>
          <w:szCs w:val="24"/>
        </w:rPr>
        <w:t xml:space="preserve">omplete ablation coverage </w:t>
      </w:r>
      <w:r>
        <w:rPr>
          <w:rFonts w:ascii="Times New Roman" w:hAnsi="Times New Roman" w:cs="Times New Roman"/>
          <w:sz w:val="24"/>
          <w:szCs w:val="24"/>
        </w:rPr>
        <w:t>of the tumor indicated no visible residual tumor within or at the periphery of the ablation zone on MRI, regardless of ablative margin beyond tumor surface. S</w:t>
      </w:r>
      <w:r w:rsidRPr="00C929D7">
        <w:rPr>
          <w:rFonts w:ascii="Times New Roman" w:hAnsi="Times New Roman" w:cs="Times New Roman"/>
          <w:sz w:val="24"/>
          <w:szCs w:val="24"/>
        </w:rPr>
        <w:t xml:space="preserve">ufficient </w:t>
      </w:r>
      <w:r w:rsidRPr="00613FE6">
        <w:rPr>
          <w:rFonts w:ascii="Times New Roman" w:hAnsi="Times New Roman" w:cs="Times New Roman"/>
          <w:sz w:val="24"/>
          <w:szCs w:val="24"/>
        </w:rPr>
        <w:t>ablative margin was defined as ≥5 mm for HCC or ≥10 mm for CRLM around tumor surface</w:t>
      </w:r>
      <w:r>
        <w:rPr>
          <w:rFonts w:ascii="Times New Roman" w:hAnsi="Times New Roman" w:cs="Times New Roman"/>
          <w:sz w:val="24"/>
          <w:szCs w:val="24"/>
        </w:rPr>
        <w:t>,</w:t>
      </w:r>
      <w:r w:rsidRPr="00613FE6">
        <w:rPr>
          <w:rFonts w:ascii="Times New Roman" w:hAnsi="Times New Roman" w:cs="Times New Roman"/>
          <w:sz w:val="24"/>
          <w:szCs w:val="24"/>
        </w:rPr>
        <w:t xml:space="preserve"> </w:t>
      </w:r>
      <w:r>
        <w:rPr>
          <w:rFonts w:ascii="Times New Roman" w:hAnsi="Times New Roman" w:cs="Times New Roman"/>
          <w:sz w:val="24"/>
          <w:szCs w:val="24"/>
        </w:rPr>
        <w:t>equivalent to</w:t>
      </w:r>
      <w:r w:rsidRPr="00613FE6">
        <w:rPr>
          <w:rFonts w:ascii="Times New Roman" w:hAnsi="Times New Roman" w:cs="Times New Roman"/>
          <w:sz w:val="24"/>
          <w:szCs w:val="24"/>
        </w:rPr>
        <w:t xml:space="preserve"> the definition used in intra-procedure assessment. </w:t>
      </w:r>
      <w:r>
        <w:rPr>
          <w:rFonts w:ascii="Times New Roman" w:hAnsi="Times New Roman" w:cs="Times New Roman"/>
          <w:sz w:val="24"/>
          <w:szCs w:val="24"/>
        </w:rPr>
        <w:t xml:space="preserve">However, if the distance from tumor to liver capsule or a patent vessel is less than the </w:t>
      </w:r>
      <w:r w:rsidRPr="00C929D7">
        <w:rPr>
          <w:rFonts w:ascii="Times New Roman" w:hAnsi="Times New Roman" w:cs="Times New Roman"/>
          <w:sz w:val="24"/>
          <w:szCs w:val="24"/>
        </w:rPr>
        <w:t>5 mm or 10 mm</w:t>
      </w:r>
      <w:r>
        <w:rPr>
          <w:rFonts w:ascii="Times New Roman" w:hAnsi="Times New Roman" w:cs="Times New Roman"/>
          <w:sz w:val="24"/>
          <w:szCs w:val="24"/>
        </w:rPr>
        <w:t xml:space="preserve">, achieving </w:t>
      </w:r>
      <w:r w:rsidRPr="00C929D7">
        <w:rPr>
          <w:rFonts w:ascii="Times New Roman" w:hAnsi="Times New Roman" w:cs="Times New Roman"/>
          <w:sz w:val="24"/>
          <w:szCs w:val="24"/>
        </w:rPr>
        <w:t xml:space="preserve">≥5 mm </w:t>
      </w:r>
      <w:r>
        <w:rPr>
          <w:rFonts w:ascii="Times New Roman" w:hAnsi="Times New Roman" w:cs="Times New Roman"/>
          <w:sz w:val="24"/>
          <w:szCs w:val="24"/>
        </w:rPr>
        <w:t xml:space="preserve">or </w:t>
      </w:r>
      <w:r w:rsidRPr="00C929D7">
        <w:rPr>
          <w:rFonts w:ascii="Times New Roman" w:hAnsi="Times New Roman" w:cs="Times New Roman"/>
          <w:sz w:val="24"/>
          <w:szCs w:val="24"/>
        </w:rPr>
        <w:t>≥</w:t>
      </w:r>
      <w:r>
        <w:rPr>
          <w:rFonts w:ascii="Times New Roman" w:hAnsi="Times New Roman" w:cs="Times New Roman"/>
          <w:sz w:val="24"/>
          <w:szCs w:val="24"/>
        </w:rPr>
        <w:t>10</w:t>
      </w:r>
      <w:r w:rsidRPr="00C929D7">
        <w:rPr>
          <w:rFonts w:ascii="Times New Roman" w:hAnsi="Times New Roman" w:cs="Times New Roman"/>
          <w:sz w:val="24"/>
          <w:szCs w:val="24"/>
        </w:rPr>
        <w:t xml:space="preserve"> mm </w:t>
      </w:r>
      <w:r>
        <w:rPr>
          <w:rFonts w:ascii="Times New Roman" w:hAnsi="Times New Roman" w:cs="Times New Roman"/>
          <w:sz w:val="24"/>
          <w:szCs w:val="24"/>
        </w:rPr>
        <w:t>ablative margin at these positions is technically</w:t>
      </w:r>
      <w:r>
        <w:rPr>
          <w:rFonts w:ascii="Times New Roman" w:hAnsi="Times New Roman" w:cs="Times New Roman" w:hint="eastAsia"/>
          <w:sz w:val="24"/>
          <w:szCs w:val="24"/>
        </w:rPr>
        <w:t xml:space="preserve"> </w:t>
      </w:r>
      <w:r>
        <w:rPr>
          <w:rFonts w:ascii="Times New Roman" w:hAnsi="Times New Roman" w:cs="Times New Roman"/>
          <w:sz w:val="24"/>
          <w:szCs w:val="24"/>
        </w:rPr>
        <w:t>impossible. Thus, the</w:t>
      </w:r>
      <w:r w:rsidRPr="00613FE6">
        <w:rPr>
          <w:rFonts w:ascii="Times New Roman" w:hAnsi="Times New Roman" w:cs="Times New Roman"/>
          <w:sz w:val="24"/>
          <w:szCs w:val="24"/>
        </w:rPr>
        <w:t xml:space="preserve"> distance criteria </w:t>
      </w:r>
      <w:r>
        <w:rPr>
          <w:rFonts w:ascii="Times New Roman" w:hAnsi="Times New Roman" w:cs="Times New Roman"/>
          <w:sz w:val="24"/>
          <w:szCs w:val="24"/>
        </w:rPr>
        <w:t xml:space="preserve">were not </w:t>
      </w:r>
      <w:r w:rsidRPr="00613FE6">
        <w:rPr>
          <w:rFonts w:ascii="Times New Roman" w:hAnsi="Times New Roman" w:cs="Times New Roman"/>
          <w:sz w:val="24"/>
          <w:szCs w:val="24"/>
        </w:rPr>
        <w:t xml:space="preserve">applied to </w:t>
      </w:r>
      <w:r>
        <w:rPr>
          <w:rFonts w:ascii="Times New Roman" w:hAnsi="Times New Roman" w:cs="Times New Roman"/>
          <w:sz w:val="24"/>
          <w:szCs w:val="24"/>
        </w:rPr>
        <w:t>margins points next to</w:t>
      </w:r>
      <w:r w:rsidRPr="00613FE6">
        <w:rPr>
          <w:rFonts w:ascii="Times New Roman" w:hAnsi="Times New Roman" w:cs="Times New Roman"/>
          <w:sz w:val="24"/>
          <w:szCs w:val="24"/>
        </w:rPr>
        <w:t xml:space="preserve"> adjacent vessel (≥3 mm in diameter) or liver capsule</w:t>
      </w:r>
      <w:r>
        <w:rPr>
          <w:rFonts w:ascii="Times New Roman" w:hAnsi="Times New Roman" w:cs="Times New Roman"/>
          <w:sz w:val="24"/>
          <w:szCs w:val="24"/>
        </w:rPr>
        <w:t>. Actual margin assessment was facilitated by simultaneous identification of the ablation zone boundary and the underlying tumor boundary, latter often visible on T1W images</w:t>
      </w:r>
      <w:r w:rsidRPr="000E4E4D">
        <w:t xml:space="preserve"> </w:t>
      </w:r>
      <w:r>
        <w:rPr>
          <w:rFonts w:ascii="Times New Roman" w:hAnsi="Times New Roman" w:cs="Times New Roman"/>
          <w:sz w:val="24"/>
          <w:szCs w:val="24"/>
        </w:rPr>
        <w:fldChar w:fldCharType="begin">
          <w:fldData xml:space="preserve">PEVuZE5vdGU+PENpdGU+PEF1dGhvcj5UYWtleWFtYTwvQXV0aG9yPjxZZWFyPjIwMTY8L1llYXI+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PEVuZE5vdGU+PENpdGU+PEF1dGhvcj5UYWtleWFtYTwvQXV0aG9yPjxZZWFyPjIwMTY8L1llYXI+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[1, 2]</w:t>
      </w:r>
      <w:r>
        <w:rPr>
          <w:rFonts w:ascii="Times New Roman" w:hAnsi="Times New Roman" w:cs="Times New Roman"/>
          <w:sz w:val="24"/>
          <w:szCs w:val="24"/>
        </w:rPr>
        <w:fldChar w:fldCharType="end"/>
      </w:r>
      <w:r>
        <w:rPr>
          <w:rFonts w:ascii="Times New Roman" w:hAnsi="Times New Roman" w:cs="Times New Roman"/>
          <w:sz w:val="24"/>
          <w:szCs w:val="24"/>
        </w:rPr>
        <w:t xml:space="preserve">. In cases where underlying tumor boundary was not visible within the ablation zone on MRI, the ablative margin was therefore derived by detailed visual registration and comparison between pre-treatment tumor boundary and post-treatment ablation zone boundary relative to surrounding landmarks. If the tumor boundary was not visible, potential tumor shrinkage associated with the ablation was not considered in margin assessment because the shrinkage degree in all dimensions could not be accurately and objectively predicted. </w:t>
      </w:r>
    </w:p>
    <w:p w14:paraId="5B17AF7C" w14:textId="77777777" w:rsidR="00901AA0" w:rsidRPr="006031C7" w:rsidRDefault="00901AA0" w:rsidP="00901AA0">
      <w:pPr>
        <w:spacing w:line="480" w:lineRule="auto"/>
        <w:ind w:firstLineChars="100" w:firstLine="240"/>
        <w:jc w:val="both"/>
        <w:rPr>
          <w:rFonts w:ascii="Times New Roman" w:hAnsi="Times New Roman" w:cs="Times New Roman"/>
          <w:sz w:val="24"/>
          <w:szCs w:val="24"/>
        </w:rPr>
      </w:pPr>
    </w:p>
    <w:p w14:paraId="36B41F42" w14:textId="77777777" w:rsidR="00901AA0" w:rsidRDefault="00901AA0" w:rsidP="00901AA0">
      <w:pPr>
        <w:spacing w:line="480" w:lineRule="auto"/>
        <w:jc w:val="both"/>
        <w:rPr>
          <w:rFonts w:ascii="Times New Roman" w:hAnsi="Times New Roman" w:cs="Times New Roman"/>
          <w:b/>
          <w:sz w:val="24"/>
          <w:szCs w:val="24"/>
        </w:rPr>
      </w:pPr>
      <w:r>
        <w:rPr>
          <w:rFonts w:ascii="Times New Roman" w:hAnsi="Times New Roman" w:cs="Times New Roman" w:hint="eastAsia"/>
          <w:b/>
          <w:sz w:val="24"/>
          <w:szCs w:val="24"/>
        </w:rPr>
        <w:t>REFERENCES</w:t>
      </w:r>
    </w:p>
    <w:p w14:paraId="37200071" w14:textId="77777777" w:rsidR="00901AA0" w:rsidRPr="00901AA0" w:rsidRDefault="00901AA0" w:rsidP="00901AA0">
      <w:pPr>
        <w:pStyle w:val="EndNoteBibliography"/>
        <w:spacing w:after="0" w:line="360" w:lineRule="auto"/>
        <w:ind w:left="720" w:hanging="720"/>
        <w:rPr>
          <w:rFonts w:ascii="Times New Roman" w:hAnsi="Times New Roman" w:cs="Times New Roman"/>
        </w:rPr>
      </w:pPr>
      <w:r w:rsidRPr="00901AA0">
        <w:rPr>
          <w:rFonts w:ascii="Times New Roman" w:hAnsi="Times New Roman" w:cs="Times New Roman"/>
        </w:rPr>
        <w:fldChar w:fldCharType="begin"/>
      </w:r>
      <w:r w:rsidRPr="00901AA0">
        <w:rPr>
          <w:rFonts w:ascii="Times New Roman" w:hAnsi="Times New Roman" w:cs="Times New Roman"/>
        </w:rPr>
        <w:instrText xml:space="preserve"> ADDIN EN.REFLIST </w:instrText>
      </w:r>
      <w:r w:rsidRPr="00901AA0">
        <w:rPr>
          <w:rFonts w:ascii="Times New Roman" w:hAnsi="Times New Roman" w:cs="Times New Roman"/>
        </w:rPr>
        <w:fldChar w:fldCharType="separate"/>
      </w:r>
      <w:r w:rsidRPr="00901AA0">
        <w:rPr>
          <w:rFonts w:ascii="Times New Roman" w:hAnsi="Times New Roman" w:cs="Times New Roman"/>
        </w:rPr>
        <w:t>1.</w:t>
      </w:r>
      <w:r w:rsidRPr="00901AA0">
        <w:rPr>
          <w:rFonts w:ascii="Times New Roman" w:hAnsi="Times New Roman" w:cs="Times New Roman"/>
        </w:rPr>
        <w:tab/>
        <w:t xml:space="preserve">Takeyama N, Vidhyarkorn S, Chung DJ et al (2016) Does hepatobiliary phase sequence </w:t>
      </w:r>
      <w:r w:rsidRPr="00901AA0">
        <w:rPr>
          <w:rFonts w:ascii="Times New Roman" w:hAnsi="Times New Roman" w:cs="Times New Roman"/>
        </w:rPr>
        <w:lastRenderedPageBreak/>
        <w:t>qualitatively outperform unenhanced T1-weighted imaging in assessment of the ablation margin 24 hours after thermal ablation of hepatocellular carcinomas? Abdom Radiol (NY) 41:1942-1955</w:t>
      </w:r>
    </w:p>
    <w:p w14:paraId="61BDC43E" w14:textId="77777777" w:rsidR="00901AA0" w:rsidRPr="00901AA0" w:rsidRDefault="00901AA0" w:rsidP="00901AA0">
      <w:pPr>
        <w:pStyle w:val="EndNoteBibliography"/>
        <w:spacing w:line="360" w:lineRule="auto"/>
        <w:ind w:left="720" w:hanging="720"/>
        <w:rPr>
          <w:rFonts w:ascii="Times New Roman" w:hAnsi="Times New Roman" w:cs="Times New Roman"/>
        </w:rPr>
      </w:pPr>
      <w:r w:rsidRPr="00901AA0">
        <w:rPr>
          <w:rFonts w:ascii="Times New Roman" w:hAnsi="Times New Roman" w:cs="Times New Roman"/>
        </w:rPr>
        <w:t>2.</w:t>
      </w:r>
      <w:r w:rsidRPr="00901AA0">
        <w:rPr>
          <w:rFonts w:ascii="Times New Roman" w:hAnsi="Times New Roman" w:cs="Times New Roman"/>
        </w:rPr>
        <w:tab/>
        <w:t>Koda M, Tokunaga S, Miyoshi K et al (2012) Assessment of ablative margin by unenhanced magnetic resonance imaging after radiofrequency ablation for hepatocellular carcinoma. Eur J Radiol 81:2730-2736</w:t>
      </w:r>
      <w:r w:rsidRPr="00901AA0">
        <w:rPr>
          <w:rFonts w:ascii="Times New Roman" w:hAnsi="Times New Roman" w:cs="Times New Roman"/>
        </w:rPr>
        <w:fldChar w:fldCharType="end"/>
      </w:r>
    </w:p>
    <w:sectPr w:rsidR="00901AA0" w:rsidRPr="00901AA0">
      <w:footerReference w:type="default" r:id="rId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94C00" w14:textId="77777777" w:rsidR="00B111C0" w:rsidRDefault="00B111C0" w:rsidP="009F7DD1">
      <w:pPr>
        <w:spacing w:after="0" w:line="240" w:lineRule="auto"/>
      </w:pPr>
      <w:r>
        <w:separator/>
      </w:r>
    </w:p>
  </w:endnote>
  <w:endnote w:type="continuationSeparator" w:id="0">
    <w:p w14:paraId="7BC6CB17" w14:textId="77777777" w:rsidR="00B111C0" w:rsidRDefault="00B111C0" w:rsidP="009F7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54512" w14:textId="38D990B9" w:rsidR="00133CFF" w:rsidRDefault="00133CFF">
    <w:pPr>
      <w:pStyle w:val="Footer"/>
    </w:pPr>
    <w:proofErr w:type="spellStart"/>
    <w:r>
      <w:t>Eur</w:t>
    </w:r>
    <w:proofErr w:type="spellEnd"/>
    <w:r>
      <w:t xml:space="preserve"> </w:t>
    </w:r>
    <w:proofErr w:type="spellStart"/>
    <w:r>
      <w:t>Radiol</w:t>
    </w:r>
    <w:proofErr w:type="spellEnd"/>
    <w:r>
      <w:t xml:space="preserve"> (2022) </w:t>
    </w:r>
    <w:proofErr w:type="spellStart"/>
    <w:r>
      <w:t>Joo</w:t>
    </w:r>
    <w:proofErr w:type="spellEnd"/>
    <w:r>
      <w:t xml:space="preserve"> I, Morrow KW, Raman SS et al</w:t>
    </w:r>
  </w:p>
  <w:p w14:paraId="397D4F1B" w14:textId="77777777" w:rsidR="00133CFF" w:rsidRDefault="00133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2B02" w14:textId="77777777" w:rsidR="00B111C0" w:rsidRDefault="00B111C0" w:rsidP="009F7DD1">
      <w:pPr>
        <w:spacing w:after="0" w:line="240" w:lineRule="auto"/>
      </w:pPr>
      <w:r>
        <w:separator/>
      </w:r>
    </w:p>
  </w:footnote>
  <w:footnote w:type="continuationSeparator" w:id="0">
    <w:p w14:paraId="1308AE4F" w14:textId="77777777" w:rsidR="00B111C0" w:rsidRDefault="00B111C0" w:rsidP="009F7D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hyphenationZone w:val="42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Euro Radiology 1&lt;/Style&gt;&lt;LeftDelim&gt;{&lt;/LeftDelim&gt;&lt;RightDelim&gt;}&lt;/RightDelim&gt;&lt;FontName&gt;맑은 고딕&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t5tepz7vvtxsesxr5p9rpgradxaf9s50xe&quot;&gt;mwa&lt;record-ids&gt;&lt;item&gt;12&lt;/item&gt;&lt;item&gt;13&lt;/item&gt;&lt;/record-ids&gt;&lt;/item&gt;&lt;/Libraries&gt;"/>
  </w:docVars>
  <w:rsids>
    <w:rsidRoot w:val="00A65B44"/>
    <w:rsid w:val="0012213F"/>
    <w:rsid w:val="00133CFF"/>
    <w:rsid w:val="003E758F"/>
    <w:rsid w:val="007430D2"/>
    <w:rsid w:val="00901AA0"/>
    <w:rsid w:val="009F7DD1"/>
    <w:rsid w:val="00A65B44"/>
    <w:rsid w:val="00B111C0"/>
    <w:rsid w:val="00C33E97"/>
    <w:rsid w:val="00D850E3"/>
    <w:rsid w:val="00DF01A1"/>
    <w:rsid w:val="00FF51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20F10"/>
  <w15:chartTrackingRefBased/>
  <w15:docId w15:val="{4C5E4B39-1B82-41B9-811C-E6CBCF28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B44"/>
    <w:pPr>
      <w:widowControl w:val="0"/>
      <w:wordWrap w:val="0"/>
      <w:autoSpaceDE w:val="0"/>
      <w:autoSpaceDN w:val="0"/>
      <w:jc w:val="left"/>
    </w:pPr>
    <w:rPr>
      <w:kern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DD1"/>
    <w:pPr>
      <w:tabs>
        <w:tab w:val="center" w:pos="4513"/>
        <w:tab w:val="right" w:pos="9026"/>
      </w:tabs>
      <w:snapToGrid w:val="0"/>
    </w:pPr>
  </w:style>
  <w:style w:type="character" w:customStyle="1" w:styleId="HeaderChar">
    <w:name w:val="Header Char"/>
    <w:basedOn w:val="DefaultParagraphFont"/>
    <w:link w:val="Header"/>
    <w:uiPriority w:val="99"/>
    <w:rsid w:val="009F7DD1"/>
    <w:rPr>
      <w:kern w:val="0"/>
      <w:sz w:val="22"/>
    </w:rPr>
  </w:style>
  <w:style w:type="paragraph" w:styleId="Footer">
    <w:name w:val="footer"/>
    <w:basedOn w:val="Normal"/>
    <w:link w:val="FooterChar"/>
    <w:uiPriority w:val="99"/>
    <w:unhideWhenUsed/>
    <w:rsid w:val="009F7DD1"/>
    <w:pPr>
      <w:tabs>
        <w:tab w:val="center" w:pos="4513"/>
        <w:tab w:val="right" w:pos="9026"/>
      </w:tabs>
      <w:snapToGrid w:val="0"/>
    </w:pPr>
  </w:style>
  <w:style w:type="character" w:customStyle="1" w:styleId="FooterChar">
    <w:name w:val="Footer Char"/>
    <w:basedOn w:val="DefaultParagraphFont"/>
    <w:link w:val="Footer"/>
    <w:uiPriority w:val="99"/>
    <w:rsid w:val="009F7DD1"/>
    <w:rPr>
      <w:kern w:val="0"/>
      <w:sz w:val="22"/>
    </w:rPr>
  </w:style>
  <w:style w:type="paragraph" w:customStyle="1" w:styleId="EndNoteBibliographyTitle">
    <w:name w:val="EndNote Bibliography Title"/>
    <w:basedOn w:val="Normal"/>
    <w:link w:val="EndNoteBibliographyTitleChar"/>
    <w:rsid w:val="00901AA0"/>
    <w:pPr>
      <w:spacing w:after="0"/>
      <w:jc w:val="center"/>
    </w:pPr>
    <w:rPr>
      <w:rFonts w:ascii="Malgun Gothic" w:eastAsia="Malgun Gothic" w:hAnsi="Malgun Gothic"/>
      <w:noProof/>
    </w:rPr>
  </w:style>
  <w:style w:type="character" w:customStyle="1" w:styleId="EndNoteBibliographyTitleChar">
    <w:name w:val="EndNote Bibliography Title Char"/>
    <w:basedOn w:val="DefaultParagraphFont"/>
    <w:link w:val="EndNoteBibliographyTitle"/>
    <w:rsid w:val="00901AA0"/>
    <w:rPr>
      <w:rFonts w:ascii="Malgun Gothic" w:eastAsia="Malgun Gothic" w:hAnsi="Malgun Gothic"/>
      <w:noProof/>
      <w:kern w:val="0"/>
      <w:sz w:val="22"/>
    </w:rPr>
  </w:style>
  <w:style w:type="paragraph" w:customStyle="1" w:styleId="EndNoteBibliography">
    <w:name w:val="EndNote Bibliography"/>
    <w:basedOn w:val="Normal"/>
    <w:link w:val="EndNoteBibliographyChar"/>
    <w:rsid w:val="00901AA0"/>
    <w:pPr>
      <w:spacing w:line="240" w:lineRule="auto"/>
      <w:jc w:val="both"/>
    </w:pPr>
    <w:rPr>
      <w:rFonts w:ascii="Malgun Gothic" w:eastAsia="Malgun Gothic" w:hAnsi="Malgun Gothic"/>
      <w:noProof/>
    </w:rPr>
  </w:style>
  <w:style w:type="character" w:customStyle="1" w:styleId="EndNoteBibliographyChar">
    <w:name w:val="EndNote Bibliography Char"/>
    <w:basedOn w:val="DefaultParagraphFont"/>
    <w:link w:val="EndNoteBibliography"/>
    <w:rsid w:val="00901AA0"/>
    <w:rPr>
      <w:rFonts w:ascii="Malgun Gothic" w:eastAsia="Malgun Gothic" w:hAnsi="Malgun Gothic"/>
      <w:noProof/>
      <w:kern w:val="0"/>
      <w:sz w:val="22"/>
    </w:rPr>
  </w:style>
  <w:style w:type="paragraph" w:styleId="Revision">
    <w:name w:val="Revision"/>
    <w:hidden/>
    <w:uiPriority w:val="99"/>
    <w:semiHidden/>
    <w:rsid w:val="00133CFF"/>
    <w:pPr>
      <w:spacing w:after="0" w:line="240" w:lineRule="auto"/>
      <w:jc w:val="left"/>
    </w:pPr>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4874</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ESR - Walker Thomas</cp:lastModifiedBy>
  <cp:revision>2</cp:revision>
  <dcterms:created xsi:type="dcterms:W3CDTF">2022-03-15T08:58:00Z</dcterms:created>
  <dcterms:modified xsi:type="dcterms:W3CDTF">2022-03-15T08:58:00Z</dcterms:modified>
</cp:coreProperties>
</file>