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3413C" w14:textId="77777777" w:rsidR="00BB54B4" w:rsidRDefault="00BB54B4" w:rsidP="00BB54B4">
      <w:pPr>
        <w:rPr>
          <w:rFonts w:ascii="Times New Roman" w:hAnsi="Times New Roman" w:cs="Times New Roman"/>
          <w:sz w:val="22"/>
        </w:rPr>
      </w:pPr>
      <w:bookmarkStart w:id="0" w:name="_GoBack"/>
      <w:bookmarkEnd w:id="0"/>
      <w:r w:rsidRPr="00BB54B4">
        <w:rPr>
          <w:rFonts w:ascii="Times New Roman" w:hAnsi="Times New Roman" w:cs="Times New Roman"/>
          <w:b/>
          <w:sz w:val="22"/>
        </w:rPr>
        <w:t xml:space="preserve">Table </w:t>
      </w:r>
      <w:r w:rsidR="008A701F">
        <w:rPr>
          <w:rFonts w:ascii="Times New Roman" w:hAnsi="Times New Roman" w:cs="Times New Roman"/>
          <w:b/>
          <w:sz w:val="22"/>
        </w:rPr>
        <w:t>S</w:t>
      </w:r>
      <w:r w:rsidRPr="00BB54B4">
        <w:rPr>
          <w:rFonts w:ascii="Times New Roman" w:hAnsi="Times New Roman" w:cs="Times New Roman"/>
          <w:b/>
          <w:sz w:val="22"/>
        </w:rPr>
        <w:t>1.</w:t>
      </w:r>
      <w:r>
        <w:rPr>
          <w:rFonts w:ascii="Times New Roman" w:hAnsi="Times New Roman" w:cs="Times New Roman"/>
          <w:sz w:val="22"/>
        </w:rPr>
        <w:t xml:space="preserve"> The six key domains of the radiomics quality score  </w:t>
      </w:r>
    </w:p>
    <w:tbl>
      <w:tblPr>
        <w:tblStyle w:val="TableGrid"/>
        <w:tblpPr w:leftFromText="142" w:rightFromText="142" w:horzAnchor="margin" w:tblpY="7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"/>
        <w:gridCol w:w="1651"/>
        <w:gridCol w:w="5646"/>
        <w:gridCol w:w="3685"/>
        <w:gridCol w:w="1418"/>
      </w:tblGrid>
      <w:tr w:rsidR="00BB54B4" w14:paraId="6479A097" w14:textId="77777777" w:rsidTr="00BB54B4"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6A801A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Domain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C12F1A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38C120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55C9D0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score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2BD43B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RQS criteria</w:t>
            </w:r>
          </w:p>
        </w:tc>
      </w:tr>
      <w:tr w:rsidR="00BB54B4" w14:paraId="0AB71540" w14:textId="77777777" w:rsidTr="00BB54B4"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12B3CC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886503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Image protocol quality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97FE02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Well-documented image protocols (for example, contrast, slice thickness, energy, etc.) and/or usage of public image protocols allow reproducibility/replicability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F84501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+ 1 (if protocols are well-documented) </w:t>
            </w:r>
          </w:p>
          <w:p w14:paraId="307C0CA2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+ 1 (if public protocol is used) </w:t>
            </w:r>
          </w:p>
          <w:p w14:paraId="21FD7174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F63760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BB54B4" w14:paraId="4DEF7C39" w14:textId="77777777" w:rsidTr="00BB54B4">
        <w:tc>
          <w:tcPr>
            <w:tcW w:w="925" w:type="dxa"/>
          </w:tcPr>
          <w:p w14:paraId="2CB6F4A5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420DB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Multiple segmentations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FD2CE7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egmentation by different physicians/algorithms/software, perturbing segmentations by (random) noise, segmentation at different breathing cycles.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Analyse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 feature robustness to segmentation variabilities </w:t>
            </w:r>
          </w:p>
          <w:p w14:paraId="28B06E5E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86CB77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+ 1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385A5D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BB54B4" w14:paraId="72BA6C4E" w14:textId="77777777" w:rsidTr="00BB54B4">
        <w:tc>
          <w:tcPr>
            <w:tcW w:w="925" w:type="dxa"/>
          </w:tcPr>
          <w:p w14:paraId="777D79C2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B50CA0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Phantom study on all scanners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B2276B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Detect inter-scanner differences and vendor-dependent features.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Analyse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 feature robustness to these sources of variability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9F3726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+ 1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136946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BB54B4" w14:paraId="128381A9" w14:textId="77777777" w:rsidTr="00BB54B4"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9F048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E3F569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Imaging at multiple time points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4AB5B5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Collect images of individuals at additional time points.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Analyse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 feature robustness to temporal variabilities (for example, organ movement, organ expansion/ shrinkage)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299E32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+ 1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A6BBE8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BB54B4" w14:paraId="24B548EB" w14:textId="77777777" w:rsidTr="00BB54B4"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11E3B8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59F3F0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Feature reduction or adjustment for multiple testing 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F0462F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Decreases the risk of overfitting. Overfitting is inevitable if the number of features exceeds the number of samples. Consider feature robustness when selecting features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146A0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- 3 (if neither measure is implemented) + 3 (if either measure is implemented) </w:t>
            </w:r>
          </w:p>
          <w:p w14:paraId="21BF41E4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4F9288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BB54B4" w14:paraId="02A3CD32" w14:textId="77777777" w:rsidTr="00BB54B4"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B2D38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C2B2FA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Validation 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5927C4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The validation is performed without retraining and without adaptation of the cut-off value, provides crucial information with regards to credible clinical performance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576949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- 5 (if validation is missing) </w:t>
            </w:r>
          </w:p>
          <w:p w14:paraId="636F029D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+ 2 (if validation is based on a dataset from the same institute) </w:t>
            </w:r>
          </w:p>
          <w:p w14:paraId="34C42CDC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+ 3 (if validation is based on a dataset from another institute) </w:t>
            </w:r>
          </w:p>
          <w:p w14:paraId="64F9B602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+ 4 (if validation is based on two datasets from two distinct institutes) </w:t>
            </w:r>
          </w:p>
          <w:p w14:paraId="5AC84C82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+ 4 (if the study validates a previously </w:t>
            </w: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lastRenderedPageBreak/>
              <w:t xml:space="preserve">published signature) </w:t>
            </w:r>
          </w:p>
          <w:p w14:paraId="512BF2A3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+ 5 (if validation is based on three or more datasets from distinct institutes) </w:t>
            </w:r>
          </w:p>
          <w:p w14:paraId="1E084822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C40FED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12</w:t>
            </w:r>
          </w:p>
        </w:tc>
      </w:tr>
      <w:tr w:rsidR="00BB54B4" w14:paraId="50AFC117" w14:textId="77777777" w:rsidTr="00BB54B4"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039F53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041AC7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Multivariable analysis with non-radiomics features </w:t>
            </w:r>
          </w:p>
          <w:p w14:paraId="2F843D27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2ADA7B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(for example, EGFR mutation) - is expected to provide a more holistic model. Permits correlating/inferencing between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radiomics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and non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radiomics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features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0C8E4E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+1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BC1649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BB54B4" w14:paraId="1DBA74BC" w14:textId="77777777" w:rsidTr="00BB54B4">
        <w:tc>
          <w:tcPr>
            <w:tcW w:w="925" w:type="dxa"/>
          </w:tcPr>
          <w:p w14:paraId="018F6FA4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BAA9B6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Detect and discuss biological correlates </w:t>
            </w:r>
          </w:p>
          <w:p w14:paraId="720DA1BA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0256A2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Demonstration of phenotypic differences (possibly associated with underlying gene–protein expression patterns) deepens understanding of radiomics and biology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C23448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+1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5C872B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BB54B4" w14:paraId="4EEDDDC8" w14:textId="77777777" w:rsidTr="00BB54B4">
        <w:tc>
          <w:tcPr>
            <w:tcW w:w="925" w:type="dxa"/>
          </w:tcPr>
          <w:p w14:paraId="151D0A4B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0A95A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Comparison to ‘gold standard’ </w:t>
            </w:r>
          </w:p>
          <w:p w14:paraId="7E0DADD2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D2401B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Assess the extent to which the model agrees with/is superior to the current ‘gold standard’ method (for example, TNM-staging for survival prediction). This comparison shows the added value of radiomics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F23E86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+2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55781E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</w:t>
            </w:r>
          </w:p>
        </w:tc>
      </w:tr>
      <w:tr w:rsidR="00BB54B4" w14:paraId="35C43A3C" w14:textId="77777777" w:rsidTr="00BB54B4"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2150E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CE73EE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Potential clinical utility  </w:t>
            </w:r>
          </w:p>
          <w:p w14:paraId="4A4253FE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9D0BA4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Report on the current and potential application of the model in a clinical setting (for example, decision curve analysis).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D480A6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+2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5833B3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</w:t>
            </w:r>
          </w:p>
        </w:tc>
      </w:tr>
      <w:tr w:rsidR="00BB54B4" w14:paraId="383E5B15" w14:textId="77777777" w:rsidTr="00BB54B4"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FAF254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2F54E3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Cut-off analyses 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D8502B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Determine risk groups by either the median, a previously published cut-off or report a continuous risk variable. Reduces the risk of reporting overly optimistic results </w:t>
            </w:r>
          </w:p>
          <w:p w14:paraId="64887B4D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EF3893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+1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5A460F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BB54B4" w14:paraId="6824AD3E" w14:textId="77777777" w:rsidTr="00BB54B4">
        <w:tc>
          <w:tcPr>
            <w:tcW w:w="925" w:type="dxa"/>
          </w:tcPr>
          <w:p w14:paraId="4B38FFDB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C5C7B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Discrimination statistics </w:t>
            </w:r>
          </w:p>
          <w:p w14:paraId="2934D86A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5F2C67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Report discrimination statistics (for example, C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noBreakHyphen/>
              <w:t>statistic, ROC curve, AUC) and their statistical significance (for example, p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noBreakHyphen/>
              <w:t>values, confidence intervals). One can also apply resampling method (for example, bootstrapping, cross-validation)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3759B7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+ 1 (if a discrimination statistic and its statistical significance are reported) + 1 (if a resampling method technique is also applied) </w:t>
            </w:r>
          </w:p>
          <w:p w14:paraId="0F798359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B093D8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</w:t>
            </w:r>
          </w:p>
        </w:tc>
      </w:tr>
      <w:tr w:rsidR="00BB54B4" w14:paraId="7A739380" w14:textId="77777777" w:rsidTr="00BB54B4"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171351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4CE491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Calibration statistics 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E955DB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Report calibration statistics (for example, Calibration-in</w:t>
            </w: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noBreakHyphen/>
              <w:t xml:space="preserve">the-large/slope, calibration plots) and their statistical significance (for example,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kern w:val="2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noBreakHyphen/>
              <w:t xml:space="preserve">values, confidence intervals). One can also apply resampling method (for example, bootstrapping, cross-validation) </w:t>
            </w:r>
          </w:p>
          <w:p w14:paraId="2C8FA1D4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011BE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+ 1 (if a calibration statistic and its statistical significance are reported) + 1 (if a resampling method technique is also applied) </w:t>
            </w:r>
          </w:p>
          <w:p w14:paraId="3DF563B1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FE4396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</w:p>
        </w:tc>
      </w:tr>
      <w:tr w:rsidR="00BB54B4" w14:paraId="2180C953" w14:textId="77777777" w:rsidTr="00BB54B4"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EE96AD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74A61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Prospective study registered in a trial database</w:t>
            </w:r>
          </w:p>
          <w:p w14:paraId="328D5BC8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06DAC0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Provides the highest level of evidence supporting the clinical validity and usefulness of the radiomics biomarker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2E273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+ 7 (for prospective validation of a radiomics signature in an appropriate trial) </w:t>
            </w:r>
          </w:p>
          <w:p w14:paraId="77B6226D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53A8D5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</w:t>
            </w:r>
          </w:p>
        </w:tc>
      </w:tr>
      <w:tr w:rsidR="00BB54B4" w14:paraId="2DABEAD1" w14:textId="77777777" w:rsidTr="00BB54B4"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B835BD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F28388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Cost-effectiveness analysis </w:t>
            </w: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CB327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Report on the cost-effectiveness of the clinical application (for example, QALYs generated) </w:t>
            </w:r>
          </w:p>
          <w:p w14:paraId="7761A23A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997AB6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+1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058AD5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</w:t>
            </w:r>
          </w:p>
        </w:tc>
      </w:tr>
      <w:tr w:rsidR="00BB54B4" w14:paraId="4C54D94F" w14:textId="77777777" w:rsidTr="00BB54B4"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5C1ACF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7D4A98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Open science and data  </w:t>
            </w:r>
          </w:p>
          <w:p w14:paraId="58A3896D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DBFD22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Make code and data publicly available. Open science facilitates knowledge transfer and reproducibility of the study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8AAF5B" w14:textId="77777777" w:rsidR="00BB54B4" w:rsidRDefault="00BB54B4">
            <w:pPr>
              <w:pStyle w:val="Pa19"/>
              <w:spacing w:after="80"/>
              <w:jc w:val="both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 xml:space="preserve">+ 1 (if scans are open source) + 1 (if region of interest segmentations are open source) + 1 (if code is open source) + 1 (if radiomics features are calculated on a set of representative ROIs and the calculated features and representative ROIs are open source)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762421" w14:textId="77777777" w:rsidR="00BB54B4" w:rsidRDefault="00BB54B4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</w:t>
            </w:r>
          </w:p>
        </w:tc>
      </w:tr>
    </w:tbl>
    <w:p w14:paraId="6E2184F0" w14:textId="77777777" w:rsidR="009521F6" w:rsidRDefault="00DB453C" w:rsidP="00DB453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–</w:t>
      </w:r>
    </w:p>
    <w:sectPr w:rsidR="009521F6" w:rsidSect="00DB453C">
      <w:footerReference w:type="even" r:id="rId7"/>
      <w:footerReference w:type="default" r:id="rId8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BE79D4" w14:textId="77777777" w:rsidR="00DC2056" w:rsidRDefault="00DC2056" w:rsidP="008A0A96">
      <w:pPr>
        <w:spacing w:after="0" w:line="240" w:lineRule="auto"/>
      </w:pPr>
      <w:r>
        <w:separator/>
      </w:r>
    </w:p>
  </w:endnote>
  <w:endnote w:type="continuationSeparator" w:id="0">
    <w:p w14:paraId="64372D98" w14:textId="77777777" w:rsidR="00DC2056" w:rsidRDefault="00DC2056" w:rsidP="008A0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iverda Sans Com Light">
    <w:altName w:val="Malgun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9267716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0E45F8" w14:textId="38978419" w:rsidR="00FA4CDC" w:rsidRDefault="00FA4CDC" w:rsidP="003975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34CBD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E0E34DA" w14:textId="77777777" w:rsidR="00FA4CDC" w:rsidRDefault="00FA4CDC" w:rsidP="00FA4CD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342B8" w14:textId="39A38336" w:rsidR="00A34CBD" w:rsidRDefault="00A34CBD">
    <w:pPr>
      <w:pStyle w:val="Footer"/>
    </w:pPr>
    <w:proofErr w:type="spellStart"/>
    <w:r>
      <w:t>Eur</w:t>
    </w:r>
    <w:proofErr w:type="spellEnd"/>
    <w:r>
      <w:t xml:space="preserve"> </w:t>
    </w:r>
    <w:proofErr w:type="spellStart"/>
    <w:r>
      <w:t>Radiol</w:t>
    </w:r>
    <w:proofErr w:type="spellEnd"/>
    <w:r>
      <w:t xml:space="preserve"> (2022) </w:t>
    </w:r>
    <w:proofErr w:type="spellStart"/>
    <w:r>
      <w:t>Spadarella</w:t>
    </w:r>
    <w:proofErr w:type="spellEnd"/>
    <w:r>
      <w:t xml:space="preserve"> G, </w:t>
    </w:r>
    <w:proofErr w:type="spellStart"/>
    <w:r>
      <w:t>Stanzione</w:t>
    </w:r>
    <w:proofErr w:type="spellEnd"/>
    <w:r>
      <w:t xml:space="preserve"> A, </w:t>
    </w:r>
    <w:proofErr w:type="spellStart"/>
    <w:r>
      <w:t>D’Antonoli</w:t>
    </w:r>
    <w:proofErr w:type="spellEnd"/>
    <w:r>
      <w:t xml:space="preserve"> TA et al</w:t>
    </w:r>
  </w:p>
  <w:p w14:paraId="705051D6" w14:textId="77777777" w:rsidR="00FA4CDC" w:rsidRDefault="00FA4CDC" w:rsidP="00FA4CD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4547E5" w14:textId="77777777" w:rsidR="00DC2056" w:rsidRDefault="00DC2056" w:rsidP="008A0A96">
      <w:pPr>
        <w:spacing w:after="0" w:line="240" w:lineRule="auto"/>
      </w:pPr>
      <w:r>
        <w:separator/>
      </w:r>
    </w:p>
  </w:footnote>
  <w:footnote w:type="continuationSeparator" w:id="0">
    <w:p w14:paraId="22654273" w14:textId="77777777" w:rsidR="00DC2056" w:rsidRDefault="00DC2056" w:rsidP="008A0A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proofState w:spelling="clean" w:grammar="clean"/>
  <w:defaultTabStop w:val="800"/>
  <w:hyphenationZone w:val="28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9"/>
  </w:docVars>
  <w:rsids>
    <w:rsidRoot w:val="00BB54B4"/>
    <w:rsid w:val="000414DD"/>
    <w:rsid w:val="0005552F"/>
    <w:rsid w:val="00067F5E"/>
    <w:rsid w:val="00095D51"/>
    <w:rsid w:val="000D331B"/>
    <w:rsid w:val="00123D97"/>
    <w:rsid w:val="001349AF"/>
    <w:rsid w:val="00177D58"/>
    <w:rsid w:val="00203335"/>
    <w:rsid w:val="00223665"/>
    <w:rsid w:val="002402B9"/>
    <w:rsid w:val="00305D4A"/>
    <w:rsid w:val="003111E8"/>
    <w:rsid w:val="00393D0A"/>
    <w:rsid w:val="003A29B6"/>
    <w:rsid w:val="003F4F70"/>
    <w:rsid w:val="00421498"/>
    <w:rsid w:val="00472230"/>
    <w:rsid w:val="004F11BC"/>
    <w:rsid w:val="005170DB"/>
    <w:rsid w:val="005330EE"/>
    <w:rsid w:val="005E7C6D"/>
    <w:rsid w:val="00601949"/>
    <w:rsid w:val="00615FD7"/>
    <w:rsid w:val="00662ECE"/>
    <w:rsid w:val="007A338D"/>
    <w:rsid w:val="008023C3"/>
    <w:rsid w:val="0084682A"/>
    <w:rsid w:val="008A0A96"/>
    <w:rsid w:val="008A701F"/>
    <w:rsid w:val="008C773B"/>
    <w:rsid w:val="008D70A1"/>
    <w:rsid w:val="008D7C85"/>
    <w:rsid w:val="009521F6"/>
    <w:rsid w:val="00974991"/>
    <w:rsid w:val="00975D32"/>
    <w:rsid w:val="009820D6"/>
    <w:rsid w:val="009913C7"/>
    <w:rsid w:val="009C17AD"/>
    <w:rsid w:val="009D7976"/>
    <w:rsid w:val="009E1946"/>
    <w:rsid w:val="00A34CBD"/>
    <w:rsid w:val="00A45FA4"/>
    <w:rsid w:val="00AB6DDD"/>
    <w:rsid w:val="00AC574B"/>
    <w:rsid w:val="00B51272"/>
    <w:rsid w:val="00B773DD"/>
    <w:rsid w:val="00B8698A"/>
    <w:rsid w:val="00BB54B4"/>
    <w:rsid w:val="00CA6D68"/>
    <w:rsid w:val="00CC0449"/>
    <w:rsid w:val="00CE43C0"/>
    <w:rsid w:val="00D20DAF"/>
    <w:rsid w:val="00D629B3"/>
    <w:rsid w:val="00D70322"/>
    <w:rsid w:val="00DB453C"/>
    <w:rsid w:val="00DC2056"/>
    <w:rsid w:val="00DC335F"/>
    <w:rsid w:val="00E002F4"/>
    <w:rsid w:val="00E82E04"/>
    <w:rsid w:val="00E8704D"/>
    <w:rsid w:val="00F52915"/>
    <w:rsid w:val="00FA4CDC"/>
    <w:rsid w:val="00FB045F"/>
    <w:rsid w:val="00FE444F"/>
    <w:rsid w:val="00FF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4654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4B4"/>
    <w:pPr>
      <w:widowControl w:val="0"/>
      <w:wordWrap w:val="0"/>
      <w:autoSpaceDE w:val="0"/>
      <w:autoSpaceDN w:val="0"/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19">
    <w:name w:val="Pa19"/>
    <w:basedOn w:val="Normal"/>
    <w:next w:val="Normal"/>
    <w:uiPriority w:val="99"/>
    <w:rsid w:val="00BB54B4"/>
    <w:pPr>
      <w:wordWrap/>
      <w:adjustRightInd w:val="0"/>
      <w:spacing w:after="0" w:line="171" w:lineRule="atLeast"/>
      <w:jc w:val="left"/>
    </w:pPr>
    <w:rPr>
      <w:rFonts w:ascii="Diverda Sans Com Light" w:eastAsia="Diverda Sans Com Light"/>
      <w:kern w:val="0"/>
      <w:sz w:val="24"/>
      <w:szCs w:val="24"/>
    </w:rPr>
  </w:style>
  <w:style w:type="table" w:styleId="TableGrid">
    <w:name w:val="Table Grid"/>
    <w:basedOn w:val="TableNormal"/>
    <w:uiPriority w:val="39"/>
    <w:rsid w:val="00BB5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A9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A0A96"/>
  </w:style>
  <w:style w:type="paragraph" w:styleId="Footer">
    <w:name w:val="footer"/>
    <w:basedOn w:val="Normal"/>
    <w:link w:val="FooterChar"/>
    <w:uiPriority w:val="99"/>
    <w:unhideWhenUsed/>
    <w:rsid w:val="008A0A9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A0A96"/>
  </w:style>
  <w:style w:type="paragraph" w:styleId="BalloonText">
    <w:name w:val="Balloon Text"/>
    <w:basedOn w:val="Normal"/>
    <w:link w:val="BalloonTextChar"/>
    <w:uiPriority w:val="99"/>
    <w:semiHidden/>
    <w:unhideWhenUsed/>
    <w:rsid w:val="008A0A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A96"/>
    <w:rPr>
      <w:rFonts w:asciiTheme="majorHAnsi" w:eastAsiaTheme="majorEastAsia" w:hAnsiTheme="majorHAnsi" w:cstheme="majorBid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A4C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4B4"/>
    <w:pPr>
      <w:widowControl w:val="0"/>
      <w:wordWrap w:val="0"/>
      <w:autoSpaceDE w:val="0"/>
      <w:autoSpaceDN w:val="0"/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19">
    <w:name w:val="Pa19"/>
    <w:basedOn w:val="Normal"/>
    <w:next w:val="Normal"/>
    <w:uiPriority w:val="99"/>
    <w:rsid w:val="00BB54B4"/>
    <w:pPr>
      <w:wordWrap/>
      <w:adjustRightInd w:val="0"/>
      <w:spacing w:after="0" w:line="171" w:lineRule="atLeast"/>
      <w:jc w:val="left"/>
    </w:pPr>
    <w:rPr>
      <w:rFonts w:ascii="Diverda Sans Com Light" w:eastAsia="Diverda Sans Com Light"/>
      <w:kern w:val="0"/>
      <w:sz w:val="24"/>
      <w:szCs w:val="24"/>
    </w:rPr>
  </w:style>
  <w:style w:type="table" w:styleId="TableGrid">
    <w:name w:val="Table Grid"/>
    <w:basedOn w:val="TableNormal"/>
    <w:uiPriority w:val="39"/>
    <w:rsid w:val="00BB5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A9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A0A96"/>
  </w:style>
  <w:style w:type="paragraph" w:styleId="Footer">
    <w:name w:val="footer"/>
    <w:basedOn w:val="Normal"/>
    <w:link w:val="FooterChar"/>
    <w:uiPriority w:val="99"/>
    <w:unhideWhenUsed/>
    <w:rsid w:val="008A0A9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A0A96"/>
  </w:style>
  <w:style w:type="paragraph" w:styleId="BalloonText">
    <w:name w:val="Balloon Text"/>
    <w:basedOn w:val="Normal"/>
    <w:link w:val="BalloonTextChar"/>
    <w:uiPriority w:val="99"/>
    <w:semiHidden/>
    <w:unhideWhenUsed/>
    <w:rsid w:val="008A0A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A96"/>
    <w:rPr>
      <w:rFonts w:asciiTheme="majorHAnsi" w:eastAsiaTheme="majorEastAsia" w:hAnsiTheme="majorHAnsi" w:cstheme="majorBid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A4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3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RBARREDO</cp:lastModifiedBy>
  <cp:revision>2</cp:revision>
  <dcterms:created xsi:type="dcterms:W3CDTF">2022-10-11T12:57:00Z</dcterms:created>
  <dcterms:modified xsi:type="dcterms:W3CDTF">2022-10-18T06:32:00Z</dcterms:modified>
</cp:coreProperties>
</file>