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04A54" w14:textId="457513DC" w:rsidR="00DE0B7A" w:rsidRPr="00C47ABE" w:rsidRDefault="00DE0B7A" w:rsidP="00DE0B7A">
      <w:pPr>
        <w:pStyle w:val="Listenabsatz"/>
        <w:spacing w:line="360" w:lineRule="auto"/>
        <w:ind w:left="0"/>
        <w:jc w:val="both"/>
        <w:rPr>
          <w:rFonts w:ascii="Times New Roman" w:hAnsi="Times New Roman" w:cs="Times New Roman"/>
          <w:b/>
          <w:bCs/>
          <w:color w:val="000000" w:themeColor="text1"/>
          <w:sz w:val="28"/>
          <w:szCs w:val="28"/>
          <w:lang w:val="en-GB"/>
        </w:rPr>
      </w:pPr>
      <w:r w:rsidRPr="00FE41BF">
        <w:rPr>
          <w:rFonts w:ascii="Times New Roman" w:hAnsi="Times New Roman" w:cs="Times New Roman"/>
          <w:b/>
          <w:bCs/>
          <w:sz w:val="28"/>
          <w:szCs w:val="28"/>
          <w:lang w:val="en-GB"/>
        </w:rPr>
        <w:t xml:space="preserve">Evolution of plant exploitation </w:t>
      </w:r>
      <w:r w:rsidR="00C05B83" w:rsidRPr="00FE41BF">
        <w:rPr>
          <w:rFonts w:ascii="Times New Roman" w:hAnsi="Times New Roman" w:cs="Times New Roman"/>
          <w:b/>
          <w:bCs/>
          <w:sz w:val="28"/>
          <w:szCs w:val="28"/>
          <w:lang w:val="en-GB"/>
        </w:rPr>
        <w:t>strategies</w:t>
      </w:r>
      <w:r w:rsidRPr="00FE41BF">
        <w:rPr>
          <w:rFonts w:ascii="Times New Roman" w:hAnsi="Times New Roman" w:cs="Times New Roman"/>
          <w:b/>
          <w:bCs/>
          <w:sz w:val="28"/>
          <w:szCs w:val="28"/>
          <w:lang w:val="en-GB"/>
        </w:rPr>
        <w:t xml:space="preserve"> of Early and Late Natufian hunter-gatherers in Shubayqa 1 (14,600-11,500 cal BP), Black Desert </w:t>
      </w:r>
      <w:r w:rsidRPr="00C47ABE">
        <w:rPr>
          <w:rFonts w:ascii="Times New Roman" w:hAnsi="Times New Roman" w:cs="Times New Roman"/>
          <w:b/>
          <w:bCs/>
          <w:color w:val="000000" w:themeColor="text1"/>
          <w:sz w:val="28"/>
          <w:szCs w:val="28"/>
          <w:lang w:val="en-GB"/>
        </w:rPr>
        <w:t>of Jordan</w:t>
      </w:r>
    </w:p>
    <w:p w14:paraId="42003FFF" w14:textId="77777777" w:rsidR="00DE0B7A" w:rsidRPr="000644CF" w:rsidRDefault="00DE0B7A" w:rsidP="00DE0B7A">
      <w:pPr>
        <w:spacing w:before="100" w:beforeAutospacing="1" w:after="160" w:line="360" w:lineRule="auto"/>
        <w:contextualSpacing/>
        <w:jc w:val="both"/>
        <w:rPr>
          <w:b/>
          <w:bCs/>
          <w:sz w:val="18"/>
          <w:szCs w:val="18"/>
          <w:lang w:val="en-GB"/>
        </w:rPr>
      </w:pPr>
      <w:r w:rsidRPr="000644CF">
        <w:rPr>
          <w:b/>
          <w:bCs/>
          <w:sz w:val="18"/>
          <w:szCs w:val="18"/>
          <w:lang w:val="en-GB"/>
        </w:rPr>
        <w:t xml:space="preserve">Barbara Proserpio </w:t>
      </w:r>
    </w:p>
    <w:p w14:paraId="1EA3FE6B" w14:textId="77777777" w:rsidR="00DE0B7A" w:rsidRPr="000644CF" w:rsidRDefault="00DE0B7A" w:rsidP="00DE0B7A">
      <w:pPr>
        <w:spacing w:before="100" w:beforeAutospacing="1" w:after="160" w:line="360" w:lineRule="auto"/>
        <w:contextualSpacing/>
        <w:jc w:val="both"/>
        <w:rPr>
          <w:b/>
          <w:bCs/>
          <w:sz w:val="18"/>
          <w:szCs w:val="18"/>
          <w:lang w:val="en-GB"/>
        </w:rPr>
      </w:pPr>
      <w:r w:rsidRPr="000644CF">
        <w:rPr>
          <w:sz w:val="18"/>
          <w:szCs w:val="18"/>
          <w:lang w:val="en-GB"/>
        </w:rPr>
        <w:t xml:space="preserve">University of the Basque Country (Department of Geography, Prehistory and Archaeology), Vitoria-Gasteiz, Spain. Orcid nº: </w:t>
      </w:r>
      <w:hyperlink r:id="rId4" w:history="1">
        <w:r w:rsidRPr="000644CF">
          <w:rPr>
            <w:rStyle w:val="Hyperlink"/>
            <w:sz w:val="18"/>
            <w:szCs w:val="18"/>
            <w:lang w:val="en-GB"/>
          </w:rPr>
          <w:t>https://orcid.org/0009-0001-1588-0624</w:t>
        </w:r>
      </w:hyperlink>
    </w:p>
    <w:p w14:paraId="14640E1D" w14:textId="77777777" w:rsidR="00DE0B7A" w:rsidRPr="000644CF" w:rsidRDefault="00DE0B7A" w:rsidP="00DE0B7A">
      <w:pPr>
        <w:spacing w:before="100" w:beforeAutospacing="1" w:after="160" w:line="360" w:lineRule="auto"/>
        <w:contextualSpacing/>
        <w:jc w:val="both"/>
        <w:rPr>
          <w:sz w:val="18"/>
          <w:szCs w:val="18"/>
          <w:lang w:val="en-GB"/>
        </w:rPr>
      </w:pPr>
      <w:r w:rsidRPr="000644CF">
        <w:rPr>
          <w:sz w:val="18"/>
          <w:szCs w:val="18"/>
          <w:lang w:val="en-GB"/>
        </w:rPr>
        <w:t xml:space="preserve">Corresponding author: </w:t>
      </w:r>
      <w:hyperlink r:id="rId5" w:history="1">
        <w:r w:rsidRPr="000644CF">
          <w:rPr>
            <w:rStyle w:val="Hyperlink"/>
            <w:sz w:val="18"/>
            <w:szCs w:val="18"/>
            <w:lang w:val="en-GB"/>
          </w:rPr>
          <w:t>barbara.proserpio@ehu.eus</w:t>
        </w:r>
      </w:hyperlink>
    </w:p>
    <w:p w14:paraId="5D7E2DB3" w14:textId="77777777" w:rsidR="00DE0B7A" w:rsidRPr="000644CF" w:rsidRDefault="00DE0B7A" w:rsidP="00DE0B7A">
      <w:pPr>
        <w:spacing w:before="100" w:beforeAutospacing="1" w:after="160" w:line="360" w:lineRule="auto"/>
        <w:contextualSpacing/>
        <w:jc w:val="both"/>
        <w:rPr>
          <w:sz w:val="18"/>
          <w:szCs w:val="18"/>
          <w:lang w:val="en-GB"/>
        </w:rPr>
      </w:pPr>
      <w:r w:rsidRPr="000644CF">
        <w:rPr>
          <w:b/>
          <w:bCs/>
          <w:sz w:val="18"/>
          <w:szCs w:val="18"/>
          <w:lang w:val="en-GB"/>
        </w:rPr>
        <w:t>Jon Aldaia Aierbe</w:t>
      </w:r>
    </w:p>
    <w:p w14:paraId="4CAC0A96" w14:textId="77777777" w:rsidR="00DE0B7A" w:rsidRPr="000644CF" w:rsidRDefault="00DE0B7A" w:rsidP="00DE0B7A">
      <w:pPr>
        <w:spacing w:before="100" w:beforeAutospacing="1" w:after="160" w:line="360" w:lineRule="auto"/>
        <w:contextualSpacing/>
        <w:jc w:val="both"/>
        <w:rPr>
          <w:sz w:val="18"/>
          <w:szCs w:val="18"/>
          <w:lang w:val="en-GB"/>
        </w:rPr>
      </w:pPr>
      <w:r w:rsidRPr="000644CF">
        <w:rPr>
          <w:sz w:val="18"/>
          <w:szCs w:val="18"/>
          <w:lang w:val="en-GB"/>
        </w:rPr>
        <w:t xml:space="preserve">University of the Basque Country (Department of Geography, Prehistory and Archaeology), Vitoria-Gasteiz, Spain. Aranzadi Society of Sciences (Prehistory department), Donostia/San Sebastian, Spain. Orcid nº: </w:t>
      </w:r>
      <w:hyperlink r:id="rId6" w:history="1">
        <w:r w:rsidRPr="000644CF">
          <w:rPr>
            <w:rStyle w:val="Hyperlink"/>
            <w:sz w:val="18"/>
            <w:szCs w:val="18"/>
            <w:lang w:val="en-GB"/>
          </w:rPr>
          <w:t>https://orcid.org/0009-0008-5106-4588</w:t>
        </w:r>
      </w:hyperlink>
    </w:p>
    <w:p w14:paraId="7F1EFF2B" w14:textId="77777777" w:rsidR="00DE0B7A" w:rsidRPr="000644CF" w:rsidRDefault="00DE0B7A" w:rsidP="00DE0B7A">
      <w:pPr>
        <w:spacing w:before="100" w:beforeAutospacing="1" w:after="160" w:line="360" w:lineRule="auto"/>
        <w:contextualSpacing/>
        <w:jc w:val="both"/>
        <w:rPr>
          <w:b/>
          <w:bCs/>
          <w:sz w:val="18"/>
          <w:szCs w:val="18"/>
          <w:lang w:val="en-GB"/>
        </w:rPr>
      </w:pPr>
      <w:r w:rsidRPr="000644CF">
        <w:rPr>
          <w:b/>
          <w:bCs/>
          <w:sz w:val="18"/>
          <w:szCs w:val="18"/>
          <w:lang w:val="en-GB"/>
        </w:rPr>
        <w:t xml:space="preserve">Marc Cárdenas </w:t>
      </w:r>
    </w:p>
    <w:p w14:paraId="63301D4A" w14:textId="77777777" w:rsidR="00DE0B7A" w:rsidRPr="000644CF" w:rsidRDefault="00DE0B7A" w:rsidP="00DE0B7A">
      <w:pPr>
        <w:spacing w:before="100" w:beforeAutospacing="1" w:line="360" w:lineRule="auto"/>
        <w:contextualSpacing/>
        <w:jc w:val="both"/>
        <w:rPr>
          <w:sz w:val="18"/>
          <w:szCs w:val="18"/>
          <w:lang w:val="en-GB"/>
        </w:rPr>
      </w:pPr>
      <w:r w:rsidRPr="000644CF">
        <w:rPr>
          <w:sz w:val="18"/>
          <w:szCs w:val="18"/>
          <w:lang w:val="en-GB"/>
        </w:rPr>
        <w:t xml:space="preserve">University of the Basque Country (Department of Geography, Prehistory and Archaeology), Vitoria-Gasteiz, Spain. Orcid nº: </w:t>
      </w:r>
      <w:hyperlink r:id="rId7" w:history="1">
        <w:r w:rsidRPr="000644CF">
          <w:rPr>
            <w:rStyle w:val="Hyperlink"/>
            <w:sz w:val="18"/>
            <w:szCs w:val="18"/>
            <w:lang w:val="en-GB"/>
          </w:rPr>
          <w:t>https://orcid.org/0000-0002-2459-2464</w:t>
        </w:r>
      </w:hyperlink>
    </w:p>
    <w:p w14:paraId="47E085B6" w14:textId="77777777" w:rsidR="00DE0B7A" w:rsidRPr="000644CF" w:rsidRDefault="00DE0B7A" w:rsidP="00DE0B7A">
      <w:pPr>
        <w:spacing w:before="100" w:beforeAutospacing="1" w:after="160" w:line="360" w:lineRule="auto"/>
        <w:contextualSpacing/>
        <w:jc w:val="both"/>
        <w:rPr>
          <w:b/>
          <w:bCs/>
          <w:sz w:val="18"/>
          <w:szCs w:val="18"/>
          <w:lang w:val="en-GB"/>
        </w:rPr>
      </w:pPr>
      <w:r w:rsidRPr="000644CF">
        <w:rPr>
          <w:b/>
          <w:bCs/>
          <w:sz w:val="18"/>
          <w:szCs w:val="18"/>
          <w:lang w:val="en-GB"/>
        </w:rPr>
        <w:t>Tobias Richter</w:t>
      </w:r>
    </w:p>
    <w:p w14:paraId="0B766B31" w14:textId="77777777" w:rsidR="00DE0B7A" w:rsidRPr="000644CF" w:rsidRDefault="00DE0B7A" w:rsidP="00DE0B7A">
      <w:pPr>
        <w:spacing w:before="100" w:beforeAutospacing="1" w:line="360" w:lineRule="auto"/>
        <w:contextualSpacing/>
        <w:jc w:val="both"/>
        <w:rPr>
          <w:sz w:val="18"/>
          <w:szCs w:val="18"/>
          <w:lang w:val="en-GB"/>
        </w:rPr>
      </w:pPr>
      <w:r w:rsidRPr="000644CF">
        <w:rPr>
          <w:sz w:val="18"/>
          <w:szCs w:val="18"/>
          <w:lang w:val="en-GB"/>
        </w:rPr>
        <w:t xml:space="preserve">University of Copenhagen (Department of Cross-Cultural and Regional Studies), Copenhagen, Denmark. Orcid nº: </w:t>
      </w:r>
      <w:hyperlink r:id="rId8" w:history="1">
        <w:r w:rsidRPr="000644CF">
          <w:rPr>
            <w:rStyle w:val="Hyperlink"/>
            <w:sz w:val="18"/>
            <w:szCs w:val="18"/>
            <w:lang w:val="en-GB"/>
          </w:rPr>
          <w:t>https://orcid.org/0000-0001-9902-8852</w:t>
        </w:r>
      </w:hyperlink>
    </w:p>
    <w:p w14:paraId="58FAE2A2" w14:textId="77777777" w:rsidR="00DE0B7A" w:rsidRPr="000644CF" w:rsidRDefault="00DE0B7A" w:rsidP="00DE0B7A">
      <w:pPr>
        <w:spacing w:before="100" w:beforeAutospacing="1" w:line="360" w:lineRule="auto"/>
        <w:contextualSpacing/>
        <w:jc w:val="both"/>
        <w:rPr>
          <w:b/>
          <w:bCs/>
          <w:sz w:val="18"/>
          <w:szCs w:val="18"/>
          <w:lang w:val="en-GB"/>
        </w:rPr>
      </w:pPr>
      <w:r w:rsidRPr="000644CF">
        <w:rPr>
          <w:b/>
          <w:bCs/>
          <w:sz w:val="18"/>
          <w:szCs w:val="18"/>
          <w:lang w:val="en-GB"/>
        </w:rPr>
        <w:t>Dorian Q. Fuller</w:t>
      </w:r>
    </w:p>
    <w:p w14:paraId="581AACAC" w14:textId="77777777" w:rsidR="00DD05A8" w:rsidRPr="000644CF" w:rsidRDefault="00DE0B7A" w:rsidP="00DE0B7A">
      <w:pPr>
        <w:spacing w:before="100" w:beforeAutospacing="1" w:line="360" w:lineRule="auto"/>
        <w:contextualSpacing/>
        <w:jc w:val="both"/>
        <w:rPr>
          <w:sz w:val="18"/>
          <w:szCs w:val="18"/>
          <w:lang w:val="en-GB"/>
        </w:rPr>
      </w:pPr>
      <w:r w:rsidRPr="000644CF">
        <w:rPr>
          <w:sz w:val="18"/>
          <w:szCs w:val="18"/>
          <w:lang w:val="en-GB"/>
        </w:rPr>
        <w:t xml:space="preserve">University College London (Institute of Archaeology), London. </w:t>
      </w:r>
    </w:p>
    <w:p w14:paraId="79252036" w14:textId="77777777" w:rsidR="00DD05A8" w:rsidRPr="000644CF" w:rsidRDefault="00DD05A8" w:rsidP="00DD05A8">
      <w:pPr>
        <w:spacing w:before="100" w:beforeAutospacing="1" w:after="160" w:line="360" w:lineRule="auto"/>
        <w:contextualSpacing/>
        <w:jc w:val="both"/>
        <w:rPr>
          <w:sz w:val="18"/>
          <w:szCs w:val="18"/>
          <w:lang w:val="es-ES_tradnl"/>
        </w:rPr>
      </w:pPr>
      <w:r w:rsidRPr="000644CF">
        <w:rPr>
          <w:sz w:val="18"/>
          <w:szCs w:val="18"/>
          <w:lang w:val="es-ES_tradnl"/>
        </w:rPr>
        <w:t>School of Cultural Heritage, North-West University, Xi’an, Shaanxi, China</w:t>
      </w:r>
    </w:p>
    <w:p w14:paraId="1088F263" w14:textId="2051AB62" w:rsidR="00DD05A8" w:rsidRPr="000644CF" w:rsidRDefault="00DD05A8" w:rsidP="00DD05A8">
      <w:pPr>
        <w:spacing w:before="100" w:beforeAutospacing="1" w:line="360" w:lineRule="auto"/>
        <w:contextualSpacing/>
        <w:jc w:val="both"/>
        <w:rPr>
          <w:sz w:val="18"/>
          <w:szCs w:val="18"/>
          <w:lang w:val="en-GB"/>
        </w:rPr>
      </w:pPr>
      <w:r w:rsidRPr="000644CF">
        <w:rPr>
          <w:sz w:val="18"/>
          <w:szCs w:val="18"/>
          <w:lang w:val="es-ES_tradnl"/>
        </w:rPr>
        <w:t>Center for the Study of Chinese Archaeology, Peking University, Beijing, China</w:t>
      </w:r>
    </w:p>
    <w:p w14:paraId="2BD544A8" w14:textId="3675967B" w:rsidR="00DE0B7A" w:rsidRPr="000644CF" w:rsidRDefault="00DE0B7A" w:rsidP="00DE0B7A">
      <w:pPr>
        <w:spacing w:before="100" w:beforeAutospacing="1" w:line="360" w:lineRule="auto"/>
        <w:contextualSpacing/>
        <w:jc w:val="both"/>
        <w:rPr>
          <w:sz w:val="18"/>
          <w:szCs w:val="18"/>
          <w:lang w:val="en-GB"/>
        </w:rPr>
      </w:pPr>
      <w:r w:rsidRPr="000644CF">
        <w:rPr>
          <w:sz w:val="18"/>
          <w:szCs w:val="18"/>
          <w:lang w:val="en-GB"/>
        </w:rPr>
        <w:t xml:space="preserve">Orcid n°: </w:t>
      </w:r>
      <w:hyperlink r:id="rId9" w:history="1">
        <w:r w:rsidRPr="000644CF">
          <w:rPr>
            <w:rStyle w:val="Hyperlink"/>
            <w:sz w:val="18"/>
            <w:szCs w:val="18"/>
            <w:lang w:val="en-GB"/>
          </w:rPr>
          <w:t>https://orcid.org/0000-0002-4859-080X</w:t>
        </w:r>
      </w:hyperlink>
    </w:p>
    <w:p w14:paraId="2FB7B8C6" w14:textId="77777777" w:rsidR="00DE0B7A" w:rsidRPr="000644CF" w:rsidRDefault="00DE0B7A" w:rsidP="00DE0B7A">
      <w:pPr>
        <w:spacing w:before="100" w:beforeAutospacing="1" w:after="160" w:line="360" w:lineRule="auto"/>
        <w:contextualSpacing/>
        <w:jc w:val="both"/>
        <w:rPr>
          <w:b/>
          <w:bCs/>
          <w:sz w:val="18"/>
          <w:szCs w:val="18"/>
          <w:lang w:val="en-GB"/>
        </w:rPr>
      </w:pPr>
      <w:r w:rsidRPr="000644CF">
        <w:rPr>
          <w:b/>
          <w:bCs/>
          <w:sz w:val="18"/>
          <w:szCs w:val="18"/>
          <w:lang w:val="en-GB"/>
        </w:rPr>
        <w:t xml:space="preserve">Amaia Arranz-Otaegui </w:t>
      </w:r>
    </w:p>
    <w:p w14:paraId="3638524E" w14:textId="77777777" w:rsidR="00DE0B7A" w:rsidRPr="000644CF" w:rsidRDefault="00DE0B7A" w:rsidP="00DE0B7A">
      <w:pPr>
        <w:spacing w:before="100" w:beforeAutospacing="1" w:line="360" w:lineRule="auto"/>
        <w:contextualSpacing/>
        <w:jc w:val="both"/>
        <w:rPr>
          <w:sz w:val="18"/>
          <w:szCs w:val="18"/>
          <w:lang w:val="en-GB"/>
        </w:rPr>
      </w:pPr>
      <w:r w:rsidRPr="000644CF">
        <w:rPr>
          <w:sz w:val="18"/>
          <w:szCs w:val="18"/>
          <w:lang w:val="en-GB"/>
        </w:rPr>
        <w:t xml:space="preserve">University of the Basque Country (Department of Geography, Prehistory and Archaeology), Vitoria-Gasteiz, Spain. Aranzadi Society of Sciences (Prehistory department), Donostia/San Sebastian, Spain. Orcid nº: </w:t>
      </w:r>
      <w:hyperlink r:id="rId10" w:history="1">
        <w:r w:rsidRPr="000644CF">
          <w:rPr>
            <w:rStyle w:val="Hyperlink"/>
            <w:sz w:val="18"/>
            <w:szCs w:val="18"/>
            <w:lang w:val="en-GB"/>
          </w:rPr>
          <w:t>https://orcid.org/0000-0002-5091-6426</w:t>
        </w:r>
      </w:hyperlink>
    </w:p>
    <w:p w14:paraId="60FB91AB" w14:textId="77777777" w:rsidR="00DE0B7A" w:rsidRPr="00C47ABE" w:rsidRDefault="00DE0B7A" w:rsidP="00937B71">
      <w:pPr>
        <w:spacing w:line="360" w:lineRule="auto"/>
        <w:jc w:val="both"/>
        <w:rPr>
          <w:b/>
          <w:bCs/>
          <w:sz w:val="20"/>
          <w:szCs w:val="20"/>
          <w:lang w:val="en-GB"/>
        </w:rPr>
      </w:pPr>
    </w:p>
    <w:p w14:paraId="12D76F20" w14:textId="6CA35BA4" w:rsidR="004B7478" w:rsidRPr="00C47ABE" w:rsidRDefault="000644CF" w:rsidP="00937B71">
      <w:pPr>
        <w:spacing w:line="360" w:lineRule="auto"/>
        <w:jc w:val="both"/>
        <w:rPr>
          <w:b/>
          <w:bCs/>
          <w:sz w:val="20"/>
          <w:szCs w:val="20"/>
          <w:lang w:val="en-GB"/>
        </w:rPr>
      </w:pPr>
      <w:r w:rsidRPr="00C47ABE">
        <w:rPr>
          <w:b/>
          <w:bCs/>
          <w:lang w:val="en-GB"/>
        </w:rPr>
        <w:t>S</w:t>
      </w:r>
      <w:r>
        <w:rPr>
          <w:b/>
          <w:bCs/>
          <w:lang w:val="en-GB"/>
        </w:rPr>
        <w:t>upplementary information 2</w:t>
      </w:r>
    </w:p>
    <w:p w14:paraId="64185857" w14:textId="77777777" w:rsidR="004B7478" w:rsidRPr="00C47ABE" w:rsidRDefault="004B7478" w:rsidP="00937B71">
      <w:pPr>
        <w:spacing w:line="360" w:lineRule="auto"/>
        <w:jc w:val="both"/>
        <w:rPr>
          <w:b/>
          <w:bCs/>
          <w:sz w:val="20"/>
          <w:szCs w:val="20"/>
          <w:lang w:val="en-GB"/>
        </w:rPr>
      </w:pPr>
    </w:p>
    <w:p w14:paraId="1042680F" w14:textId="2D2DD576" w:rsidR="001B78FC" w:rsidRPr="00C47ABE" w:rsidRDefault="008A7FD5" w:rsidP="00937B71">
      <w:pPr>
        <w:spacing w:line="360" w:lineRule="auto"/>
        <w:jc w:val="both"/>
        <w:rPr>
          <w:b/>
          <w:bCs/>
          <w:lang w:val="en-GB"/>
        </w:rPr>
      </w:pPr>
      <w:r w:rsidRPr="00C47ABE">
        <w:rPr>
          <w:b/>
          <w:bCs/>
          <w:lang w:val="en-GB"/>
        </w:rPr>
        <w:t>Text 1</w:t>
      </w:r>
      <w:r w:rsidR="00356121" w:rsidRPr="00C47ABE">
        <w:rPr>
          <w:b/>
          <w:bCs/>
          <w:lang w:val="en-GB"/>
        </w:rPr>
        <w:t xml:space="preserve">: </w:t>
      </w:r>
      <w:r w:rsidR="001B78FC" w:rsidRPr="00C47ABE">
        <w:rPr>
          <w:b/>
          <w:bCs/>
          <w:lang w:val="en-GB"/>
        </w:rPr>
        <w:t>Taxa quantification and classification</w:t>
      </w:r>
    </w:p>
    <w:p w14:paraId="0D2AA89B" w14:textId="1BE65719" w:rsidR="001B78FC" w:rsidRPr="00C47ABE" w:rsidRDefault="001B78FC" w:rsidP="00937B71">
      <w:pPr>
        <w:spacing w:line="360" w:lineRule="auto"/>
        <w:jc w:val="both"/>
        <w:rPr>
          <w:i/>
          <w:iCs/>
          <w:sz w:val="20"/>
          <w:szCs w:val="20"/>
          <w:lang w:val="en-GB"/>
        </w:rPr>
      </w:pPr>
      <w:r w:rsidRPr="00C47ABE">
        <w:rPr>
          <w:sz w:val="20"/>
          <w:szCs w:val="20"/>
          <w:lang w:val="en-GB"/>
        </w:rPr>
        <w:t>To describe the results, we classified the remains into six categories based on potential economic uses: ‘Poaceae’ (divided into large-seeded, medium-seeded and small-seeded), 'Fabaceae' (both small and large-seeded), 'Cyperaceae' (nutlets and tubers), 'Brassicaceae', 'Other edible fruits and nuts', and 'Other plants'. The Poaceae were divided into groups based on the dimensions of their caryopses. 'Small-seeded Poaceae' comprises genera with seeds &lt;2</w:t>
      </w:r>
      <w:r w:rsidR="00055050">
        <w:rPr>
          <w:sz w:val="20"/>
          <w:szCs w:val="20"/>
          <w:lang w:val="en-GB"/>
        </w:rPr>
        <w:t xml:space="preserve"> </w:t>
      </w:r>
      <w:r w:rsidRPr="00C47ABE">
        <w:rPr>
          <w:sz w:val="20"/>
          <w:szCs w:val="20"/>
          <w:lang w:val="en-GB"/>
        </w:rPr>
        <w:t>mm in length. We further distinguished between 'Large-seeded Poaceae', which includes taxa considered wild ancestors of domesticated grasses (</w:t>
      </w:r>
      <w:r w:rsidRPr="00C47ABE">
        <w:rPr>
          <w:i/>
          <w:iCs/>
          <w:sz w:val="20"/>
          <w:szCs w:val="20"/>
          <w:lang w:val="en-GB"/>
        </w:rPr>
        <w:t>Hordeum spontaneum, Triticum boeoticum/urartu, T.</w:t>
      </w:r>
      <w:r w:rsidR="0006471C" w:rsidRPr="00C47ABE">
        <w:rPr>
          <w:i/>
          <w:iCs/>
          <w:sz w:val="20"/>
          <w:szCs w:val="20"/>
          <w:lang w:val="en-GB"/>
        </w:rPr>
        <w:t xml:space="preserve"> </w:t>
      </w:r>
      <w:r w:rsidRPr="00C47ABE">
        <w:rPr>
          <w:i/>
          <w:iCs/>
          <w:sz w:val="20"/>
          <w:szCs w:val="20"/>
          <w:lang w:val="en-GB"/>
        </w:rPr>
        <w:t>dicoccoides, Secale/Triticum</w:t>
      </w:r>
      <w:r w:rsidRPr="00C47ABE">
        <w:rPr>
          <w:sz w:val="20"/>
          <w:szCs w:val="20"/>
          <w:lang w:val="en-GB"/>
        </w:rPr>
        <w:t>), and 'Large/medium-seeded Poaceae', which includes species that are not progenitors of classical founder crops (</w:t>
      </w:r>
      <w:r w:rsidRPr="00C47ABE">
        <w:rPr>
          <w:i/>
          <w:iCs/>
          <w:sz w:val="20"/>
          <w:szCs w:val="20"/>
          <w:lang w:val="en-GB"/>
        </w:rPr>
        <w:t>Arrhenatherum</w:t>
      </w:r>
      <w:r w:rsidRPr="00C47ABE">
        <w:rPr>
          <w:sz w:val="20"/>
          <w:szCs w:val="20"/>
          <w:lang w:val="en-GB"/>
        </w:rPr>
        <w:t xml:space="preserve"> sp., </w:t>
      </w:r>
      <w:r w:rsidRPr="00C47ABE">
        <w:rPr>
          <w:i/>
          <w:iCs/>
          <w:sz w:val="20"/>
          <w:szCs w:val="20"/>
          <w:lang w:val="en-GB"/>
        </w:rPr>
        <w:t>Avena</w:t>
      </w:r>
      <w:r w:rsidRPr="00C47ABE">
        <w:rPr>
          <w:sz w:val="20"/>
          <w:szCs w:val="20"/>
          <w:lang w:val="en-GB"/>
        </w:rPr>
        <w:t xml:space="preserve"> sp., </w:t>
      </w:r>
      <w:r w:rsidRPr="00C47ABE">
        <w:rPr>
          <w:i/>
          <w:iCs/>
          <w:sz w:val="20"/>
          <w:szCs w:val="20"/>
          <w:lang w:val="en-GB"/>
        </w:rPr>
        <w:t>Bromus</w:t>
      </w:r>
      <w:r w:rsidRPr="00C47ABE">
        <w:rPr>
          <w:sz w:val="20"/>
          <w:szCs w:val="20"/>
          <w:lang w:val="en-GB"/>
        </w:rPr>
        <w:t xml:space="preserve"> sp., </w:t>
      </w:r>
      <w:r w:rsidRPr="00C47ABE">
        <w:rPr>
          <w:i/>
          <w:iCs/>
          <w:sz w:val="20"/>
          <w:szCs w:val="20"/>
          <w:lang w:val="en-GB"/>
        </w:rPr>
        <w:t>Hordeum</w:t>
      </w:r>
      <w:r w:rsidRPr="00C47ABE">
        <w:rPr>
          <w:sz w:val="20"/>
          <w:szCs w:val="20"/>
          <w:lang w:val="en-GB"/>
        </w:rPr>
        <w:t xml:space="preserve"> spp., </w:t>
      </w:r>
      <w:r w:rsidRPr="00C47ABE">
        <w:rPr>
          <w:i/>
          <w:iCs/>
          <w:sz w:val="20"/>
          <w:szCs w:val="20"/>
          <w:lang w:val="en-GB"/>
        </w:rPr>
        <w:t>Eremopyrum</w:t>
      </w:r>
      <w:r w:rsidRPr="00C47ABE">
        <w:rPr>
          <w:sz w:val="20"/>
          <w:szCs w:val="20"/>
          <w:lang w:val="en-GB"/>
        </w:rPr>
        <w:t xml:space="preserve"> sp.,  </w:t>
      </w:r>
      <w:r w:rsidRPr="00C47ABE">
        <w:rPr>
          <w:i/>
          <w:iCs/>
          <w:sz w:val="20"/>
          <w:szCs w:val="20"/>
          <w:lang w:val="en-GB"/>
        </w:rPr>
        <w:t>Stipa</w:t>
      </w:r>
      <w:r w:rsidRPr="00C47ABE">
        <w:rPr>
          <w:sz w:val="20"/>
          <w:szCs w:val="20"/>
          <w:lang w:val="en-GB"/>
        </w:rPr>
        <w:t xml:space="preserve"> sp., </w:t>
      </w:r>
      <w:r w:rsidRPr="00C47ABE">
        <w:rPr>
          <w:i/>
          <w:iCs/>
          <w:sz w:val="20"/>
          <w:szCs w:val="20"/>
          <w:lang w:val="en-GB"/>
        </w:rPr>
        <w:t>Arrhenatherum/Stipa</w:t>
      </w:r>
      <w:r w:rsidRPr="00C47ABE">
        <w:rPr>
          <w:sz w:val="20"/>
          <w:szCs w:val="20"/>
          <w:lang w:val="en-GB"/>
        </w:rPr>
        <w:t>) as proposed by Weide et al. (2018). The Cyperaceae family was divided into 'Cyperaceae nutlets' and 'Cyperaceae tubers' based on the type of remains and the information they provide for evaluating the exploitation of underground storage organs. The remaining non-woody plant families not included in the previous categories were classified as 'Other plants'.</w:t>
      </w:r>
    </w:p>
    <w:p w14:paraId="3FA88029" w14:textId="77777777" w:rsidR="008A7FD5" w:rsidRPr="00C47ABE" w:rsidRDefault="008A7FD5" w:rsidP="00937B71">
      <w:pPr>
        <w:pStyle w:val="Listenabsatz"/>
        <w:spacing w:line="360" w:lineRule="auto"/>
        <w:ind w:left="0"/>
        <w:jc w:val="both"/>
        <w:rPr>
          <w:rFonts w:ascii="Times New Roman" w:hAnsi="Times New Roman" w:cs="Times New Roman"/>
          <w:b/>
          <w:bCs/>
          <w:sz w:val="20"/>
          <w:szCs w:val="20"/>
          <w:lang w:val="en-GB"/>
        </w:rPr>
      </w:pPr>
    </w:p>
    <w:p w14:paraId="410FA08A" w14:textId="77777777" w:rsidR="000644CF" w:rsidRDefault="000644CF">
      <w:pPr>
        <w:rPr>
          <w:rFonts w:eastAsiaTheme="minorHAnsi"/>
          <w:b/>
          <w:bCs/>
          <w:kern w:val="2"/>
          <w:lang w:val="en-GB" w:eastAsia="en-US"/>
          <w14:ligatures w14:val="standardContextual"/>
        </w:rPr>
      </w:pPr>
      <w:r>
        <w:rPr>
          <w:b/>
          <w:bCs/>
          <w:lang w:val="en-GB"/>
        </w:rPr>
        <w:br w:type="page"/>
      </w:r>
    </w:p>
    <w:p w14:paraId="5DD4D209" w14:textId="5262D3D4" w:rsidR="001B78FC" w:rsidRPr="00C47ABE" w:rsidRDefault="008A7FD5" w:rsidP="00937B71">
      <w:pPr>
        <w:pStyle w:val="Listenabsatz"/>
        <w:spacing w:line="360" w:lineRule="auto"/>
        <w:ind w:left="0"/>
        <w:jc w:val="both"/>
        <w:rPr>
          <w:rFonts w:ascii="Times New Roman" w:hAnsi="Times New Roman" w:cs="Times New Roman"/>
          <w:b/>
          <w:bCs/>
          <w:lang w:val="en-GB"/>
        </w:rPr>
      </w:pPr>
      <w:r w:rsidRPr="00C47ABE">
        <w:rPr>
          <w:rFonts w:ascii="Times New Roman" w:hAnsi="Times New Roman" w:cs="Times New Roman"/>
          <w:b/>
          <w:bCs/>
          <w:lang w:val="en-GB"/>
        </w:rPr>
        <w:lastRenderedPageBreak/>
        <w:t>Text 2</w:t>
      </w:r>
      <w:r w:rsidR="00356121" w:rsidRPr="00C47ABE">
        <w:rPr>
          <w:rFonts w:ascii="Times New Roman" w:hAnsi="Times New Roman" w:cs="Times New Roman"/>
          <w:b/>
          <w:bCs/>
          <w:lang w:val="en-GB"/>
        </w:rPr>
        <w:t xml:space="preserve">: </w:t>
      </w:r>
      <w:r w:rsidR="001B78FC" w:rsidRPr="00C47ABE">
        <w:rPr>
          <w:rFonts w:ascii="Times New Roman" w:hAnsi="Times New Roman" w:cs="Times New Roman"/>
          <w:b/>
          <w:bCs/>
          <w:lang w:val="en-GB"/>
        </w:rPr>
        <w:t xml:space="preserve">Representativity and </w:t>
      </w:r>
      <w:r w:rsidR="00055050">
        <w:rPr>
          <w:rFonts w:ascii="Times New Roman" w:hAnsi="Times New Roman" w:cs="Times New Roman"/>
          <w:b/>
          <w:bCs/>
          <w:lang w:val="en-GB"/>
        </w:rPr>
        <w:t>p</w:t>
      </w:r>
      <w:r w:rsidR="001B78FC" w:rsidRPr="00C47ABE">
        <w:rPr>
          <w:rFonts w:ascii="Times New Roman" w:hAnsi="Times New Roman" w:cs="Times New Roman"/>
          <w:b/>
          <w:bCs/>
          <w:lang w:val="en-GB"/>
        </w:rPr>
        <w:t>reservation</w:t>
      </w:r>
      <w:r w:rsidR="004361B3" w:rsidRPr="00C47ABE">
        <w:rPr>
          <w:rFonts w:ascii="Times New Roman" w:hAnsi="Times New Roman" w:cs="Times New Roman"/>
          <w:b/>
          <w:bCs/>
          <w:lang w:val="en-GB"/>
        </w:rPr>
        <w:t xml:space="preserve"> of the Shubayqa 1</w:t>
      </w:r>
      <w:r w:rsidR="00055050">
        <w:rPr>
          <w:rFonts w:ascii="Times New Roman" w:hAnsi="Times New Roman" w:cs="Times New Roman"/>
          <w:b/>
          <w:bCs/>
          <w:lang w:val="en-GB"/>
        </w:rPr>
        <w:t xml:space="preserve"> assemblage</w:t>
      </w:r>
    </w:p>
    <w:p w14:paraId="07836398" w14:textId="2AE2D21F" w:rsidR="001B78FC" w:rsidRPr="00C47ABE" w:rsidRDefault="001B78FC" w:rsidP="00937B71">
      <w:pPr>
        <w:spacing w:line="360" w:lineRule="auto"/>
        <w:jc w:val="both"/>
        <w:rPr>
          <w:sz w:val="20"/>
          <w:szCs w:val="20"/>
          <w:lang w:val="en-GB"/>
        </w:rPr>
      </w:pPr>
      <w:r w:rsidRPr="00C47ABE">
        <w:rPr>
          <w:sz w:val="20"/>
          <w:szCs w:val="20"/>
          <w:lang w:val="en-GB"/>
        </w:rPr>
        <w:t>To assess assemblage representativity, we evaluated the total number of non-woody plant remains recovered by phase (</w:t>
      </w:r>
      <w:r w:rsidRPr="00C47ABE">
        <w:rPr>
          <w:b/>
          <w:bCs/>
          <w:sz w:val="20"/>
          <w:szCs w:val="20"/>
          <w:lang w:val="en-GB"/>
        </w:rPr>
        <w:t xml:space="preserve">Fig. </w:t>
      </w:r>
      <w:r w:rsidR="005C2A50" w:rsidRPr="00C47ABE">
        <w:rPr>
          <w:b/>
          <w:bCs/>
          <w:sz w:val="20"/>
          <w:szCs w:val="20"/>
          <w:lang w:val="en-GB"/>
        </w:rPr>
        <w:t>1</w:t>
      </w:r>
      <w:r w:rsidR="00AC09BC" w:rsidRPr="00C47ABE">
        <w:rPr>
          <w:b/>
          <w:bCs/>
          <w:sz w:val="20"/>
          <w:szCs w:val="20"/>
          <w:lang w:val="en-GB"/>
        </w:rPr>
        <w:t>a</w:t>
      </w:r>
      <w:r w:rsidRPr="00C47ABE">
        <w:rPr>
          <w:sz w:val="20"/>
          <w:szCs w:val="20"/>
          <w:lang w:val="en-GB"/>
        </w:rPr>
        <w:t>). The highest counts occurred in Early Natufian phases 7 (1</w:t>
      </w:r>
      <w:r w:rsidR="00407410" w:rsidRPr="00C47ABE">
        <w:rPr>
          <w:sz w:val="20"/>
          <w:szCs w:val="20"/>
          <w:lang w:val="en-GB"/>
        </w:rPr>
        <w:t>0</w:t>
      </w:r>
      <w:r w:rsidR="00EA72F5" w:rsidRPr="00C47ABE">
        <w:rPr>
          <w:sz w:val="20"/>
          <w:szCs w:val="20"/>
          <w:lang w:val="en-GB"/>
        </w:rPr>
        <w:t>.</w:t>
      </w:r>
      <w:r w:rsidR="00407410" w:rsidRPr="00C47ABE">
        <w:rPr>
          <w:sz w:val="20"/>
          <w:szCs w:val="20"/>
          <w:lang w:val="en-GB"/>
        </w:rPr>
        <w:t>530</w:t>
      </w:r>
      <w:r w:rsidRPr="00C47ABE">
        <w:rPr>
          <w:sz w:val="20"/>
          <w:szCs w:val="20"/>
          <w:lang w:val="en-GB"/>
        </w:rPr>
        <w:t xml:space="preserve"> remains) and 6 (8</w:t>
      </w:r>
      <w:r w:rsidR="00EA72F5" w:rsidRPr="00C47ABE">
        <w:rPr>
          <w:sz w:val="20"/>
          <w:szCs w:val="20"/>
          <w:lang w:val="en-GB"/>
        </w:rPr>
        <w:t>.</w:t>
      </w:r>
      <w:r w:rsidRPr="00C47ABE">
        <w:rPr>
          <w:sz w:val="20"/>
          <w:szCs w:val="20"/>
          <w:lang w:val="en-GB"/>
        </w:rPr>
        <w:t>082 remains), with a significant decrease in plant frequencies from Phase 5 onwards (2</w:t>
      </w:r>
      <w:r w:rsidR="00EA72F5" w:rsidRPr="00C47ABE">
        <w:rPr>
          <w:sz w:val="20"/>
          <w:szCs w:val="20"/>
          <w:lang w:val="en-GB"/>
        </w:rPr>
        <w:t>.</w:t>
      </w:r>
      <w:r w:rsidRPr="00C47ABE">
        <w:rPr>
          <w:sz w:val="20"/>
          <w:szCs w:val="20"/>
          <w:lang w:val="en-GB"/>
        </w:rPr>
        <w:t>174 remains) through Phase 4 (1</w:t>
      </w:r>
      <w:r w:rsidR="00EA72F5" w:rsidRPr="00C47ABE">
        <w:rPr>
          <w:sz w:val="20"/>
          <w:szCs w:val="20"/>
          <w:lang w:val="en-GB"/>
        </w:rPr>
        <w:t>.</w:t>
      </w:r>
      <w:r w:rsidRPr="00C47ABE">
        <w:rPr>
          <w:sz w:val="20"/>
          <w:szCs w:val="20"/>
          <w:lang w:val="en-GB"/>
        </w:rPr>
        <w:t>467 remains). The Late Natufian phases exhibited further decline, as evidenced by the number of remains: Phase 3 (428), Phase 2 (</w:t>
      </w:r>
      <w:r w:rsidR="00AC3408" w:rsidRPr="00C47ABE">
        <w:rPr>
          <w:sz w:val="20"/>
          <w:szCs w:val="20"/>
          <w:lang w:val="en-GB"/>
        </w:rPr>
        <w:t>498</w:t>
      </w:r>
      <w:r w:rsidRPr="00C47ABE">
        <w:rPr>
          <w:sz w:val="20"/>
          <w:szCs w:val="20"/>
          <w:lang w:val="en-GB"/>
        </w:rPr>
        <w:t>), and Phase 1 (254).</w:t>
      </w:r>
      <w:r w:rsidRPr="00C47ABE">
        <w:rPr>
          <w:i/>
          <w:iCs/>
          <w:sz w:val="20"/>
          <w:szCs w:val="20"/>
          <w:lang w:val="en-GB"/>
        </w:rPr>
        <w:t xml:space="preserve"> </w:t>
      </w:r>
      <w:r w:rsidRPr="00C47ABE">
        <w:rPr>
          <w:sz w:val="20"/>
          <w:szCs w:val="20"/>
          <w:lang w:val="en-GB"/>
        </w:rPr>
        <w:t xml:space="preserve">The average density of plant remains recovered was </w:t>
      </w:r>
      <w:r w:rsidR="00EF49BE" w:rsidRPr="00C47ABE">
        <w:rPr>
          <w:sz w:val="20"/>
          <w:szCs w:val="20"/>
          <w:lang w:val="en-GB"/>
        </w:rPr>
        <w:t>19</w:t>
      </w:r>
      <w:r w:rsidR="00EA72F5" w:rsidRPr="00C47ABE">
        <w:rPr>
          <w:sz w:val="20"/>
          <w:szCs w:val="20"/>
          <w:lang w:val="en-GB"/>
        </w:rPr>
        <w:t>.</w:t>
      </w:r>
      <w:r w:rsidR="00EF49BE" w:rsidRPr="00C47ABE">
        <w:rPr>
          <w:sz w:val="20"/>
          <w:szCs w:val="20"/>
          <w:lang w:val="en-GB"/>
        </w:rPr>
        <w:t>5</w:t>
      </w:r>
      <w:r w:rsidRPr="00C47ABE">
        <w:rPr>
          <w:sz w:val="20"/>
          <w:szCs w:val="20"/>
          <w:lang w:val="en-GB"/>
        </w:rPr>
        <w:t xml:space="preserve"> plant remains per litre for the Early Natufian (</w:t>
      </w:r>
      <w:r w:rsidR="00F160AE" w:rsidRPr="00C47ABE">
        <w:rPr>
          <w:sz w:val="20"/>
          <w:szCs w:val="20"/>
          <w:lang w:val="en-GB"/>
        </w:rPr>
        <w:t>22.252</w:t>
      </w:r>
      <w:r w:rsidR="00BB0A24" w:rsidRPr="00C47ABE">
        <w:rPr>
          <w:sz w:val="20"/>
          <w:szCs w:val="20"/>
          <w:lang w:val="en-GB"/>
        </w:rPr>
        <w:t xml:space="preserve"> </w:t>
      </w:r>
      <w:r w:rsidRPr="00C47ABE">
        <w:rPr>
          <w:sz w:val="20"/>
          <w:szCs w:val="20"/>
          <w:lang w:val="en-GB"/>
        </w:rPr>
        <w:t xml:space="preserve">remains from </w:t>
      </w:r>
      <w:r w:rsidR="00A2769A" w:rsidRPr="00C47ABE">
        <w:rPr>
          <w:sz w:val="20"/>
          <w:szCs w:val="20"/>
          <w:lang w:val="en-GB"/>
        </w:rPr>
        <w:t>1</w:t>
      </w:r>
      <w:r w:rsidR="00F160AE" w:rsidRPr="00C47ABE">
        <w:rPr>
          <w:sz w:val="20"/>
          <w:szCs w:val="20"/>
          <w:lang w:val="en-GB"/>
        </w:rPr>
        <w:t>.143,5</w:t>
      </w:r>
      <w:r w:rsidRPr="00C47ABE">
        <w:rPr>
          <w:sz w:val="20"/>
          <w:szCs w:val="20"/>
          <w:lang w:val="en-GB"/>
        </w:rPr>
        <w:t xml:space="preserve"> litres total)</w:t>
      </w:r>
      <w:r w:rsidR="00144A3E" w:rsidRPr="00C47ABE">
        <w:rPr>
          <w:sz w:val="20"/>
          <w:szCs w:val="20"/>
          <w:lang w:val="en-GB"/>
        </w:rPr>
        <w:t>,</w:t>
      </w:r>
      <w:r w:rsidRPr="00C47ABE">
        <w:rPr>
          <w:sz w:val="20"/>
          <w:szCs w:val="20"/>
          <w:lang w:val="en-GB"/>
        </w:rPr>
        <w:t xml:space="preserve"> and </w:t>
      </w:r>
      <w:r w:rsidR="00EF49BE" w:rsidRPr="00C47ABE">
        <w:rPr>
          <w:sz w:val="20"/>
          <w:szCs w:val="20"/>
          <w:lang w:val="en-GB"/>
        </w:rPr>
        <w:t>5</w:t>
      </w:r>
      <w:r w:rsidR="00EA72F5" w:rsidRPr="00C47ABE">
        <w:rPr>
          <w:sz w:val="20"/>
          <w:szCs w:val="20"/>
          <w:lang w:val="en-GB"/>
        </w:rPr>
        <w:t>.</w:t>
      </w:r>
      <w:r w:rsidR="00EF49BE" w:rsidRPr="00C47ABE">
        <w:rPr>
          <w:sz w:val="20"/>
          <w:szCs w:val="20"/>
          <w:lang w:val="en-GB"/>
        </w:rPr>
        <w:t>1</w:t>
      </w:r>
      <w:r w:rsidRPr="00C47ABE">
        <w:rPr>
          <w:sz w:val="20"/>
          <w:szCs w:val="20"/>
          <w:lang w:val="en-GB"/>
        </w:rPr>
        <w:t xml:space="preserve"> plant remains per litre for the </w:t>
      </w:r>
      <w:r w:rsidR="00EF49BE" w:rsidRPr="00C47ABE">
        <w:rPr>
          <w:sz w:val="20"/>
          <w:szCs w:val="20"/>
          <w:lang w:val="en-GB"/>
        </w:rPr>
        <w:t xml:space="preserve">first occupation of the </w:t>
      </w:r>
      <w:r w:rsidRPr="00C47ABE">
        <w:rPr>
          <w:sz w:val="20"/>
          <w:szCs w:val="20"/>
          <w:lang w:val="en-GB"/>
        </w:rPr>
        <w:t>Late Natufian (</w:t>
      </w:r>
      <w:r w:rsidR="00B01147" w:rsidRPr="00C47ABE">
        <w:rPr>
          <w:sz w:val="20"/>
          <w:szCs w:val="20"/>
          <w:lang w:val="en-GB"/>
        </w:rPr>
        <w:t>926</w:t>
      </w:r>
      <w:r w:rsidRPr="00C47ABE">
        <w:rPr>
          <w:sz w:val="20"/>
          <w:szCs w:val="20"/>
          <w:lang w:val="en-GB"/>
        </w:rPr>
        <w:t xml:space="preserve"> remains from </w:t>
      </w:r>
      <w:r w:rsidR="00B01147" w:rsidRPr="00C47ABE">
        <w:rPr>
          <w:sz w:val="20"/>
          <w:szCs w:val="20"/>
          <w:lang w:val="en-GB"/>
        </w:rPr>
        <w:t>181</w:t>
      </w:r>
      <w:r w:rsidR="000309FF" w:rsidRPr="00C47ABE">
        <w:rPr>
          <w:sz w:val="20"/>
          <w:szCs w:val="20"/>
          <w:lang w:val="en-GB"/>
        </w:rPr>
        <w:t xml:space="preserve"> </w:t>
      </w:r>
      <w:r w:rsidRPr="00C47ABE">
        <w:rPr>
          <w:sz w:val="20"/>
          <w:szCs w:val="20"/>
          <w:lang w:val="en-GB"/>
        </w:rPr>
        <w:t>litres total)</w:t>
      </w:r>
      <w:r w:rsidR="00EF49BE" w:rsidRPr="00C47ABE">
        <w:rPr>
          <w:sz w:val="20"/>
          <w:szCs w:val="20"/>
          <w:lang w:val="en-GB"/>
        </w:rPr>
        <w:t xml:space="preserve">, and </w:t>
      </w:r>
      <w:r w:rsidR="000309FF" w:rsidRPr="00C47ABE">
        <w:rPr>
          <w:sz w:val="20"/>
          <w:szCs w:val="20"/>
          <w:lang w:val="en-GB"/>
        </w:rPr>
        <w:t>1</w:t>
      </w:r>
      <w:r w:rsidR="00EA72F5" w:rsidRPr="00C47ABE">
        <w:rPr>
          <w:sz w:val="20"/>
          <w:szCs w:val="20"/>
          <w:lang w:val="en-GB"/>
        </w:rPr>
        <w:t>.</w:t>
      </w:r>
      <w:r w:rsidR="000309FF" w:rsidRPr="00C47ABE">
        <w:rPr>
          <w:sz w:val="20"/>
          <w:szCs w:val="20"/>
          <w:lang w:val="en-GB"/>
        </w:rPr>
        <w:t>7</w:t>
      </w:r>
      <w:r w:rsidR="0066119E" w:rsidRPr="00C47ABE">
        <w:rPr>
          <w:sz w:val="20"/>
          <w:szCs w:val="20"/>
          <w:lang w:val="en-GB"/>
        </w:rPr>
        <w:t xml:space="preserve"> plant remains per lit</w:t>
      </w:r>
      <w:r w:rsidR="00EA72F5" w:rsidRPr="00C47ABE">
        <w:rPr>
          <w:sz w:val="20"/>
          <w:szCs w:val="20"/>
          <w:lang w:val="en-GB"/>
        </w:rPr>
        <w:t>re</w:t>
      </w:r>
      <w:r w:rsidR="0066119E" w:rsidRPr="00C47ABE">
        <w:rPr>
          <w:sz w:val="20"/>
          <w:szCs w:val="20"/>
          <w:lang w:val="en-GB"/>
        </w:rPr>
        <w:t xml:space="preserve"> for the second occupation of the Late Natufian (</w:t>
      </w:r>
      <w:r w:rsidR="006D4CC8" w:rsidRPr="00C47ABE">
        <w:rPr>
          <w:sz w:val="20"/>
          <w:szCs w:val="20"/>
          <w:lang w:val="en-GB"/>
        </w:rPr>
        <w:t>254</w:t>
      </w:r>
      <w:r w:rsidR="0066119E" w:rsidRPr="00C47ABE">
        <w:rPr>
          <w:sz w:val="20"/>
          <w:szCs w:val="20"/>
          <w:lang w:val="en-GB"/>
        </w:rPr>
        <w:t xml:space="preserve"> remains from</w:t>
      </w:r>
      <w:r w:rsidR="006D4CC8" w:rsidRPr="00C47ABE">
        <w:rPr>
          <w:sz w:val="20"/>
          <w:szCs w:val="20"/>
          <w:lang w:val="en-GB"/>
        </w:rPr>
        <w:t xml:space="preserve"> 149</w:t>
      </w:r>
      <w:r w:rsidR="000309FF" w:rsidRPr="00C47ABE">
        <w:rPr>
          <w:sz w:val="20"/>
          <w:szCs w:val="20"/>
          <w:lang w:val="en-GB"/>
        </w:rPr>
        <w:t xml:space="preserve"> litres total)</w:t>
      </w:r>
      <w:r w:rsidR="00055050">
        <w:rPr>
          <w:sz w:val="20"/>
          <w:szCs w:val="20"/>
          <w:lang w:val="en-GB"/>
        </w:rPr>
        <w:t>.</w:t>
      </w:r>
    </w:p>
    <w:p w14:paraId="25A71545" w14:textId="098CC3EE" w:rsidR="001B78FC" w:rsidRPr="00C47ABE" w:rsidRDefault="0060630C" w:rsidP="00937B71">
      <w:pPr>
        <w:spacing w:line="360" w:lineRule="auto"/>
        <w:jc w:val="both"/>
        <w:rPr>
          <w:sz w:val="20"/>
          <w:szCs w:val="20"/>
          <w:lang w:val="en-GB"/>
        </w:rPr>
      </w:pPr>
      <w:r w:rsidRPr="00C47ABE">
        <w:rPr>
          <w:sz w:val="20"/>
          <w:szCs w:val="20"/>
          <w:lang w:val="en-GB"/>
        </w:rPr>
        <w:t>To assess plant preservation, the total number of remains per litre of sediment was analysed by context type (</w:t>
      </w:r>
      <w:r w:rsidRPr="00C47ABE">
        <w:rPr>
          <w:b/>
          <w:bCs/>
          <w:sz w:val="20"/>
          <w:szCs w:val="20"/>
          <w:lang w:val="en-GB"/>
        </w:rPr>
        <w:t>Fig. 1b</w:t>
      </w:r>
      <w:r w:rsidRPr="00C47ABE">
        <w:rPr>
          <w:sz w:val="20"/>
          <w:szCs w:val="20"/>
          <w:lang w:val="en-GB"/>
        </w:rPr>
        <w:t>). All contexts in Phase 7 exceeded 35 remains per litre (r/l), with context 186 displaying the highest density at 137,6 r/l. Other high-density contexts (&gt;35 r/l) appeared in Phases 6 and 5. Context 120 in Phase 6 (a posthole fill near Structure 1) showed the highest density at 72 r/l, while Phase 5's contexts 115 (hearth fill) and 188 (neonate burial fill) both reached approximately 60 r/l. All other contexts remained below 20 r/l.</w:t>
      </w:r>
    </w:p>
    <w:p w14:paraId="6C6D688B" w14:textId="77777777" w:rsidR="000644CF" w:rsidRDefault="000644CF">
      <w:pPr>
        <w:rPr>
          <w:sz w:val="20"/>
          <w:szCs w:val="20"/>
          <w:lang w:val="en-GB"/>
        </w:rPr>
      </w:pPr>
      <w:r>
        <w:rPr>
          <w:sz w:val="20"/>
          <w:szCs w:val="20"/>
          <w:lang w:val="en-GB"/>
        </w:rPr>
        <w:br w:type="page"/>
      </w:r>
    </w:p>
    <w:p w14:paraId="15E7B716" w14:textId="29A045FE" w:rsidR="001B78FC" w:rsidRDefault="003F664F" w:rsidP="00937B71">
      <w:pPr>
        <w:spacing w:line="360" w:lineRule="auto"/>
        <w:jc w:val="both"/>
        <w:rPr>
          <w:b/>
          <w:bCs/>
          <w:lang w:val="en-GB"/>
        </w:rPr>
      </w:pPr>
      <w:r w:rsidRPr="000644CF">
        <w:rPr>
          <w:b/>
          <w:bCs/>
          <w:noProof/>
          <w:lang w:val="en-GB"/>
          <w14:ligatures w14:val="standardContextual"/>
        </w:rPr>
        <w:lastRenderedPageBreak/>
        <mc:AlternateContent>
          <mc:Choice Requires="wps">
            <w:drawing>
              <wp:anchor distT="0" distB="0" distL="114300" distR="114300" simplePos="0" relativeHeight="251659264" behindDoc="0" locked="0" layoutInCell="1" allowOverlap="1" wp14:anchorId="58BCD4E1" wp14:editId="2F79EAB5">
                <wp:simplePos x="0" y="0"/>
                <wp:positionH relativeFrom="column">
                  <wp:posOffset>-29832</wp:posOffset>
                </wp:positionH>
                <wp:positionV relativeFrom="paragraph">
                  <wp:posOffset>167114</wp:posOffset>
                </wp:positionV>
                <wp:extent cx="326390" cy="320612"/>
                <wp:effectExtent l="0" t="0" r="3810" b="0"/>
                <wp:wrapNone/>
                <wp:docPr id="501638699" name="Casella di testo 1"/>
                <wp:cNvGraphicFramePr/>
                <a:graphic xmlns:a="http://schemas.openxmlformats.org/drawingml/2006/main">
                  <a:graphicData uri="http://schemas.microsoft.com/office/word/2010/wordprocessingShape">
                    <wps:wsp>
                      <wps:cNvSpPr txBox="1"/>
                      <wps:spPr>
                        <a:xfrm>
                          <a:off x="0" y="0"/>
                          <a:ext cx="326390" cy="320612"/>
                        </a:xfrm>
                        <a:prstGeom prst="rect">
                          <a:avLst/>
                        </a:prstGeom>
                        <a:solidFill>
                          <a:schemeClr val="lt1"/>
                        </a:solidFill>
                        <a:ln w="6350">
                          <a:noFill/>
                        </a:ln>
                      </wps:spPr>
                      <wps:txbx>
                        <w:txbxContent>
                          <w:p w14:paraId="4FB3E307" w14:textId="5389F1D0" w:rsidR="009D44FC" w:rsidRPr="004B7478" w:rsidRDefault="009D44FC">
                            <w:pPr>
                              <w:rPr>
                                <w:sz w:val="20"/>
                                <w:szCs w:val="20"/>
                              </w:rPr>
                            </w:pPr>
                            <w:r w:rsidRPr="004B7478">
                              <w:rPr>
                                <w:sz w:val="20"/>
                                <w:szCs w:val="20"/>
                              </w:rPr>
                              <w:t>a</w:t>
                            </w:r>
                            <w:r w:rsidR="003F664F" w:rsidRPr="004B7478">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BCD4E1" id="_x0000_t202" coordsize="21600,21600" o:spt="202" path="m,l,21600r21600,l21600,xe">
                <v:stroke joinstyle="miter"/>
                <v:path gradientshapeok="t" o:connecttype="rect"/>
              </v:shapetype>
              <v:shape id="Casella di testo 1" o:spid="_x0000_s1026" type="#_x0000_t202" style="position:absolute;left:0;text-align:left;margin-left:-2.35pt;margin-top:13.15pt;width:25.7pt;height: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" fillcolor="white [3201]" stroked="f" strokeweight=".5pt">
                <v:textbox>
                  <w:txbxContent>
                    <w:p w14:paraId="4FB3E307" w14:textId="5389F1D0" w:rsidR="009D44FC" w:rsidRPr="004B7478" w:rsidRDefault="009D44FC">
                      <w:pPr>
                        <w:rPr>
                          <w:sz w:val="20"/>
                          <w:szCs w:val="20"/>
                        </w:rPr>
                      </w:pPr>
                      <w:r w:rsidRPr="004B7478">
                        <w:rPr>
                          <w:sz w:val="20"/>
                          <w:szCs w:val="20"/>
                        </w:rPr>
                        <w:t>a</w:t>
                      </w:r>
                      <w:r w:rsidR="003F664F" w:rsidRPr="004B7478">
                        <w:rPr>
                          <w:sz w:val="20"/>
                          <w:szCs w:val="20"/>
                        </w:rPr>
                        <w:t>)</w:t>
                      </w:r>
                    </w:p>
                  </w:txbxContent>
                </v:textbox>
              </v:shape>
            </w:pict>
          </mc:Fallback>
        </mc:AlternateContent>
      </w:r>
      <w:r w:rsidR="002C5E5B" w:rsidRPr="000644CF">
        <w:rPr>
          <w:b/>
          <w:bCs/>
          <w:noProof/>
          <w:lang w:val="en-GB"/>
          <w14:ligatures w14:val="standardContextual"/>
        </w:rPr>
        <w:drawing>
          <wp:anchor distT="0" distB="0" distL="114300" distR="114300" simplePos="0" relativeHeight="251675648" behindDoc="0" locked="0" layoutInCell="1" allowOverlap="1" wp14:anchorId="4686C9AC" wp14:editId="46291AD2">
            <wp:simplePos x="0" y="0"/>
            <wp:positionH relativeFrom="column">
              <wp:posOffset>-635</wp:posOffset>
            </wp:positionH>
            <wp:positionV relativeFrom="paragraph">
              <wp:posOffset>0</wp:posOffset>
            </wp:positionV>
            <wp:extent cx="6119495" cy="4029710"/>
            <wp:effectExtent l="0" t="0" r="0" b="8890"/>
            <wp:wrapTopAndBottom/>
            <wp:docPr id="177590184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901840" name=""/>
                    <pic:cNvPicPr/>
                  </pic:nvPicPr>
                  <pic:blipFill>
                    <a:blip r:embed="rId11"/>
                    <a:stretch>
                      <a:fillRect/>
                    </a:stretch>
                  </pic:blipFill>
                  <pic:spPr>
                    <a:xfrm>
                      <a:off x="0" y="0"/>
                      <a:ext cx="6119495" cy="4029710"/>
                    </a:xfrm>
                    <a:prstGeom prst="rect">
                      <a:avLst/>
                    </a:prstGeom>
                  </pic:spPr>
                </pic:pic>
              </a:graphicData>
            </a:graphic>
          </wp:anchor>
        </w:drawing>
      </w:r>
      <w:r w:rsidR="000644CF" w:rsidRPr="000644CF">
        <w:rPr>
          <w:b/>
          <w:bCs/>
          <w:lang w:val="en-GB"/>
        </w:rPr>
        <w:t>a</w:t>
      </w:r>
      <w:r w:rsidRPr="00C47ABE">
        <w:rPr>
          <w:noProof/>
          <w:sz w:val="20"/>
          <w:szCs w:val="20"/>
          <w:lang w:val="en-GB"/>
          <w14:ligatures w14:val="standardContextual"/>
        </w:rPr>
        <mc:AlternateContent>
          <mc:Choice Requires="wps">
            <w:drawing>
              <wp:anchor distT="0" distB="0" distL="114300" distR="114300" simplePos="0" relativeHeight="251661312" behindDoc="0" locked="0" layoutInCell="1" allowOverlap="1" wp14:anchorId="44577A23" wp14:editId="6E1D9078">
                <wp:simplePos x="0" y="0"/>
                <wp:positionH relativeFrom="column">
                  <wp:posOffset>-29845</wp:posOffset>
                </wp:positionH>
                <wp:positionV relativeFrom="paragraph">
                  <wp:posOffset>153191</wp:posOffset>
                </wp:positionV>
                <wp:extent cx="308837" cy="272503"/>
                <wp:effectExtent l="0" t="0" r="0" b="5715"/>
                <wp:wrapNone/>
                <wp:docPr id="2086671617" name="Casella di testo 1"/>
                <wp:cNvGraphicFramePr/>
                <a:graphic xmlns:a="http://schemas.openxmlformats.org/drawingml/2006/main">
                  <a:graphicData uri="http://schemas.microsoft.com/office/word/2010/wordprocessingShape">
                    <wps:wsp>
                      <wps:cNvSpPr txBox="1"/>
                      <wps:spPr>
                        <a:xfrm>
                          <a:off x="0" y="0"/>
                          <a:ext cx="308837" cy="272503"/>
                        </a:xfrm>
                        <a:prstGeom prst="rect">
                          <a:avLst/>
                        </a:prstGeom>
                        <a:solidFill>
                          <a:schemeClr val="lt1"/>
                        </a:solidFill>
                        <a:ln w="6350">
                          <a:noFill/>
                        </a:ln>
                      </wps:spPr>
                      <wps:txbx>
                        <w:txbxContent>
                          <w:p w14:paraId="64261EC3" w14:textId="7908C8AF" w:rsidR="00B53DA9" w:rsidRPr="004B7478" w:rsidRDefault="00B53DA9" w:rsidP="00B53DA9">
                            <w:pPr>
                              <w:rPr>
                                <w:sz w:val="20"/>
                                <w:szCs w:val="20"/>
                              </w:rPr>
                            </w:pPr>
                            <w:r w:rsidRPr="004B7478">
                              <w:rPr>
                                <w:sz w:val="20"/>
                                <w:szCs w:val="20"/>
                              </w:rPr>
                              <w:t>b</w:t>
                            </w:r>
                            <w:r w:rsidR="003F664F">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77A23" id="_x0000_s1027" type="#_x0000_t202" style="position:absolute;left:0;text-align:left;margin-left:-2.35pt;margin-top:12.05pt;width:24.3pt;height:2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" fillcolor="white [3201]" stroked="f" strokeweight=".5pt">
                <v:textbox>
                  <w:txbxContent>
                    <w:p w14:paraId="64261EC3" w14:textId="7908C8AF" w:rsidR="00B53DA9" w:rsidRPr="004B7478" w:rsidRDefault="00B53DA9" w:rsidP="00B53DA9">
                      <w:pPr>
                        <w:rPr>
                          <w:sz w:val="20"/>
                          <w:szCs w:val="20"/>
                        </w:rPr>
                      </w:pPr>
                      <w:r w:rsidRPr="004B7478">
                        <w:rPr>
                          <w:sz w:val="20"/>
                          <w:szCs w:val="20"/>
                        </w:rPr>
                        <w:t>b</w:t>
                      </w:r>
                      <w:r w:rsidR="003F664F">
                        <w:rPr>
                          <w:sz w:val="20"/>
                          <w:szCs w:val="20"/>
                        </w:rPr>
                        <w:t>)</w:t>
                      </w:r>
                    </w:p>
                  </w:txbxContent>
                </v:textbox>
              </v:shape>
            </w:pict>
          </mc:Fallback>
        </mc:AlternateContent>
      </w:r>
      <w:r w:rsidR="002207D6" w:rsidRPr="00C47ABE">
        <w:rPr>
          <w:noProof/>
          <w:sz w:val="20"/>
          <w:szCs w:val="20"/>
          <w:lang w:val="en-GB"/>
          <w14:ligatures w14:val="standardContextual"/>
        </w:rPr>
        <w:drawing>
          <wp:anchor distT="0" distB="0" distL="114300" distR="114300" simplePos="0" relativeHeight="251676672" behindDoc="0" locked="0" layoutInCell="1" allowOverlap="1" wp14:anchorId="0FD9C1ED" wp14:editId="747F41A7">
            <wp:simplePos x="0" y="0"/>
            <wp:positionH relativeFrom="column">
              <wp:posOffset>-635</wp:posOffset>
            </wp:positionH>
            <wp:positionV relativeFrom="paragraph">
              <wp:posOffset>4300220</wp:posOffset>
            </wp:positionV>
            <wp:extent cx="6119495" cy="4008755"/>
            <wp:effectExtent l="0" t="0" r="0" b="0"/>
            <wp:wrapTopAndBottom/>
            <wp:docPr id="178630683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306831" name=""/>
                    <pic:cNvPicPr/>
                  </pic:nvPicPr>
                  <pic:blipFill>
                    <a:blip r:embed="rId12"/>
                    <a:stretch>
                      <a:fillRect/>
                    </a:stretch>
                  </pic:blipFill>
                  <pic:spPr>
                    <a:xfrm>
                      <a:off x="0" y="0"/>
                      <a:ext cx="6119495" cy="4008755"/>
                    </a:xfrm>
                    <a:prstGeom prst="rect">
                      <a:avLst/>
                    </a:prstGeom>
                  </pic:spPr>
                </pic:pic>
              </a:graphicData>
            </a:graphic>
          </wp:anchor>
        </w:drawing>
      </w:r>
    </w:p>
    <w:p w14:paraId="07A33E41" w14:textId="1C97FDE9" w:rsidR="000644CF" w:rsidRPr="00C47ABE" w:rsidRDefault="000644CF" w:rsidP="00937B71">
      <w:pPr>
        <w:spacing w:line="360" w:lineRule="auto"/>
        <w:jc w:val="both"/>
        <w:rPr>
          <w:sz w:val="20"/>
          <w:szCs w:val="20"/>
          <w:lang w:val="en-GB"/>
        </w:rPr>
      </w:pPr>
      <w:r>
        <w:rPr>
          <w:b/>
          <w:bCs/>
          <w:lang w:val="en-GB"/>
        </w:rPr>
        <w:t>b</w:t>
      </w:r>
    </w:p>
    <w:p w14:paraId="118B9D2A" w14:textId="288C69D9" w:rsidR="001B78FC" w:rsidRPr="000644CF" w:rsidRDefault="001B78FC" w:rsidP="000644CF">
      <w:pPr>
        <w:spacing w:line="264" w:lineRule="auto"/>
        <w:jc w:val="both"/>
        <w:rPr>
          <w:sz w:val="18"/>
          <w:szCs w:val="18"/>
          <w:lang w:val="en-GB"/>
        </w:rPr>
      </w:pPr>
      <w:r w:rsidRPr="000644CF">
        <w:rPr>
          <w:b/>
          <w:bCs/>
          <w:sz w:val="18"/>
          <w:szCs w:val="18"/>
          <w:lang w:val="en-GB"/>
        </w:rPr>
        <w:t>Fig</w:t>
      </w:r>
      <w:r w:rsidR="00426F93" w:rsidRPr="000644CF">
        <w:rPr>
          <w:b/>
          <w:bCs/>
          <w:sz w:val="18"/>
          <w:szCs w:val="18"/>
          <w:lang w:val="en-GB"/>
        </w:rPr>
        <w:t>.</w:t>
      </w:r>
      <w:r w:rsidRPr="000644CF">
        <w:rPr>
          <w:b/>
          <w:bCs/>
          <w:sz w:val="18"/>
          <w:szCs w:val="18"/>
          <w:lang w:val="en-GB"/>
        </w:rPr>
        <w:t xml:space="preserve"> </w:t>
      </w:r>
      <w:r w:rsidR="00FE41BF" w:rsidRPr="000644CF">
        <w:rPr>
          <w:b/>
          <w:bCs/>
          <w:sz w:val="18"/>
          <w:szCs w:val="18"/>
          <w:lang w:val="en-GB"/>
        </w:rPr>
        <w:t>S</w:t>
      </w:r>
      <w:r w:rsidR="00F467A5" w:rsidRPr="000644CF">
        <w:rPr>
          <w:b/>
          <w:bCs/>
          <w:sz w:val="18"/>
          <w:szCs w:val="18"/>
          <w:lang w:val="en-GB"/>
        </w:rPr>
        <w:t>1</w:t>
      </w:r>
      <w:r w:rsidRPr="000644CF">
        <w:rPr>
          <w:sz w:val="18"/>
          <w:szCs w:val="18"/>
          <w:lang w:val="en-GB"/>
        </w:rPr>
        <w:t xml:space="preserve"> a) Diagram showing the total number of remains of Shubayqa 1 recorded by context. Every column represents a context number. The columns are grouped by phase (7 to 1) and by period (Early Natufian</w:t>
      </w:r>
      <w:r w:rsidR="00055050" w:rsidRPr="000644CF">
        <w:rPr>
          <w:sz w:val="18"/>
          <w:szCs w:val="18"/>
          <w:lang w:val="en-GB"/>
        </w:rPr>
        <w:t>,</w:t>
      </w:r>
      <w:r w:rsidRPr="000644CF">
        <w:rPr>
          <w:sz w:val="18"/>
          <w:szCs w:val="18"/>
          <w:lang w:val="en-GB"/>
        </w:rPr>
        <w:t xml:space="preserve"> green</w:t>
      </w:r>
      <w:r w:rsidR="00055050" w:rsidRPr="000644CF">
        <w:rPr>
          <w:sz w:val="18"/>
          <w:szCs w:val="18"/>
          <w:lang w:val="en-GB"/>
        </w:rPr>
        <w:t>;</w:t>
      </w:r>
      <w:r w:rsidRPr="000644CF">
        <w:rPr>
          <w:sz w:val="18"/>
          <w:szCs w:val="18"/>
          <w:lang w:val="en-GB"/>
        </w:rPr>
        <w:t xml:space="preserve"> Late Natufian</w:t>
      </w:r>
      <w:r w:rsidR="00055050" w:rsidRPr="000644CF">
        <w:rPr>
          <w:sz w:val="18"/>
          <w:szCs w:val="18"/>
          <w:lang w:val="en-GB"/>
        </w:rPr>
        <w:t>,</w:t>
      </w:r>
      <w:r w:rsidRPr="000644CF">
        <w:rPr>
          <w:sz w:val="18"/>
          <w:szCs w:val="18"/>
          <w:lang w:val="en-GB"/>
        </w:rPr>
        <w:t xml:space="preserve"> light and dark orange). b) Diagram showing the total number of remains per litre of sediment floated at Shubayqa 1. Each column represents a context number, which is then grouped by phase (7-1) and period (Early Natufian, green; Late Natufian, light and dark orange)</w:t>
      </w:r>
    </w:p>
    <w:p w14:paraId="654551B4" w14:textId="77777777" w:rsidR="00974E64" w:rsidRPr="00C47ABE" w:rsidRDefault="00974E64" w:rsidP="00937B71">
      <w:pPr>
        <w:spacing w:line="360" w:lineRule="auto"/>
        <w:jc w:val="both"/>
        <w:rPr>
          <w:sz w:val="20"/>
          <w:szCs w:val="20"/>
          <w:lang w:val="en-GB"/>
        </w:rPr>
      </w:pPr>
    </w:p>
    <w:p w14:paraId="2EEBDD76" w14:textId="4F28E37F" w:rsidR="001B78FC" w:rsidRPr="00C47ABE" w:rsidRDefault="001B78FC" w:rsidP="00937B71">
      <w:pPr>
        <w:pStyle w:val="Listenabsatz"/>
        <w:spacing w:line="360" w:lineRule="auto"/>
        <w:ind w:left="0"/>
        <w:jc w:val="both"/>
        <w:rPr>
          <w:rFonts w:ascii="Times New Roman" w:hAnsi="Times New Roman" w:cs="Times New Roman"/>
          <w:sz w:val="20"/>
          <w:szCs w:val="20"/>
          <w:lang w:val="en-GB"/>
        </w:rPr>
      </w:pPr>
      <w:r w:rsidRPr="00C47ABE">
        <w:rPr>
          <w:rFonts w:ascii="Times New Roman" w:hAnsi="Times New Roman" w:cs="Times New Roman"/>
          <w:sz w:val="20"/>
          <w:szCs w:val="20"/>
          <w:lang w:val="en-GB"/>
        </w:rPr>
        <w:t xml:space="preserve">The Shubayqa 1 assemblage is also unique in that most </w:t>
      </w:r>
      <w:r w:rsidR="0092698E" w:rsidRPr="00C47ABE">
        <w:rPr>
          <w:rFonts w:ascii="Times New Roman" w:hAnsi="Times New Roman" w:cs="Times New Roman"/>
          <w:sz w:val="20"/>
          <w:szCs w:val="20"/>
          <w:lang w:val="en-GB"/>
        </w:rPr>
        <w:t xml:space="preserve">of the </w:t>
      </w:r>
      <w:r w:rsidRPr="00C47ABE">
        <w:rPr>
          <w:rFonts w:ascii="Times New Roman" w:hAnsi="Times New Roman" w:cs="Times New Roman"/>
          <w:sz w:val="20"/>
          <w:szCs w:val="20"/>
          <w:lang w:val="en-GB"/>
        </w:rPr>
        <w:t xml:space="preserve">identified remains are Underground Storage Organs (USOs), </w:t>
      </w:r>
      <w:r w:rsidR="0092698E" w:rsidRPr="00C47ABE">
        <w:rPr>
          <w:rFonts w:ascii="Times New Roman" w:hAnsi="Times New Roman" w:cs="Times New Roman"/>
          <w:sz w:val="20"/>
          <w:szCs w:val="20"/>
          <w:lang w:val="en-GB"/>
        </w:rPr>
        <w:t>comprising</w:t>
      </w:r>
      <w:r w:rsidRPr="00C47ABE">
        <w:rPr>
          <w:rFonts w:ascii="Times New Roman" w:hAnsi="Times New Roman" w:cs="Times New Roman"/>
          <w:sz w:val="20"/>
          <w:szCs w:val="20"/>
          <w:lang w:val="en-GB"/>
        </w:rPr>
        <w:t xml:space="preserve"> 63,571 specimens. USOs have not been found at other Natufian sites, which may be attributed to identification difficulties or, more likely, to preservation issues associated with the recovery techniques used. Indeed, it has been documented that fragile parenchyma tissue tends to fragment during recovery when using large-scale machine-assisted water flotation systems (</w:t>
      </w:r>
      <w:r w:rsidRPr="00C47ABE">
        <w:rPr>
          <w:rFonts w:ascii="Times New Roman" w:hAnsi="Times New Roman" w:cs="Times New Roman"/>
          <w:color w:val="0070C0"/>
          <w:sz w:val="20"/>
          <w:szCs w:val="20"/>
          <w:lang w:val="en-GB"/>
        </w:rPr>
        <w:t>Hather 2000</w:t>
      </w:r>
      <w:r w:rsidRPr="00C47ABE">
        <w:rPr>
          <w:rFonts w:ascii="Times New Roman" w:hAnsi="Times New Roman" w:cs="Times New Roman"/>
          <w:sz w:val="20"/>
          <w:szCs w:val="20"/>
          <w:lang w:val="en-GB"/>
        </w:rPr>
        <w:t>). The recovery technique employed at Shubayqa 1 included dry-sieving before flotation, which enhanced the preservation of USOs and underscores the need to refine or develop new protocols to prevent the destruction of extremely fragile plant remains, such as parenchyma tissue (</w:t>
      </w:r>
      <w:r w:rsidRPr="00C47ABE">
        <w:rPr>
          <w:rFonts w:ascii="Times New Roman" w:hAnsi="Times New Roman" w:cs="Times New Roman"/>
          <w:color w:val="0070C0"/>
          <w:sz w:val="20"/>
          <w:szCs w:val="20"/>
          <w:lang w:val="en-GB"/>
        </w:rPr>
        <w:t>Arranz-Otaegui et al. 2018a</w:t>
      </w:r>
      <w:r w:rsidRPr="00C47ABE">
        <w:rPr>
          <w:rFonts w:ascii="Times New Roman" w:hAnsi="Times New Roman" w:cs="Times New Roman"/>
          <w:sz w:val="20"/>
          <w:szCs w:val="20"/>
          <w:lang w:val="en-GB"/>
        </w:rPr>
        <w:t>).</w:t>
      </w:r>
    </w:p>
    <w:p w14:paraId="4528B746" w14:textId="77777777" w:rsidR="000C7E13" w:rsidRPr="00C47ABE" w:rsidRDefault="000C7E13" w:rsidP="00937B71">
      <w:pPr>
        <w:spacing w:line="360" w:lineRule="auto"/>
        <w:jc w:val="both"/>
        <w:rPr>
          <w:sz w:val="20"/>
          <w:szCs w:val="20"/>
          <w:lang w:val="en-GB"/>
        </w:rPr>
      </w:pPr>
    </w:p>
    <w:p w14:paraId="17675FE8" w14:textId="34653C31" w:rsidR="003F664F" w:rsidRPr="00FE41BF" w:rsidRDefault="0092698E" w:rsidP="003F664F">
      <w:pPr>
        <w:spacing w:line="360" w:lineRule="auto"/>
        <w:jc w:val="both"/>
        <w:rPr>
          <w:rFonts w:eastAsiaTheme="minorHAnsi"/>
          <w:b/>
          <w:bCs/>
          <w:lang w:val="en-GB" w:eastAsia="en-US"/>
          <w14:ligatures w14:val="standardContextual"/>
        </w:rPr>
      </w:pPr>
      <w:r w:rsidRPr="00FE41BF">
        <w:rPr>
          <w:b/>
          <w:bCs/>
          <w:lang w:val="en-GB"/>
        </w:rPr>
        <w:t>Text 3</w:t>
      </w:r>
      <w:r w:rsidR="00356121" w:rsidRPr="00FE41BF">
        <w:rPr>
          <w:b/>
          <w:bCs/>
          <w:lang w:val="en-GB"/>
        </w:rPr>
        <w:t>:</w:t>
      </w:r>
      <w:r w:rsidR="003F664F" w:rsidRPr="00FE41BF">
        <w:rPr>
          <w:b/>
          <w:bCs/>
          <w:lang w:val="en-GB"/>
        </w:rPr>
        <w:t xml:space="preserve"> </w:t>
      </w:r>
      <w:r w:rsidR="000644CF">
        <w:rPr>
          <w:b/>
          <w:bCs/>
          <w:lang w:val="en-GB"/>
        </w:rPr>
        <w:t>C</w:t>
      </w:r>
      <w:r w:rsidR="003F664F" w:rsidRPr="00FE41BF">
        <w:rPr>
          <w:rFonts w:eastAsiaTheme="minorHAnsi"/>
          <w:b/>
          <w:bCs/>
          <w:lang w:val="en-GB" w:eastAsia="en-US"/>
          <w14:ligatures w14:val="standardContextual"/>
        </w:rPr>
        <w:t>ontext-related varia</w:t>
      </w:r>
      <w:r w:rsidR="0006471C" w:rsidRPr="00FE41BF">
        <w:rPr>
          <w:rFonts w:eastAsiaTheme="minorHAnsi"/>
          <w:b/>
          <w:bCs/>
          <w:lang w:val="en-GB" w:eastAsia="en-US"/>
          <w14:ligatures w14:val="standardContextual"/>
        </w:rPr>
        <w:t>tion</w:t>
      </w:r>
      <w:r w:rsidR="003F664F" w:rsidRPr="00FE41BF">
        <w:rPr>
          <w:rFonts w:eastAsiaTheme="minorHAnsi"/>
          <w:b/>
          <w:bCs/>
          <w:lang w:val="en-GB" w:eastAsia="en-US"/>
          <w14:ligatures w14:val="standardContextual"/>
        </w:rPr>
        <w:t xml:space="preserve"> </w:t>
      </w:r>
      <w:r w:rsidR="0006471C" w:rsidRPr="00FE41BF">
        <w:rPr>
          <w:rFonts w:eastAsiaTheme="minorHAnsi"/>
          <w:b/>
          <w:bCs/>
          <w:lang w:val="en-GB" w:eastAsia="en-US"/>
          <w14:ligatures w14:val="standardContextual"/>
        </w:rPr>
        <w:t>and</w:t>
      </w:r>
      <w:r w:rsidR="003F664F" w:rsidRPr="00FE41BF">
        <w:rPr>
          <w:rFonts w:eastAsiaTheme="minorHAnsi"/>
          <w:b/>
          <w:bCs/>
          <w:lang w:val="en-GB" w:eastAsia="en-US"/>
          <w14:ligatures w14:val="standardContextual"/>
        </w:rPr>
        <w:t xml:space="preserve"> representativity of the changes in plant exploitation at Shubayqa 1</w:t>
      </w:r>
    </w:p>
    <w:p w14:paraId="650063D4" w14:textId="2F69248B" w:rsidR="00B41608" w:rsidRPr="00FE41BF" w:rsidRDefault="00EA72F5" w:rsidP="003F664F">
      <w:pPr>
        <w:spacing w:line="360" w:lineRule="auto"/>
        <w:jc w:val="both"/>
        <w:rPr>
          <w:sz w:val="20"/>
          <w:szCs w:val="20"/>
          <w:lang w:val="en-GB"/>
        </w:rPr>
      </w:pPr>
      <w:r w:rsidRPr="00FE41BF">
        <w:rPr>
          <w:sz w:val="20"/>
          <w:szCs w:val="20"/>
          <w:lang w:val="en-GB"/>
        </w:rPr>
        <w:t xml:space="preserve">To evaluate whether the observed changes in plant exploitation were influenced by context-related biases, </w:t>
      </w:r>
      <w:r w:rsidR="004B7478" w:rsidRPr="00FE41BF">
        <w:rPr>
          <w:sz w:val="20"/>
          <w:szCs w:val="20"/>
          <w:lang w:val="en-GB"/>
        </w:rPr>
        <w:t xml:space="preserve">we compared </w:t>
      </w:r>
      <w:r w:rsidRPr="00FE41BF">
        <w:rPr>
          <w:sz w:val="20"/>
          <w:szCs w:val="20"/>
          <w:lang w:val="en-GB"/>
        </w:rPr>
        <w:t>assemblage composition across context types.</w:t>
      </w:r>
      <w:r w:rsidR="004B7478" w:rsidRPr="00FE41BF">
        <w:rPr>
          <w:sz w:val="20"/>
          <w:szCs w:val="20"/>
          <w:lang w:val="en-GB"/>
        </w:rPr>
        <w:t xml:space="preserve"> </w:t>
      </w:r>
      <w:r w:rsidRPr="00FE41BF">
        <w:rPr>
          <w:sz w:val="20"/>
          <w:szCs w:val="20"/>
          <w:lang w:val="en-GB"/>
        </w:rPr>
        <w:t>This comparison was designed to assess whether the increase</w:t>
      </w:r>
      <w:r w:rsidR="005A53D4" w:rsidRPr="00FE41BF">
        <w:rPr>
          <w:sz w:val="20"/>
          <w:szCs w:val="20"/>
          <w:lang w:val="en-GB"/>
        </w:rPr>
        <w:t xml:space="preserve"> in club-rush nutlets and </w:t>
      </w:r>
      <w:r w:rsidRPr="00FE41BF">
        <w:rPr>
          <w:sz w:val="20"/>
          <w:szCs w:val="20"/>
          <w:lang w:val="en-GB"/>
        </w:rPr>
        <w:t xml:space="preserve">large and </w:t>
      </w:r>
      <w:r w:rsidR="005A53D4" w:rsidRPr="00FE41BF">
        <w:rPr>
          <w:sz w:val="20"/>
          <w:szCs w:val="20"/>
          <w:lang w:val="en-GB"/>
        </w:rPr>
        <w:t>large</w:t>
      </w:r>
      <w:r w:rsidRPr="00FE41BF">
        <w:rPr>
          <w:sz w:val="20"/>
          <w:szCs w:val="20"/>
          <w:lang w:val="en-GB"/>
        </w:rPr>
        <w:t>/</w:t>
      </w:r>
      <w:r w:rsidR="005A53D4" w:rsidRPr="00FE41BF">
        <w:rPr>
          <w:sz w:val="20"/>
          <w:szCs w:val="20"/>
          <w:lang w:val="en-GB"/>
        </w:rPr>
        <w:t>medium-seeded Poaceae</w:t>
      </w:r>
      <w:r w:rsidRPr="00FE41BF">
        <w:rPr>
          <w:sz w:val="20"/>
          <w:szCs w:val="20"/>
          <w:lang w:val="en-GB"/>
        </w:rPr>
        <w:t xml:space="preserve">, together with the decrease in </w:t>
      </w:r>
      <w:r w:rsidRPr="00FE41BF">
        <w:rPr>
          <w:i/>
          <w:iCs/>
          <w:sz w:val="20"/>
          <w:szCs w:val="20"/>
          <w:lang w:val="en-GB"/>
        </w:rPr>
        <w:t>Bolboschoenus</w:t>
      </w:r>
      <w:r w:rsidRPr="00FE41BF">
        <w:rPr>
          <w:sz w:val="20"/>
          <w:szCs w:val="20"/>
          <w:lang w:val="en-GB"/>
        </w:rPr>
        <w:t xml:space="preserve"> tubers, </w:t>
      </w:r>
      <w:r w:rsidR="005A53D4" w:rsidRPr="00FE41BF">
        <w:rPr>
          <w:sz w:val="20"/>
          <w:szCs w:val="20"/>
          <w:lang w:val="en-GB"/>
        </w:rPr>
        <w:t xml:space="preserve">remained </w:t>
      </w:r>
      <w:r w:rsidRPr="00FE41BF">
        <w:rPr>
          <w:sz w:val="20"/>
          <w:szCs w:val="20"/>
          <w:lang w:val="en-GB"/>
        </w:rPr>
        <w:t xml:space="preserve">visible when </w:t>
      </w:r>
      <w:r w:rsidR="00CC500F" w:rsidRPr="00FE41BF">
        <w:rPr>
          <w:sz w:val="20"/>
          <w:szCs w:val="20"/>
          <w:lang w:val="en-GB"/>
        </w:rPr>
        <w:t>comparable contexts were considered</w:t>
      </w:r>
      <w:r w:rsidR="00946C89" w:rsidRPr="00FE41BF">
        <w:rPr>
          <w:sz w:val="20"/>
          <w:szCs w:val="20"/>
          <w:lang w:val="en-GB"/>
        </w:rPr>
        <w:t>, especially in hearth, feasting dump and midden contexts</w:t>
      </w:r>
      <w:r w:rsidR="005A53D4" w:rsidRPr="00FE41BF">
        <w:rPr>
          <w:sz w:val="20"/>
          <w:szCs w:val="20"/>
          <w:lang w:val="en-GB"/>
        </w:rPr>
        <w:t xml:space="preserve">. As </w:t>
      </w:r>
      <w:r w:rsidR="00CC500F" w:rsidRPr="00FE41BF">
        <w:rPr>
          <w:sz w:val="20"/>
          <w:szCs w:val="20"/>
          <w:lang w:val="en-GB"/>
        </w:rPr>
        <w:t xml:space="preserve">shown </w:t>
      </w:r>
      <w:r w:rsidR="005A53D4" w:rsidRPr="00FE41BF">
        <w:rPr>
          <w:sz w:val="20"/>
          <w:szCs w:val="20"/>
          <w:lang w:val="en-GB"/>
        </w:rPr>
        <w:t>in the diagram (</w:t>
      </w:r>
      <w:r w:rsidR="00EA46E4" w:rsidRPr="00FE41BF">
        <w:rPr>
          <w:b/>
          <w:bCs/>
          <w:sz w:val="20"/>
          <w:szCs w:val="20"/>
          <w:lang w:val="en-GB"/>
        </w:rPr>
        <w:t>F</w:t>
      </w:r>
      <w:r w:rsidR="005A53D4" w:rsidRPr="00FE41BF">
        <w:rPr>
          <w:b/>
          <w:bCs/>
          <w:sz w:val="20"/>
          <w:szCs w:val="20"/>
          <w:lang w:val="en-GB"/>
        </w:rPr>
        <w:t xml:space="preserve">ig. </w:t>
      </w:r>
      <w:r w:rsidR="000644CF">
        <w:rPr>
          <w:b/>
          <w:bCs/>
          <w:sz w:val="20"/>
          <w:szCs w:val="20"/>
          <w:lang w:val="en-GB"/>
        </w:rPr>
        <w:t>S</w:t>
      </w:r>
      <w:r w:rsidR="004B7478" w:rsidRPr="00FE41BF">
        <w:rPr>
          <w:b/>
          <w:bCs/>
          <w:sz w:val="20"/>
          <w:szCs w:val="20"/>
          <w:lang w:val="en-GB"/>
        </w:rPr>
        <w:t>2</w:t>
      </w:r>
      <w:r w:rsidR="005A53D4" w:rsidRPr="00FE41BF">
        <w:rPr>
          <w:sz w:val="20"/>
          <w:szCs w:val="20"/>
          <w:lang w:val="en-GB"/>
        </w:rPr>
        <w:t xml:space="preserve">), </w:t>
      </w:r>
      <w:r w:rsidR="00CC500F" w:rsidRPr="00FE41BF">
        <w:rPr>
          <w:sz w:val="20"/>
          <w:szCs w:val="20"/>
          <w:lang w:val="en-GB"/>
        </w:rPr>
        <w:t>the main diachronic</w:t>
      </w:r>
      <w:r w:rsidRPr="00FE41BF">
        <w:rPr>
          <w:sz w:val="20"/>
          <w:szCs w:val="20"/>
          <w:lang w:val="en-GB"/>
        </w:rPr>
        <w:t xml:space="preserve"> trend</w:t>
      </w:r>
      <w:r w:rsidR="005A53D4" w:rsidRPr="00FE41BF">
        <w:rPr>
          <w:sz w:val="20"/>
          <w:szCs w:val="20"/>
          <w:lang w:val="en-GB"/>
        </w:rPr>
        <w:t xml:space="preserve"> is </w:t>
      </w:r>
      <w:r w:rsidR="00C72CEC" w:rsidRPr="00FE41BF">
        <w:rPr>
          <w:sz w:val="20"/>
          <w:szCs w:val="20"/>
          <w:lang w:val="en-GB"/>
        </w:rPr>
        <w:t>evident</w:t>
      </w:r>
      <w:r w:rsidR="005A53D4" w:rsidRPr="00FE41BF">
        <w:rPr>
          <w:sz w:val="20"/>
          <w:szCs w:val="20"/>
          <w:lang w:val="en-GB"/>
        </w:rPr>
        <w:t xml:space="preserve"> in</w:t>
      </w:r>
      <w:r w:rsidR="00CC500F" w:rsidRPr="00FE41BF">
        <w:rPr>
          <w:sz w:val="20"/>
          <w:szCs w:val="20"/>
          <w:lang w:val="en-GB"/>
        </w:rPr>
        <w:t xml:space="preserve"> several context types. In particular, the reduction in </w:t>
      </w:r>
      <w:r w:rsidR="00CC500F" w:rsidRPr="00FE41BF">
        <w:rPr>
          <w:i/>
          <w:iCs/>
          <w:sz w:val="20"/>
          <w:szCs w:val="20"/>
          <w:lang w:val="en-GB"/>
        </w:rPr>
        <w:t xml:space="preserve">Bolboschoenus </w:t>
      </w:r>
      <w:r w:rsidR="00CC500F" w:rsidRPr="00FE41BF">
        <w:rPr>
          <w:sz w:val="20"/>
          <w:szCs w:val="20"/>
          <w:lang w:val="en-GB"/>
        </w:rPr>
        <w:t>tubers and the increase in club-rush nutlets and large and large/medium-seeded Poaceae can be observed in</w:t>
      </w:r>
      <w:r w:rsidR="005A53D4" w:rsidRPr="00FE41BF">
        <w:rPr>
          <w:sz w:val="20"/>
          <w:szCs w:val="20"/>
          <w:lang w:val="en-GB"/>
        </w:rPr>
        <w:t xml:space="preserve"> </w:t>
      </w:r>
      <w:r w:rsidR="00C72CEC" w:rsidRPr="00FE41BF">
        <w:rPr>
          <w:sz w:val="20"/>
          <w:szCs w:val="20"/>
          <w:lang w:val="en-GB"/>
        </w:rPr>
        <w:t xml:space="preserve">both </w:t>
      </w:r>
      <w:r w:rsidR="005A53D4" w:rsidRPr="00FE41BF">
        <w:rPr>
          <w:sz w:val="20"/>
          <w:szCs w:val="20"/>
          <w:lang w:val="en-GB"/>
        </w:rPr>
        <w:t>the feasting dump</w:t>
      </w:r>
      <w:r w:rsidR="00CC500F" w:rsidRPr="00FE41BF">
        <w:rPr>
          <w:sz w:val="20"/>
          <w:szCs w:val="20"/>
          <w:lang w:val="en-GB"/>
        </w:rPr>
        <w:t>/</w:t>
      </w:r>
      <w:r w:rsidR="005A53D4" w:rsidRPr="00FE41BF">
        <w:rPr>
          <w:sz w:val="20"/>
          <w:szCs w:val="20"/>
          <w:lang w:val="en-GB"/>
        </w:rPr>
        <w:t>midden and the structure/cut fills</w:t>
      </w:r>
      <w:r w:rsidR="00CC500F" w:rsidRPr="00FE41BF">
        <w:rPr>
          <w:sz w:val="20"/>
          <w:szCs w:val="20"/>
          <w:lang w:val="en-GB"/>
        </w:rPr>
        <w:t>. This</w:t>
      </w:r>
      <w:r w:rsidRPr="00FE41BF">
        <w:rPr>
          <w:sz w:val="20"/>
          <w:szCs w:val="20"/>
          <w:lang w:val="en-GB"/>
        </w:rPr>
        <w:t xml:space="preserve"> support</w:t>
      </w:r>
      <w:r w:rsidR="00CC500F" w:rsidRPr="00FE41BF">
        <w:rPr>
          <w:sz w:val="20"/>
          <w:szCs w:val="20"/>
          <w:lang w:val="en-GB"/>
        </w:rPr>
        <w:t>s</w:t>
      </w:r>
      <w:r w:rsidRPr="00FE41BF">
        <w:rPr>
          <w:sz w:val="20"/>
          <w:szCs w:val="20"/>
          <w:lang w:val="en-GB"/>
        </w:rPr>
        <w:t xml:space="preserve"> the interpretation </w:t>
      </w:r>
      <w:r w:rsidR="00C72CEC" w:rsidRPr="00FE41BF">
        <w:rPr>
          <w:sz w:val="20"/>
          <w:szCs w:val="20"/>
          <w:lang w:val="en-GB"/>
        </w:rPr>
        <w:t>that plant exploitation strategies changed between Early and Late Natufian</w:t>
      </w:r>
      <w:r w:rsidR="001F6AC4" w:rsidRPr="00FE41BF">
        <w:rPr>
          <w:sz w:val="20"/>
          <w:szCs w:val="20"/>
          <w:lang w:val="en-GB"/>
        </w:rPr>
        <w:t>, even considering specific contexts</w:t>
      </w:r>
      <w:r w:rsidR="00C72CEC" w:rsidRPr="00FE41BF">
        <w:rPr>
          <w:sz w:val="20"/>
          <w:szCs w:val="20"/>
          <w:lang w:val="en-GB"/>
        </w:rPr>
        <w:t xml:space="preserve">. </w:t>
      </w:r>
      <w:r w:rsidR="001F6AC4" w:rsidRPr="00FE41BF">
        <w:rPr>
          <w:sz w:val="20"/>
          <w:szCs w:val="20"/>
          <w:lang w:val="en-GB"/>
        </w:rPr>
        <w:t>Some contexts, h</w:t>
      </w:r>
      <w:r w:rsidR="00946C89" w:rsidRPr="00FE41BF">
        <w:rPr>
          <w:sz w:val="20"/>
          <w:szCs w:val="20"/>
          <w:lang w:val="en-GB"/>
        </w:rPr>
        <w:t>owever</w:t>
      </w:r>
      <w:r w:rsidR="00C72CEC" w:rsidRPr="00FE41BF">
        <w:rPr>
          <w:sz w:val="20"/>
          <w:szCs w:val="20"/>
          <w:lang w:val="en-GB"/>
        </w:rPr>
        <w:t>,</w:t>
      </w:r>
      <w:r w:rsidR="00B72437" w:rsidRPr="00FE41BF">
        <w:rPr>
          <w:sz w:val="20"/>
          <w:szCs w:val="20"/>
          <w:lang w:val="en-GB"/>
        </w:rPr>
        <w:t xml:space="preserve"> </w:t>
      </w:r>
      <w:r w:rsidR="001F6AC4" w:rsidRPr="00FE41BF">
        <w:rPr>
          <w:sz w:val="20"/>
          <w:szCs w:val="20"/>
          <w:lang w:val="en-GB"/>
        </w:rPr>
        <w:t>deviate from this general pattern</w:t>
      </w:r>
      <w:r w:rsidR="00B72437" w:rsidRPr="00FE41BF">
        <w:rPr>
          <w:sz w:val="20"/>
          <w:szCs w:val="20"/>
          <w:lang w:val="en-GB"/>
        </w:rPr>
        <w:t>. The fill of construction and foundation cuts</w:t>
      </w:r>
      <w:r w:rsidR="001F6AC4" w:rsidRPr="00FE41BF">
        <w:rPr>
          <w:sz w:val="20"/>
          <w:szCs w:val="20"/>
          <w:lang w:val="en-GB"/>
        </w:rPr>
        <w:t xml:space="preserve"> in Phase 7</w:t>
      </w:r>
      <w:r w:rsidR="00B72437" w:rsidRPr="00FE41BF">
        <w:rPr>
          <w:sz w:val="20"/>
          <w:szCs w:val="20"/>
          <w:lang w:val="en-GB"/>
        </w:rPr>
        <w:t xml:space="preserve"> shows a low</w:t>
      </w:r>
      <w:r w:rsidR="001F6AC4" w:rsidRPr="00FE41BF">
        <w:rPr>
          <w:sz w:val="20"/>
          <w:szCs w:val="20"/>
          <w:lang w:val="en-GB"/>
        </w:rPr>
        <w:t>er</w:t>
      </w:r>
      <w:r w:rsidR="00B72437" w:rsidRPr="00FE41BF">
        <w:rPr>
          <w:sz w:val="20"/>
          <w:szCs w:val="20"/>
          <w:lang w:val="en-GB"/>
        </w:rPr>
        <w:t xml:space="preserve"> </w:t>
      </w:r>
      <w:r w:rsidR="001F6AC4" w:rsidRPr="00FE41BF">
        <w:rPr>
          <w:sz w:val="20"/>
          <w:szCs w:val="20"/>
          <w:lang w:val="en-GB"/>
        </w:rPr>
        <w:t>proportion</w:t>
      </w:r>
      <w:r w:rsidR="00B72437" w:rsidRPr="00FE41BF">
        <w:rPr>
          <w:sz w:val="20"/>
          <w:szCs w:val="20"/>
          <w:lang w:val="en-GB"/>
        </w:rPr>
        <w:t xml:space="preserve"> of Cyperaceae tubers compared </w:t>
      </w:r>
      <w:r w:rsidR="001F6AC4" w:rsidRPr="00FE41BF">
        <w:rPr>
          <w:sz w:val="20"/>
          <w:szCs w:val="20"/>
          <w:lang w:val="en-GB"/>
        </w:rPr>
        <w:t>with</w:t>
      </w:r>
      <w:r w:rsidR="00B72437" w:rsidRPr="00FE41BF">
        <w:rPr>
          <w:sz w:val="20"/>
          <w:szCs w:val="20"/>
          <w:lang w:val="en-GB"/>
        </w:rPr>
        <w:t xml:space="preserve"> other contexts of the same phase and period (Early Natufian). </w:t>
      </w:r>
      <w:r w:rsidR="001F6AC4" w:rsidRPr="00FE41BF">
        <w:rPr>
          <w:sz w:val="20"/>
          <w:szCs w:val="20"/>
          <w:lang w:val="en-GB"/>
        </w:rPr>
        <w:t>Early Natufian b</w:t>
      </w:r>
      <w:r w:rsidR="00946C89" w:rsidRPr="00FE41BF">
        <w:rPr>
          <w:sz w:val="20"/>
          <w:szCs w:val="20"/>
          <w:lang w:val="en-GB"/>
        </w:rPr>
        <w:t>urial</w:t>
      </w:r>
      <w:r w:rsidR="00C72CEC" w:rsidRPr="00FE41BF">
        <w:rPr>
          <w:sz w:val="20"/>
          <w:szCs w:val="20"/>
          <w:lang w:val="en-GB"/>
        </w:rPr>
        <w:t>s</w:t>
      </w:r>
      <w:r w:rsidR="00946C89" w:rsidRPr="00FE41BF">
        <w:rPr>
          <w:sz w:val="20"/>
          <w:szCs w:val="20"/>
          <w:lang w:val="en-GB"/>
        </w:rPr>
        <w:t xml:space="preserve"> </w:t>
      </w:r>
      <w:r w:rsidR="00B72437" w:rsidRPr="00FE41BF">
        <w:rPr>
          <w:sz w:val="20"/>
          <w:szCs w:val="20"/>
          <w:lang w:val="en-GB"/>
        </w:rPr>
        <w:t xml:space="preserve">also </w:t>
      </w:r>
      <w:r w:rsidR="001F6AC4" w:rsidRPr="00FE41BF">
        <w:rPr>
          <w:sz w:val="20"/>
          <w:szCs w:val="20"/>
          <w:lang w:val="en-GB"/>
        </w:rPr>
        <w:t>display</w:t>
      </w:r>
      <w:r w:rsidR="00946C89" w:rsidRPr="00FE41BF">
        <w:rPr>
          <w:sz w:val="20"/>
          <w:szCs w:val="20"/>
          <w:lang w:val="en-GB"/>
        </w:rPr>
        <w:t xml:space="preserve"> a </w:t>
      </w:r>
      <w:r w:rsidR="001F6AC4" w:rsidRPr="00FE41BF">
        <w:rPr>
          <w:sz w:val="20"/>
          <w:szCs w:val="20"/>
          <w:lang w:val="en-GB"/>
        </w:rPr>
        <w:t>distinct</w:t>
      </w:r>
      <w:r w:rsidR="00946C89" w:rsidRPr="00FE41BF">
        <w:rPr>
          <w:sz w:val="20"/>
          <w:szCs w:val="20"/>
          <w:lang w:val="en-GB"/>
        </w:rPr>
        <w:t xml:space="preserve"> composition</w:t>
      </w:r>
      <w:r w:rsidR="001F6AC4" w:rsidRPr="00FE41BF">
        <w:rPr>
          <w:sz w:val="20"/>
          <w:szCs w:val="20"/>
          <w:lang w:val="en-GB"/>
        </w:rPr>
        <w:t xml:space="preserve">, with abundant </w:t>
      </w:r>
      <w:r w:rsidR="00B72437" w:rsidRPr="00FE41BF">
        <w:rPr>
          <w:sz w:val="20"/>
          <w:szCs w:val="20"/>
          <w:lang w:val="en-GB"/>
        </w:rPr>
        <w:t xml:space="preserve">small-seeded grasses and </w:t>
      </w:r>
      <w:r w:rsidR="001F6AC4" w:rsidRPr="00FE41BF">
        <w:rPr>
          <w:sz w:val="20"/>
          <w:szCs w:val="20"/>
          <w:lang w:val="en-GB"/>
        </w:rPr>
        <w:t xml:space="preserve">a </w:t>
      </w:r>
      <w:r w:rsidR="00B72437" w:rsidRPr="00FE41BF">
        <w:rPr>
          <w:sz w:val="20"/>
          <w:szCs w:val="20"/>
          <w:lang w:val="en-GB"/>
        </w:rPr>
        <w:t>low</w:t>
      </w:r>
      <w:r w:rsidR="001F6AC4" w:rsidRPr="00FE41BF">
        <w:rPr>
          <w:sz w:val="20"/>
          <w:szCs w:val="20"/>
          <w:lang w:val="en-GB"/>
        </w:rPr>
        <w:t xml:space="preserve"> proportion of</w:t>
      </w:r>
      <w:r w:rsidR="00B72437" w:rsidRPr="00FE41BF">
        <w:rPr>
          <w:sz w:val="20"/>
          <w:szCs w:val="20"/>
          <w:lang w:val="en-GB"/>
        </w:rPr>
        <w:t xml:space="preserve"> Cyperaceae tubers</w:t>
      </w:r>
      <w:r w:rsidR="001F6AC4" w:rsidRPr="00FE41BF">
        <w:rPr>
          <w:sz w:val="20"/>
          <w:szCs w:val="20"/>
          <w:lang w:val="en-GB"/>
        </w:rPr>
        <w:t>, which contrasts with other contexts of the same period</w:t>
      </w:r>
      <w:r w:rsidR="00946C89" w:rsidRPr="00FE41BF">
        <w:rPr>
          <w:sz w:val="20"/>
          <w:szCs w:val="20"/>
          <w:lang w:val="en-GB"/>
        </w:rPr>
        <w:t>.</w:t>
      </w:r>
      <w:r w:rsidR="00B72437" w:rsidRPr="00FE41BF">
        <w:rPr>
          <w:sz w:val="20"/>
          <w:szCs w:val="20"/>
          <w:lang w:val="en-GB"/>
        </w:rPr>
        <w:t xml:space="preserve"> </w:t>
      </w:r>
      <w:r w:rsidR="001F6AC4" w:rsidRPr="00FE41BF">
        <w:rPr>
          <w:sz w:val="20"/>
          <w:szCs w:val="20"/>
          <w:lang w:val="en-GB"/>
        </w:rPr>
        <w:t>Conversely, Phase 3</w:t>
      </w:r>
      <w:r w:rsidR="00B72437" w:rsidRPr="00FE41BF">
        <w:rPr>
          <w:sz w:val="20"/>
          <w:szCs w:val="20"/>
          <w:lang w:val="en-GB"/>
        </w:rPr>
        <w:t xml:space="preserve"> burial </w:t>
      </w:r>
      <w:r w:rsidR="001F6AC4" w:rsidRPr="00FE41BF">
        <w:rPr>
          <w:sz w:val="20"/>
          <w:szCs w:val="20"/>
          <w:lang w:val="en-GB"/>
        </w:rPr>
        <w:t>differs from the general Late Natufian pattern by showing a</w:t>
      </w:r>
      <w:r w:rsidR="00B72437" w:rsidRPr="00FE41BF">
        <w:rPr>
          <w:sz w:val="20"/>
          <w:szCs w:val="20"/>
          <w:lang w:val="en-GB"/>
        </w:rPr>
        <w:t xml:space="preserve"> higher </w:t>
      </w:r>
      <w:r w:rsidR="001F6AC4" w:rsidRPr="00FE41BF">
        <w:rPr>
          <w:sz w:val="20"/>
          <w:szCs w:val="20"/>
          <w:lang w:val="en-GB"/>
        </w:rPr>
        <w:t>proportion</w:t>
      </w:r>
      <w:r w:rsidR="00B72437" w:rsidRPr="00FE41BF">
        <w:rPr>
          <w:sz w:val="20"/>
          <w:szCs w:val="20"/>
          <w:lang w:val="en-GB"/>
        </w:rPr>
        <w:t xml:space="preserve"> of </w:t>
      </w:r>
      <w:r w:rsidR="00CC500F" w:rsidRPr="00FE41BF">
        <w:rPr>
          <w:i/>
          <w:iCs/>
          <w:sz w:val="20"/>
          <w:szCs w:val="20"/>
          <w:lang w:val="en-GB"/>
        </w:rPr>
        <w:t>Bolbos</w:t>
      </w:r>
      <w:r w:rsidR="00055050" w:rsidRPr="00FE41BF">
        <w:rPr>
          <w:i/>
          <w:iCs/>
          <w:sz w:val="20"/>
          <w:szCs w:val="20"/>
          <w:lang w:val="en-GB"/>
        </w:rPr>
        <w:t>c</w:t>
      </w:r>
      <w:r w:rsidR="00CC500F" w:rsidRPr="00FE41BF">
        <w:rPr>
          <w:i/>
          <w:iCs/>
          <w:sz w:val="20"/>
          <w:szCs w:val="20"/>
          <w:lang w:val="en-GB"/>
        </w:rPr>
        <w:t>hoenus</w:t>
      </w:r>
      <w:r w:rsidR="00CC500F" w:rsidRPr="00FE41BF">
        <w:rPr>
          <w:sz w:val="20"/>
          <w:szCs w:val="20"/>
          <w:lang w:val="en-GB"/>
        </w:rPr>
        <w:t xml:space="preserve"> tubers.</w:t>
      </w:r>
      <w:r w:rsidR="001F6AC4" w:rsidRPr="00FE41BF">
        <w:rPr>
          <w:sz w:val="20"/>
          <w:szCs w:val="20"/>
          <w:lang w:val="en-GB"/>
        </w:rPr>
        <w:t xml:space="preserve"> These </w:t>
      </w:r>
      <w:r w:rsidR="00786E65" w:rsidRPr="00FE41BF">
        <w:rPr>
          <w:sz w:val="20"/>
          <w:szCs w:val="20"/>
          <w:lang w:val="en-GB"/>
        </w:rPr>
        <w:t>exceptions</w:t>
      </w:r>
      <w:r w:rsidR="001F6AC4" w:rsidRPr="00FE41BF">
        <w:rPr>
          <w:sz w:val="20"/>
          <w:szCs w:val="20"/>
          <w:lang w:val="en-GB"/>
        </w:rPr>
        <w:t xml:space="preserve"> indicate that context-specific depositional histories can affect assemblage composition, but they do not obscure the broader diachronic trend observed across the sequence. </w:t>
      </w:r>
    </w:p>
    <w:p w14:paraId="2E05B73A" w14:textId="77777777" w:rsidR="00392964" w:rsidRPr="00C47ABE" w:rsidRDefault="00392964" w:rsidP="003F664F">
      <w:pPr>
        <w:spacing w:line="360" w:lineRule="auto"/>
        <w:jc w:val="both"/>
        <w:rPr>
          <w:sz w:val="20"/>
          <w:szCs w:val="20"/>
          <w:lang w:val="en-GB"/>
        </w:rPr>
      </w:pPr>
    </w:p>
    <w:p w14:paraId="73A90D00" w14:textId="5DB84EEE" w:rsidR="00E00DEE" w:rsidRPr="00C47ABE" w:rsidRDefault="00392964" w:rsidP="003F664F">
      <w:pPr>
        <w:spacing w:line="360" w:lineRule="auto"/>
        <w:jc w:val="both"/>
        <w:rPr>
          <w:sz w:val="20"/>
          <w:szCs w:val="20"/>
          <w:lang w:val="en-GB"/>
        </w:rPr>
      </w:pPr>
      <w:r w:rsidRPr="00C47ABE">
        <w:rPr>
          <w:noProof/>
          <w:lang w:val="en-GB"/>
          <w14:ligatures w14:val="standardContextual"/>
        </w:rPr>
        <w:lastRenderedPageBreak/>
        <w:drawing>
          <wp:inline distT="0" distB="0" distL="0" distR="0" wp14:anchorId="02B8F0A2" wp14:editId="3577B9A5">
            <wp:extent cx="6120130" cy="4603115"/>
            <wp:effectExtent l="0" t="0" r="1270" b="0"/>
            <wp:docPr id="210045054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450543" name=""/>
                    <pic:cNvPicPr/>
                  </pic:nvPicPr>
                  <pic:blipFill>
                    <a:blip r:embed="rId13"/>
                    <a:stretch>
                      <a:fillRect/>
                    </a:stretch>
                  </pic:blipFill>
                  <pic:spPr>
                    <a:xfrm>
                      <a:off x="0" y="0"/>
                      <a:ext cx="6120130" cy="4603115"/>
                    </a:xfrm>
                    <a:prstGeom prst="rect">
                      <a:avLst/>
                    </a:prstGeom>
                  </pic:spPr>
                </pic:pic>
              </a:graphicData>
            </a:graphic>
          </wp:inline>
        </w:drawing>
      </w:r>
    </w:p>
    <w:p w14:paraId="25FA0AF3" w14:textId="0DC2DFE1" w:rsidR="00F97603" w:rsidRPr="00C47ABE" w:rsidRDefault="00F97603" w:rsidP="003F664F">
      <w:pPr>
        <w:spacing w:line="360" w:lineRule="auto"/>
        <w:jc w:val="both"/>
        <w:rPr>
          <w:sz w:val="20"/>
          <w:szCs w:val="20"/>
          <w:lang w:val="en-GB"/>
        </w:rPr>
      </w:pPr>
    </w:p>
    <w:p w14:paraId="00EB1F99" w14:textId="6EA1DA90" w:rsidR="00946C89" w:rsidRPr="000644CF" w:rsidRDefault="00D16E3F" w:rsidP="000644CF">
      <w:pPr>
        <w:spacing w:line="264" w:lineRule="auto"/>
        <w:jc w:val="both"/>
        <w:rPr>
          <w:sz w:val="18"/>
          <w:szCs w:val="18"/>
          <w:lang w:val="en-GB"/>
        </w:rPr>
      </w:pPr>
      <w:r w:rsidRPr="000644CF">
        <w:rPr>
          <w:b/>
          <w:bCs/>
          <w:sz w:val="18"/>
          <w:szCs w:val="18"/>
          <w:lang w:val="en-GB"/>
        </w:rPr>
        <w:t xml:space="preserve">Fig. </w:t>
      </w:r>
      <w:r w:rsidR="00FE41BF" w:rsidRPr="000644CF">
        <w:rPr>
          <w:b/>
          <w:bCs/>
          <w:sz w:val="18"/>
          <w:szCs w:val="18"/>
          <w:lang w:val="en-GB"/>
        </w:rPr>
        <w:t>S</w:t>
      </w:r>
      <w:r w:rsidR="004B7478" w:rsidRPr="000644CF">
        <w:rPr>
          <w:b/>
          <w:bCs/>
          <w:sz w:val="18"/>
          <w:szCs w:val="18"/>
          <w:lang w:val="en-GB"/>
        </w:rPr>
        <w:t>2</w:t>
      </w:r>
      <w:r w:rsidR="00F97603" w:rsidRPr="000644CF">
        <w:rPr>
          <w:sz w:val="18"/>
          <w:szCs w:val="18"/>
          <w:lang w:val="en-GB"/>
        </w:rPr>
        <w:t xml:space="preserve"> Diagram illustrating the assemblage composition of Early Natufian and Late Natufian by context</w:t>
      </w:r>
      <w:r w:rsidR="001F6AC4" w:rsidRPr="000644CF">
        <w:rPr>
          <w:sz w:val="18"/>
          <w:szCs w:val="18"/>
          <w:lang w:val="en-GB"/>
        </w:rPr>
        <w:t xml:space="preserve"> type</w:t>
      </w:r>
      <w:r w:rsidR="00F97603" w:rsidRPr="000644CF">
        <w:rPr>
          <w:sz w:val="18"/>
          <w:szCs w:val="18"/>
          <w:lang w:val="en-GB"/>
        </w:rPr>
        <w:t>; individual contexts are organised according to type of context</w:t>
      </w:r>
      <w:r w:rsidR="001F6AC4" w:rsidRPr="000644CF">
        <w:rPr>
          <w:sz w:val="18"/>
          <w:szCs w:val="18"/>
          <w:lang w:val="en-GB"/>
        </w:rPr>
        <w:t xml:space="preserve">, </w:t>
      </w:r>
      <w:r w:rsidR="00F97603" w:rsidRPr="000644CF">
        <w:rPr>
          <w:sz w:val="18"/>
          <w:szCs w:val="18"/>
          <w:lang w:val="en-GB"/>
        </w:rPr>
        <w:t>phase</w:t>
      </w:r>
      <w:r w:rsidR="00946C89" w:rsidRPr="000644CF">
        <w:rPr>
          <w:sz w:val="18"/>
          <w:szCs w:val="18"/>
          <w:lang w:val="en-GB"/>
        </w:rPr>
        <w:t xml:space="preserve"> (7-1)</w:t>
      </w:r>
      <w:r w:rsidR="00F97603" w:rsidRPr="000644CF">
        <w:rPr>
          <w:sz w:val="18"/>
          <w:szCs w:val="18"/>
          <w:lang w:val="en-GB"/>
        </w:rPr>
        <w:t xml:space="preserve"> and period</w:t>
      </w:r>
      <w:r w:rsidR="00946C89" w:rsidRPr="000644CF">
        <w:rPr>
          <w:sz w:val="18"/>
          <w:szCs w:val="18"/>
          <w:lang w:val="en-GB"/>
        </w:rPr>
        <w:t xml:space="preserve"> (EN = Early Natufian; LN = Late Natufian).</w:t>
      </w:r>
      <w:r w:rsidR="00786E65" w:rsidRPr="000644CF">
        <w:rPr>
          <w:sz w:val="18"/>
          <w:szCs w:val="18"/>
          <w:lang w:val="en-GB"/>
        </w:rPr>
        <w:t xml:space="preserve"> The red arrows </w:t>
      </w:r>
      <w:r w:rsidR="00055050" w:rsidRPr="000644CF">
        <w:rPr>
          <w:sz w:val="18"/>
          <w:szCs w:val="18"/>
          <w:lang w:val="en-GB"/>
        </w:rPr>
        <w:t>indicate</w:t>
      </w:r>
      <w:r w:rsidR="00786E65" w:rsidRPr="000644CF">
        <w:rPr>
          <w:sz w:val="18"/>
          <w:szCs w:val="18"/>
          <w:lang w:val="en-GB"/>
        </w:rPr>
        <w:t xml:space="preserve"> the context</w:t>
      </w:r>
      <w:r w:rsidR="00055050" w:rsidRPr="000644CF">
        <w:rPr>
          <w:sz w:val="18"/>
          <w:szCs w:val="18"/>
          <w:lang w:val="en-GB"/>
        </w:rPr>
        <w:t>s</w:t>
      </w:r>
      <w:r w:rsidR="00786E65" w:rsidRPr="000644CF">
        <w:rPr>
          <w:sz w:val="18"/>
          <w:szCs w:val="18"/>
          <w:lang w:val="en-GB"/>
        </w:rPr>
        <w:t xml:space="preserve"> that deviate from the general pattern</w:t>
      </w:r>
    </w:p>
    <w:p w14:paraId="3A220DC1" w14:textId="77777777" w:rsidR="00D16F16" w:rsidRPr="00C47ABE" w:rsidRDefault="00D16F16" w:rsidP="00D16F16">
      <w:pPr>
        <w:spacing w:line="360" w:lineRule="auto"/>
        <w:jc w:val="both"/>
        <w:rPr>
          <w:lang w:val="en-GB"/>
        </w:rPr>
      </w:pPr>
    </w:p>
    <w:p w14:paraId="2174605F" w14:textId="2AC2E4EA" w:rsidR="00D16F16" w:rsidRPr="00FE41BF" w:rsidRDefault="00055050" w:rsidP="00D16F16">
      <w:pPr>
        <w:spacing w:line="360" w:lineRule="auto"/>
        <w:jc w:val="both"/>
        <w:rPr>
          <w:b/>
          <w:bCs/>
          <w:lang w:val="en-GB"/>
        </w:rPr>
      </w:pPr>
      <w:r w:rsidRPr="00FE41BF">
        <w:rPr>
          <w:b/>
          <w:bCs/>
          <w:lang w:val="en-GB"/>
        </w:rPr>
        <w:t>T</w:t>
      </w:r>
      <w:r w:rsidR="00D16F16" w:rsidRPr="00FE41BF">
        <w:rPr>
          <w:b/>
          <w:bCs/>
          <w:lang w:val="en-GB"/>
        </w:rPr>
        <w:t>ext 4</w:t>
      </w:r>
      <w:r w:rsidR="00356121" w:rsidRPr="00FE41BF">
        <w:rPr>
          <w:b/>
          <w:bCs/>
          <w:lang w:val="en-GB"/>
        </w:rPr>
        <w:t xml:space="preserve">: </w:t>
      </w:r>
      <w:r w:rsidR="007836DD" w:rsidRPr="00FE41BF">
        <w:rPr>
          <w:b/>
          <w:bCs/>
          <w:lang w:val="en-GB"/>
        </w:rPr>
        <w:t>Limits and interpretative value of plant-based seasonality reconstruction</w:t>
      </w:r>
      <w:r w:rsidR="004B7478" w:rsidRPr="00FE41BF">
        <w:rPr>
          <w:b/>
          <w:bCs/>
          <w:lang w:val="en-GB"/>
        </w:rPr>
        <w:t xml:space="preserve"> </w:t>
      </w:r>
      <w:r w:rsidR="00D16F16" w:rsidRPr="00FE41BF">
        <w:rPr>
          <w:b/>
          <w:bCs/>
          <w:lang w:val="en-GB"/>
        </w:rPr>
        <w:t xml:space="preserve"> </w:t>
      </w:r>
    </w:p>
    <w:p w14:paraId="3109C7D7" w14:textId="39DE89EA" w:rsidR="00D16F16" w:rsidRPr="00FE41BF" w:rsidRDefault="007836DD" w:rsidP="00D16F16">
      <w:pPr>
        <w:spacing w:line="360" w:lineRule="auto"/>
        <w:jc w:val="both"/>
        <w:rPr>
          <w:sz w:val="20"/>
          <w:szCs w:val="20"/>
          <w:lang w:val="en-GB"/>
        </w:rPr>
      </w:pPr>
      <w:r w:rsidRPr="00FE41BF">
        <w:rPr>
          <w:sz w:val="20"/>
          <w:szCs w:val="20"/>
          <w:lang w:val="en-GB"/>
        </w:rPr>
        <w:t>Seasonality reconstruction based on</w:t>
      </w:r>
      <w:r w:rsidR="00D16F16" w:rsidRPr="00FE41BF">
        <w:rPr>
          <w:sz w:val="20"/>
          <w:szCs w:val="20"/>
          <w:lang w:val="en-GB"/>
        </w:rPr>
        <w:t xml:space="preserve"> non-woody plant </w:t>
      </w:r>
      <w:r w:rsidR="00C72CEC" w:rsidRPr="00FE41BF">
        <w:rPr>
          <w:sz w:val="20"/>
          <w:szCs w:val="20"/>
          <w:lang w:val="en-GB"/>
        </w:rPr>
        <w:t>macroremains</w:t>
      </w:r>
      <w:r w:rsidRPr="00FE41BF">
        <w:rPr>
          <w:sz w:val="20"/>
          <w:szCs w:val="20"/>
          <w:lang w:val="en-GB"/>
        </w:rPr>
        <w:t xml:space="preserve"> provides evidence for periods of plant availability and potential gathering activities, but does not necessarily reflect the full duration of site occupation. This is particularly important at Shubayqa 1, where the absence of winter-ripening taxa cannot be taken as evidence for the absence of winter occupation.</w:t>
      </w:r>
      <w:r w:rsidR="00D16F16" w:rsidRPr="00FE41BF">
        <w:rPr>
          <w:sz w:val="20"/>
          <w:szCs w:val="20"/>
          <w:lang w:val="en-GB"/>
        </w:rPr>
        <w:t xml:space="preserve"> </w:t>
      </w:r>
      <w:r w:rsidRPr="00FE41BF">
        <w:rPr>
          <w:sz w:val="20"/>
          <w:szCs w:val="20"/>
          <w:lang w:val="en-GB"/>
        </w:rPr>
        <w:t>S</w:t>
      </w:r>
      <w:r w:rsidR="00D16F16" w:rsidRPr="00FE41BF">
        <w:rPr>
          <w:sz w:val="20"/>
          <w:szCs w:val="20"/>
          <w:lang w:val="en-GB"/>
        </w:rPr>
        <w:t>everal</w:t>
      </w:r>
      <w:r w:rsidRPr="00FE41BF">
        <w:rPr>
          <w:sz w:val="20"/>
          <w:szCs w:val="20"/>
          <w:lang w:val="en-GB"/>
        </w:rPr>
        <w:t xml:space="preserve"> factors</w:t>
      </w:r>
      <w:r w:rsidR="00D16F16" w:rsidRPr="00FE41BF">
        <w:rPr>
          <w:sz w:val="20"/>
          <w:szCs w:val="20"/>
          <w:lang w:val="en-GB"/>
        </w:rPr>
        <w:t xml:space="preserve"> limit</w:t>
      </w:r>
      <w:r w:rsidRPr="00FE41BF">
        <w:rPr>
          <w:sz w:val="20"/>
          <w:szCs w:val="20"/>
          <w:lang w:val="en-GB"/>
        </w:rPr>
        <w:t xml:space="preserve"> the use of plant remains as direct indicators of occupation seasonality</w:t>
      </w:r>
      <w:r w:rsidR="00D16F16" w:rsidRPr="00FE41BF">
        <w:rPr>
          <w:sz w:val="20"/>
          <w:szCs w:val="20"/>
          <w:lang w:val="en-GB"/>
        </w:rPr>
        <w:t xml:space="preserve">. Most plants do not produce seeds or identifiable features </w:t>
      </w:r>
      <w:r w:rsidR="00C72CEC" w:rsidRPr="00FE41BF">
        <w:rPr>
          <w:sz w:val="20"/>
          <w:szCs w:val="20"/>
          <w:lang w:val="en-GB"/>
        </w:rPr>
        <w:t xml:space="preserve">during </w:t>
      </w:r>
      <w:r w:rsidR="00D16F16" w:rsidRPr="00FE41BF">
        <w:rPr>
          <w:sz w:val="20"/>
          <w:szCs w:val="20"/>
          <w:lang w:val="en-GB"/>
        </w:rPr>
        <w:t>winter, making it difficult to determine occupation during that season. Additionally, some plants were likely harvested before their fruits ripened—such as green </w:t>
      </w:r>
      <w:r w:rsidR="00D16F16" w:rsidRPr="00FE41BF">
        <w:rPr>
          <w:i/>
          <w:iCs/>
          <w:sz w:val="20"/>
          <w:szCs w:val="20"/>
          <w:lang w:val="en-GB"/>
        </w:rPr>
        <w:t>Pistacia </w:t>
      </w:r>
      <w:r w:rsidR="00D16F16" w:rsidRPr="00FE41BF">
        <w:rPr>
          <w:sz w:val="20"/>
          <w:szCs w:val="20"/>
          <w:lang w:val="en-GB"/>
        </w:rPr>
        <w:t>fruits—or for other parts like leaves or sprouts, which are available months before maturity and cannot be preserved through charring. While these ‘missing foods’</w:t>
      </w:r>
      <w:r w:rsidRPr="00FE41BF">
        <w:rPr>
          <w:sz w:val="20"/>
          <w:szCs w:val="20"/>
          <w:lang w:val="en-GB"/>
        </w:rPr>
        <w:t xml:space="preserve"> should be considered,</w:t>
      </w:r>
      <w:r w:rsidR="00D16F16" w:rsidRPr="00FE41BF">
        <w:rPr>
          <w:sz w:val="20"/>
          <w:szCs w:val="20"/>
          <w:lang w:val="en-GB"/>
        </w:rPr>
        <w:t xml:space="preserve"> it</w:t>
      </w:r>
      <w:r w:rsidRPr="00FE41BF">
        <w:rPr>
          <w:sz w:val="20"/>
          <w:szCs w:val="20"/>
          <w:lang w:val="en-GB"/>
        </w:rPr>
        <w:t xml:space="preserve"> i</w:t>
      </w:r>
      <w:r w:rsidR="00D16F16" w:rsidRPr="00FE41BF">
        <w:rPr>
          <w:sz w:val="20"/>
          <w:szCs w:val="20"/>
          <w:lang w:val="en-GB"/>
        </w:rPr>
        <w:t>s also important to recognise that not all seeds in the assemblage were intentionally collected; some may have been charred accidentally, although this is probably rare (Hillman et al. 1989). Moreover, formation processes in different contexts often do not correspond to specific or limited periods</w:t>
      </w:r>
      <w:r w:rsidR="000C7FB4" w:rsidRPr="00FE41BF">
        <w:rPr>
          <w:sz w:val="20"/>
          <w:szCs w:val="20"/>
          <w:lang w:val="en-GB"/>
        </w:rPr>
        <w:t>, and</w:t>
      </w:r>
      <w:r w:rsidR="00D16F16" w:rsidRPr="00FE41BF">
        <w:rPr>
          <w:sz w:val="20"/>
          <w:szCs w:val="20"/>
          <w:lang w:val="en-GB"/>
        </w:rPr>
        <w:t xml:space="preserve"> </w:t>
      </w:r>
      <w:r w:rsidR="000C7FB4" w:rsidRPr="00FE41BF">
        <w:rPr>
          <w:sz w:val="20"/>
          <w:szCs w:val="20"/>
          <w:lang w:val="en-GB"/>
        </w:rPr>
        <w:t>p</w:t>
      </w:r>
      <w:r w:rsidR="00D16F16" w:rsidRPr="00FE41BF">
        <w:rPr>
          <w:sz w:val="20"/>
          <w:szCs w:val="20"/>
          <w:lang w:val="en-GB"/>
        </w:rPr>
        <w:t>lant remains from various seasons and years can be mixed within a single layer, representing decades or more of occupation (Edwards 2013). </w:t>
      </w:r>
      <w:r w:rsidR="000C7FB4" w:rsidRPr="00FE41BF">
        <w:rPr>
          <w:sz w:val="20"/>
          <w:szCs w:val="20"/>
          <w:lang w:val="en-GB"/>
        </w:rPr>
        <w:t>For these reasons, plant macroremains are best understood as providing a minimum indication of seasonal activities</w:t>
      </w:r>
      <w:r w:rsidR="00D16F16" w:rsidRPr="00FE41BF">
        <w:rPr>
          <w:sz w:val="20"/>
          <w:szCs w:val="20"/>
          <w:lang w:val="en-GB"/>
        </w:rPr>
        <w:t>. </w:t>
      </w:r>
      <w:r w:rsidR="000C7FB4" w:rsidRPr="00FE41BF">
        <w:rPr>
          <w:sz w:val="20"/>
          <w:szCs w:val="20"/>
          <w:lang w:val="en-GB"/>
        </w:rPr>
        <w:t xml:space="preserve">They can identify periods </w:t>
      </w:r>
      <w:r w:rsidR="00C47ABE" w:rsidRPr="00FE41BF">
        <w:rPr>
          <w:sz w:val="20"/>
          <w:szCs w:val="20"/>
          <w:lang w:val="en-GB"/>
        </w:rPr>
        <w:t>when</w:t>
      </w:r>
      <w:r w:rsidR="000C7FB4" w:rsidRPr="00FE41BF">
        <w:rPr>
          <w:sz w:val="20"/>
          <w:szCs w:val="20"/>
          <w:lang w:val="en-GB"/>
        </w:rPr>
        <w:t xml:space="preserve"> plant gathering or use certainly occurred, but they cannot rule out occupation or resource use in seasons that are archaeobotanically less </w:t>
      </w:r>
      <w:r w:rsidR="00C47ABE" w:rsidRPr="00FE41BF">
        <w:rPr>
          <w:sz w:val="20"/>
          <w:szCs w:val="20"/>
          <w:lang w:val="en-GB"/>
        </w:rPr>
        <w:t>evident</w:t>
      </w:r>
      <w:r w:rsidR="000C7FB4" w:rsidRPr="00FE41BF">
        <w:rPr>
          <w:sz w:val="20"/>
          <w:szCs w:val="20"/>
          <w:lang w:val="en-GB"/>
        </w:rPr>
        <w:t xml:space="preserve">. </w:t>
      </w:r>
      <w:r w:rsidR="00081166" w:rsidRPr="00FE41BF">
        <w:rPr>
          <w:sz w:val="20"/>
          <w:szCs w:val="20"/>
          <w:lang w:val="en-GB"/>
        </w:rPr>
        <w:t>F</w:t>
      </w:r>
      <w:r w:rsidR="000C7FB4" w:rsidRPr="00FE41BF">
        <w:rPr>
          <w:sz w:val="20"/>
          <w:szCs w:val="20"/>
          <w:lang w:val="en-GB"/>
        </w:rPr>
        <w:t xml:space="preserve">urther study of </w:t>
      </w:r>
      <w:r w:rsidR="00081166" w:rsidRPr="00FE41BF">
        <w:rPr>
          <w:sz w:val="20"/>
          <w:szCs w:val="20"/>
          <w:lang w:val="en-GB"/>
        </w:rPr>
        <w:t xml:space="preserve">underground storage organs </w:t>
      </w:r>
      <w:r w:rsidR="000C7FB4" w:rsidRPr="00FE41BF">
        <w:rPr>
          <w:sz w:val="20"/>
          <w:szCs w:val="20"/>
          <w:lang w:val="en-GB"/>
        </w:rPr>
        <w:t>will help refine</w:t>
      </w:r>
      <w:r w:rsidR="00081166" w:rsidRPr="00FE41BF">
        <w:rPr>
          <w:sz w:val="20"/>
          <w:szCs w:val="20"/>
          <w:lang w:val="en-GB"/>
        </w:rPr>
        <w:t xml:space="preserve"> interpretations of</w:t>
      </w:r>
      <w:r w:rsidR="000C7FB4" w:rsidRPr="00FE41BF">
        <w:rPr>
          <w:sz w:val="20"/>
          <w:szCs w:val="20"/>
          <w:lang w:val="en-GB"/>
        </w:rPr>
        <w:t xml:space="preserve"> seasonal activities and occupation</w:t>
      </w:r>
      <w:r w:rsidR="00081166" w:rsidRPr="00FE41BF">
        <w:rPr>
          <w:sz w:val="20"/>
          <w:szCs w:val="20"/>
          <w:lang w:val="en-GB"/>
        </w:rPr>
        <w:t xml:space="preserve"> patterns at Shubayqa 1.</w:t>
      </w:r>
    </w:p>
    <w:p w14:paraId="178A8A8B" w14:textId="77777777" w:rsidR="004B5634" w:rsidRPr="00C47ABE" w:rsidRDefault="004B5634" w:rsidP="00937B71">
      <w:pPr>
        <w:spacing w:line="360" w:lineRule="auto"/>
        <w:jc w:val="both"/>
        <w:rPr>
          <w:sz w:val="20"/>
          <w:szCs w:val="20"/>
          <w:lang w:val="en-GB"/>
        </w:rPr>
      </w:pPr>
    </w:p>
    <w:p w14:paraId="67E5E468" w14:textId="499409BF" w:rsidR="000344C8" w:rsidRPr="00C47ABE" w:rsidRDefault="00A300CF" w:rsidP="00937B71">
      <w:pPr>
        <w:spacing w:line="360" w:lineRule="auto"/>
        <w:jc w:val="both"/>
        <w:rPr>
          <w:b/>
          <w:bCs/>
          <w:lang w:val="en-GB"/>
        </w:rPr>
      </w:pPr>
      <w:r w:rsidRPr="00C47ABE">
        <w:rPr>
          <w:b/>
          <w:bCs/>
          <w:lang w:val="en-GB"/>
        </w:rPr>
        <w:t>References</w:t>
      </w:r>
    </w:p>
    <w:p w14:paraId="6C955D4A" w14:textId="77777777" w:rsidR="00D16F16" w:rsidRPr="00C47ABE" w:rsidRDefault="00D16F16" w:rsidP="00D16F16">
      <w:pPr>
        <w:pStyle w:val="StandardWeb"/>
        <w:shd w:val="clear" w:color="auto" w:fill="FFFFFF"/>
        <w:spacing w:before="0" w:beforeAutospacing="0" w:after="173" w:afterAutospacing="0" w:line="360" w:lineRule="auto"/>
        <w:ind w:left="709" w:hanging="709"/>
        <w:rPr>
          <w:color w:val="000000"/>
          <w:sz w:val="20"/>
          <w:szCs w:val="20"/>
          <w:lang w:val="en-GB"/>
        </w:rPr>
      </w:pPr>
      <w:r w:rsidRPr="00C47ABE">
        <w:rPr>
          <w:color w:val="000000"/>
          <w:sz w:val="20"/>
          <w:szCs w:val="20"/>
          <w:lang w:val="en-GB"/>
        </w:rPr>
        <w:t>Edwards PC (2013) Wadi Hammeh 27: postscript and prospects. In: Edwards PC (ed) Wadi Hammeh 27, an Early Natufian Settlement at Pella in Jordan, Koninklijke Brill NV, Leiden</w:t>
      </w:r>
    </w:p>
    <w:p w14:paraId="1161B625" w14:textId="7DBA6C43" w:rsidR="00D16F16" w:rsidRPr="00C47ABE" w:rsidRDefault="00D16F16" w:rsidP="00D16F16">
      <w:pPr>
        <w:pStyle w:val="StandardWeb"/>
        <w:shd w:val="clear" w:color="auto" w:fill="FFFFFF"/>
        <w:spacing w:before="0" w:beforeAutospacing="0" w:after="173" w:afterAutospacing="0" w:line="360" w:lineRule="auto"/>
        <w:ind w:left="709" w:hanging="709"/>
        <w:rPr>
          <w:color w:val="000000"/>
          <w:sz w:val="20"/>
          <w:szCs w:val="20"/>
          <w:lang w:val="en-GB"/>
        </w:rPr>
      </w:pPr>
      <w:r w:rsidRPr="00C47ABE">
        <w:rPr>
          <w:color w:val="000000"/>
          <w:sz w:val="20"/>
          <w:szCs w:val="20"/>
          <w:lang w:val="en-GB"/>
        </w:rPr>
        <w:t>Hillman GC, Colledge SM, Harris DR (1989) Plant-food economy during the Epipalaeolithic period at Abu Hureyra, Syria: dietary diversity, seasonality, and modes of exploitation. In: Harris DR, Hillman GC (eds) Foraging and Farming: The Evolution of Plant Exploitation. Unwin Hyman, One World Archaeology 13, London, pp 240-268</w:t>
      </w:r>
    </w:p>
    <w:p w14:paraId="6E386732" w14:textId="77777777" w:rsidR="00A15984" w:rsidRPr="00C47ABE" w:rsidRDefault="00A15984" w:rsidP="00937B71">
      <w:pPr>
        <w:pStyle w:val="StandardWeb"/>
        <w:shd w:val="clear" w:color="auto" w:fill="FFFFFF"/>
        <w:spacing w:before="0" w:beforeAutospacing="0" w:after="173" w:afterAutospacing="0" w:line="360" w:lineRule="auto"/>
        <w:ind w:left="709" w:hanging="709"/>
        <w:jc w:val="both"/>
        <w:rPr>
          <w:color w:val="000000"/>
          <w:sz w:val="20"/>
          <w:szCs w:val="20"/>
          <w:lang w:val="en-GB"/>
        </w:rPr>
      </w:pPr>
      <w:r w:rsidRPr="00C47ABE">
        <w:rPr>
          <w:color w:val="000000"/>
          <w:sz w:val="20"/>
          <w:szCs w:val="20"/>
          <w:lang w:val="en-GB"/>
        </w:rPr>
        <w:t>Hather JG (2000) Archaeological Parenchyma. Archetype Publications, London</w:t>
      </w:r>
    </w:p>
    <w:p w14:paraId="2B04C55A" w14:textId="187205C2" w:rsidR="00BD2F02" w:rsidRPr="00C47ABE" w:rsidRDefault="00D56A4D" w:rsidP="00C02C28">
      <w:pPr>
        <w:pStyle w:val="StandardWeb"/>
        <w:shd w:val="clear" w:color="auto" w:fill="FFFFFF"/>
        <w:spacing w:before="0" w:beforeAutospacing="0" w:after="173" w:afterAutospacing="0" w:line="360" w:lineRule="auto"/>
        <w:ind w:left="709" w:hanging="709"/>
        <w:jc w:val="both"/>
        <w:rPr>
          <w:color w:val="000000"/>
          <w:sz w:val="20"/>
          <w:szCs w:val="20"/>
          <w:lang w:val="en-GB"/>
        </w:rPr>
      </w:pPr>
      <w:r w:rsidRPr="00C47ABE">
        <w:rPr>
          <w:color w:val="000000"/>
          <w:sz w:val="20"/>
          <w:szCs w:val="20"/>
          <w:lang w:val="en-GB"/>
        </w:rPr>
        <w:t xml:space="preserve">Weide A, Riehl S, Zeidi M, Conard NJ (2018) A systematic review of wild grass exploitation in relation to emerging cereal cultivation throughout the Epipalaeolithic and aceramic Neolithic of the Fertile Crescent. PLoS ONE 13:e0189811. </w:t>
      </w:r>
      <w:hyperlink r:id="rId14" w:history="1">
        <w:r w:rsidRPr="00C47ABE">
          <w:rPr>
            <w:rStyle w:val="Hyperlink"/>
            <w:sz w:val="20"/>
            <w:szCs w:val="20"/>
            <w:lang w:val="en-GB"/>
          </w:rPr>
          <w:t>https://doi.org/10.1371/ journal.pone.0189811</w:t>
        </w:r>
      </w:hyperlink>
    </w:p>
    <w:sectPr w:rsidR="00BD2F02" w:rsidRPr="00C47ABE" w:rsidSect="000644C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8FC"/>
    <w:rsid w:val="00002636"/>
    <w:rsid w:val="00011CDE"/>
    <w:rsid w:val="00016264"/>
    <w:rsid w:val="000309FF"/>
    <w:rsid w:val="000344C8"/>
    <w:rsid w:val="00041A33"/>
    <w:rsid w:val="00055050"/>
    <w:rsid w:val="000644CF"/>
    <w:rsid w:val="0006471C"/>
    <w:rsid w:val="00064D23"/>
    <w:rsid w:val="0006613E"/>
    <w:rsid w:val="000705F5"/>
    <w:rsid w:val="00071F51"/>
    <w:rsid w:val="00081166"/>
    <w:rsid w:val="000C7E13"/>
    <w:rsid w:val="000C7FB4"/>
    <w:rsid w:val="000F251E"/>
    <w:rsid w:val="00103CC9"/>
    <w:rsid w:val="00105AF0"/>
    <w:rsid w:val="00144A3E"/>
    <w:rsid w:val="00147C93"/>
    <w:rsid w:val="00150DF4"/>
    <w:rsid w:val="0018162D"/>
    <w:rsid w:val="0018655B"/>
    <w:rsid w:val="00191BCF"/>
    <w:rsid w:val="001A61A3"/>
    <w:rsid w:val="001A6D11"/>
    <w:rsid w:val="001B1C03"/>
    <w:rsid w:val="001B78FC"/>
    <w:rsid w:val="001D5A5D"/>
    <w:rsid w:val="001F6AC4"/>
    <w:rsid w:val="00212BF5"/>
    <w:rsid w:val="002207D6"/>
    <w:rsid w:val="00235313"/>
    <w:rsid w:val="00241CB1"/>
    <w:rsid w:val="00260522"/>
    <w:rsid w:val="0027441C"/>
    <w:rsid w:val="002B63E2"/>
    <w:rsid w:val="002B7248"/>
    <w:rsid w:val="002C1034"/>
    <w:rsid w:val="002C5E5B"/>
    <w:rsid w:val="002E5EDC"/>
    <w:rsid w:val="002F07A4"/>
    <w:rsid w:val="003006D9"/>
    <w:rsid w:val="00316E88"/>
    <w:rsid w:val="00356121"/>
    <w:rsid w:val="003602AC"/>
    <w:rsid w:val="003617A1"/>
    <w:rsid w:val="00381C25"/>
    <w:rsid w:val="00392964"/>
    <w:rsid w:val="003A4630"/>
    <w:rsid w:val="003B3BB2"/>
    <w:rsid w:val="003C6B5A"/>
    <w:rsid w:val="003F4E80"/>
    <w:rsid w:val="003F664F"/>
    <w:rsid w:val="00407410"/>
    <w:rsid w:val="004142DC"/>
    <w:rsid w:val="00426F93"/>
    <w:rsid w:val="004361B3"/>
    <w:rsid w:val="00445936"/>
    <w:rsid w:val="0047640F"/>
    <w:rsid w:val="00477C2A"/>
    <w:rsid w:val="004B5634"/>
    <w:rsid w:val="004B7478"/>
    <w:rsid w:val="004B7F6D"/>
    <w:rsid w:val="004D46EA"/>
    <w:rsid w:val="004E0378"/>
    <w:rsid w:val="005624A5"/>
    <w:rsid w:val="005A3B90"/>
    <w:rsid w:val="005A53D4"/>
    <w:rsid w:val="005B70D2"/>
    <w:rsid w:val="005C2A50"/>
    <w:rsid w:val="005F0B37"/>
    <w:rsid w:val="0060630C"/>
    <w:rsid w:val="006169E0"/>
    <w:rsid w:val="006338B3"/>
    <w:rsid w:val="0064037F"/>
    <w:rsid w:val="0065289F"/>
    <w:rsid w:val="0066119E"/>
    <w:rsid w:val="00695252"/>
    <w:rsid w:val="006D25AC"/>
    <w:rsid w:val="006D4CC8"/>
    <w:rsid w:val="006D568E"/>
    <w:rsid w:val="006E6B13"/>
    <w:rsid w:val="00701518"/>
    <w:rsid w:val="007264AB"/>
    <w:rsid w:val="00744299"/>
    <w:rsid w:val="0074443A"/>
    <w:rsid w:val="0074778D"/>
    <w:rsid w:val="007836DD"/>
    <w:rsid w:val="00784FDB"/>
    <w:rsid w:val="00786E65"/>
    <w:rsid w:val="00796D5E"/>
    <w:rsid w:val="007B6BA9"/>
    <w:rsid w:val="00816346"/>
    <w:rsid w:val="008303A8"/>
    <w:rsid w:val="00836477"/>
    <w:rsid w:val="0084712B"/>
    <w:rsid w:val="0085624C"/>
    <w:rsid w:val="008743AB"/>
    <w:rsid w:val="008963CC"/>
    <w:rsid w:val="008A7FD5"/>
    <w:rsid w:val="008C20AA"/>
    <w:rsid w:val="008D026A"/>
    <w:rsid w:val="008F2260"/>
    <w:rsid w:val="00912F70"/>
    <w:rsid w:val="0092698E"/>
    <w:rsid w:val="00937B71"/>
    <w:rsid w:val="00946C89"/>
    <w:rsid w:val="00960003"/>
    <w:rsid w:val="009736DA"/>
    <w:rsid w:val="00974E64"/>
    <w:rsid w:val="00976A99"/>
    <w:rsid w:val="00983F53"/>
    <w:rsid w:val="00995530"/>
    <w:rsid w:val="009A4D9D"/>
    <w:rsid w:val="009B7F4C"/>
    <w:rsid w:val="009D44FC"/>
    <w:rsid w:val="009D7932"/>
    <w:rsid w:val="00A00753"/>
    <w:rsid w:val="00A05BF5"/>
    <w:rsid w:val="00A15984"/>
    <w:rsid w:val="00A258EA"/>
    <w:rsid w:val="00A2769A"/>
    <w:rsid w:val="00A300CF"/>
    <w:rsid w:val="00A363B3"/>
    <w:rsid w:val="00A66B19"/>
    <w:rsid w:val="00A72502"/>
    <w:rsid w:val="00A81BB3"/>
    <w:rsid w:val="00AB032E"/>
    <w:rsid w:val="00AB5012"/>
    <w:rsid w:val="00AC09BC"/>
    <w:rsid w:val="00AC3408"/>
    <w:rsid w:val="00AD79F8"/>
    <w:rsid w:val="00AE1E64"/>
    <w:rsid w:val="00AE60C0"/>
    <w:rsid w:val="00AF7817"/>
    <w:rsid w:val="00B01147"/>
    <w:rsid w:val="00B41608"/>
    <w:rsid w:val="00B46BA1"/>
    <w:rsid w:val="00B53DA9"/>
    <w:rsid w:val="00B71941"/>
    <w:rsid w:val="00B72437"/>
    <w:rsid w:val="00B81F47"/>
    <w:rsid w:val="00B86BD3"/>
    <w:rsid w:val="00BB0A24"/>
    <w:rsid w:val="00BB66D8"/>
    <w:rsid w:val="00BC20D4"/>
    <w:rsid w:val="00BD2F02"/>
    <w:rsid w:val="00BF6C8A"/>
    <w:rsid w:val="00C02C28"/>
    <w:rsid w:val="00C05B83"/>
    <w:rsid w:val="00C36408"/>
    <w:rsid w:val="00C47ABE"/>
    <w:rsid w:val="00C47F5A"/>
    <w:rsid w:val="00C72CEC"/>
    <w:rsid w:val="00C76541"/>
    <w:rsid w:val="00C77F6B"/>
    <w:rsid w:val="00C93CAF"/>
    <w:rsid w:val="00CB38A3"/>
    <w:rsid w:val="00CC4BFF"/>
    <w:rsid w:val="00CC500F"/>
    <w:rsid w:val="00CD5E40"/>
    <w:rsid w:val="00CD6DAA"/>
    <w:rsid w:val="00CE0A5A"/>
    <w:rsid w:val="00CE4E04"/>
    <w:rsid w:val="00CF2CBE"/>
    <w:rsid w:val="00D038EB"/>
    <w:rsid w:val="00D16E3F"/>
    <w:rsid w:val="00D16F16"/>
    <w:rsid w:val="00D216F7"/>
    <w:rsid w:val="00D261D1"/>
    <w:rsid w:val="00D30067"/>
    <w:rsid w:val="00D30F9C"/>
    <w:rsid w:val="00D321A6"/>
    <w:rsid w:val="00D56A4D"/>
    <w:rsid w:val="00D70313"/>
    <w:rsid w:val="00D77995"/>
    <w:rsid w:val="00DB18EE"/>
    <w:rsid w:val="00DD05A8"/>
    <w:rsid w:val="00DE0B7A"/>
    <w:rsid w:val="00DE5F49"/>
    <w:rsid w:val="00DE6651"/>
    <w:rsid w:val="00DF55BE"/>
    <w:rsid w:val="00DF7155"/>
    <w:rsid w:val="00E00DEE"/>
    <w:rsid w:val="00E169BE"/>
    <w:rsid w:val="00E255AF"/>
    <w:rsid w:val="00E47F5C"/>
    <w:rsid w:val="00E57E47"/>
    <w:rsid w:val="00E85720"/>
    <w:rsid w:val="00E93CFF"/>
    <w:rsid w:val="00E959DB"/>
    <w:rsid w:val="00EA3508"/>
    <w:rsid w:val="00EA46E4"/>
    <w:rsid w:val="00EA72F5"/>
    <w:rsid w:val="00EE43FC"/>
    <w:rsid w:val="00EF49BE"/>
    <w:rsid w:val="00F03227"/>
    <w:rsid w:val="00F113CB"/>
    <w:rsid w:val="00F160AE"/>
    <w:rsid w:val="00F25DCF"/>
    <w:rsid w:val="00F32CD1"/>
    <w:rsid w:val="00F37FC7"/>
    <w:rsid w:val="00F467A5"/>
    <w:rsid w:val="00F627CA"/>
    <w:rsid w:val="00F762F9"/>
    <w:rsid w:val="00F97603"/>
    <w:rsid w:val="00FA5A15"/>
    <w:rsid w:val="00FB65B1"/>
    <w:rsid w:val="00FD5D2F"/>
    <w:rsid w:val="00FE41BF"/>
    <w:rsid w:val="00FE65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ED262"/>
  <w15:chartTrackingRefBased/>
  <w15:docId w15:val="{137250EE-60F8-3645-8695-7B0E00536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B78FC"/>
    <w:rPr>
      <w:rFonts w:ascii="Times New Roman" w:eastAsia="Times New Roman" w:hAnsi="Times New Roman" w:cs="Times New Roman"/>
      <w:kern w:val="0"/>
      <w:lang w:eastAsia="it-IT"/>
      <w14:ligatures w14:val="none"/>
    </w:rPr>
  </w:style>
  <w:style w:type="paragraph" w:styleId="berschrift1">
    <w:name w:val="heading 1"/>
    <w:basedOn w:val="Standard"/>
    <w:next w:val="Standard"/>
    <w:link w:val="berschrift1Zchn"/>
    <w:uiPriority w:val="9"/>
    <w:qFormat/>
    <w:rsid w:val="001B78FC"/>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1B78FC"/>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1B78FC"/>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1B78FC"/>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berschrift5">
    <w:name w:val="heading 5"/>
    <w:basedOn w:val="Standard"/>
    <w:next w:val="Standard"/>
    <w:link w:val="berschrift5Zchn"/>
    <w:uiPriority w:val="9"/>
    <w:semiHidden/>
    <w:unhideWhenUsed/>
    <w:qFormat/>
    <w:rsid w:val="001B78FC"/>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berschrift6">
    <w:name w:val="heading 6"/>
    <w:basedOn w:val="Standard"/>
    <w:next w:val="Standard"/>
    <w:link w:val="berschrift6Zchn"/>
    <w:uiPriority w:val="9"/>
    <w:semiHidden/>
    <w:unhideWhenUsed/>
    <w:qFormat/>
    <w:rsid w:val="001B78FC"/>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berschrift7">
    <w:name w:val="heading 7"/>
    <w:basedOn w:val="Standard"/>
    <w:next w:val="Standard"/>
    <w:link w:val="berschrift7Zchn"/>
    <w:uiPriority w:val="9"/>
    <w:semiHidden/>
    <w:unhideWhenUsed/>
    <w:qFormat/>
    <w:rsid w:val="001B78FC"/>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berschrift8">
    <w:name w:val="heading 8"/>
    <w:basedOn w:val="Standard"/>
    <w:next w:val="Standard"/>
    <w:link w:val="berschrift8Zchn"/>
    <w:uiPriority w:val="9"/>
    <w:semiHidden/>
    <w:unhideWhenUsed/>
    <w:qFormat/>
    <w:rsid w:val="001B78FC"/>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berschrift9">
    <w:name w:val="heading 9"/>
    <w:basedOn w:val="Standard"/>
    <w:next w:val="Standard"/>
    <w:link w:val="berschrift9Zchn"/>
    <w:uiPriority w:val="9"/>
    <w:semiHidden/>
    <w:unhideWhenUsed/>
    <w:qFormat/>
    <w:rsid w:val="001B78FC"/>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B78F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B78F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B78F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B78F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B78F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B78F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B78F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B78F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B78FC"/>
    <w:rPr>
      <w:rFonts w:eastAsiaTheme="majorEastAsia" w:cstheme="majorBidi"/>
      <w:color w:val="272727" w:themeColor="text1" w:themeTint="D8"/>
    </w:rPr>
  </w:style>
  <w:style w:type="paragraph" w:styleId="Titel">
    <w:name w:val="Title"/>
    <w:basedOn w:val="Standard"/>
    <w:next w:val="Standard"/>
    <w:link w:val="TitelZchn"/>
    <w:uiPriority w:val="10"/>
    <w:qFormat/>
    <w:rsid w:val="001B78F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1B78F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B78FC"/>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1B78F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B78FC"/>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ZitatZchn">
    <w:name w:val="Zitat Zchn"/>
    <w:basedOn w:val="Absatz-Standardschriftart"/>
    <w:link w:val="Zitat"/>
    <w:uiPriority w:val="29"/>
    <w:rsid w:val="001B78FC"/>
    <w:rPr>
      <w:i/>
      <w:iCs/>
      <w:color w:val="404040" w:themeColor="text1" w:themeTint="BF"/>
    </w:rPr>
  </w:style>
  <w:style w:type="paragraph" w:styleId="Listenabsatz">
    <w:name w:val="List Paragraph"/>
    <w:basedOn w:val="Standard"/>
    <w:uiPriority w:val="34"/>
    <w:qFormat/>
    <w:rsid w:val="001B78FC"/>
    <w:pPr>
      <w:ind w:left="720"/>
      <w:contextualSpacing/>
    </w:pPr>
    <w:rPr>
      <w:rFonts w:asciiTheme="minorHAnsi" w:eastAsiaTheme="minorHAnsi" w:hAnsiTheme="minorHAnsi" w:cstheme="minorBidi"/>
      <w:kern w:val="2"/>
      <w:lang w:eastAsia="en-US"/>
      <w14:ligatures w14:val="standardContextual"/>
    </w:rPr>
  </w:style>
  <w:style w:type="character" w:styleId="IntensiveHervorhebung">
    <w:name w:val="Intense Emphasis"/>
    <w:basedOn w:val="Absatz-Standardschriftart"/>
    <w:uiPriority w:val="21"/>
    <w:qFormat/>
    <w:rsid w:val="001B78FC"/>
    <w:rPr>
      <w:i/>
      <w:iCs/>
      <w:color w:val="0F4761" w:themeColor="accent1" w:themeShade="BF"/>
    </w:rPr>
  </w:style>
  <w:style w:type="paragraph" w:styleId="IntensivesZitat">
    <w:name w:val="Intense Quote"/>
    <w:basedOn w:val="Standard"/>
    <w:next w:val="Standard"/>
    <w:link w:val="IntensivesZitatZchn"/>
    <w:uiPriority w:val="30"/>
    <w:qFormat/>
    <w:rsid w:val="001B78FC"/>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ivesZitatZchn">
    <w:name w:val="Intensives Zitat Zchn"/>
    <w:basedOn w:val="Absatz-Standardschriftart"/>
    <w:link w:val="IntensivesZitat"/>
    <w:uiPriority w:val="30"/>
    <w:rsid w:val="001B78FC"/>
    <w:rPr>
      <w:i/>
      <w:iCs/>
      <w:color w:val="0F4761" w:themeColor="accent1" w:themeShade="BF"/>
    </w:rPr>
  </w:style>
  <w:style w:type="character" w:styleId="IntensiverVerweis">
    <w:name w:val="Intense Reference"/>
    <w:basedOn w:val="Absatz-Standardschriftart"/>
    <w:uiPriority w:val="32"/>
    <w:qFormat/>
    <w:rsid w:val="001B78FC"/>
    <w:rPr>
      <w:b/>
      <w:bCs/>
      <w:smallCaps/>
      <w:color w:val="0F4761" w:themeColor="accent1" w:themeShade="BF"/>
      <w:spacing w:val="5"/>
    </w:rPr>
  </w:style>
  <w:style w:type="character" w:styleId="Kommentarzeichen">
    <w:name w:val="annotation reference"/>
    <w:basedOn w:val="Absatz-Standardschriftart"/>
    <w:uiPriority w:val="99"/>
    <w:semiHidden/>
    <w:unhideWhenUsed/>
    <w:rsid w:val="001B78FC"/>
    <w:rPr>
      <w:sz w:val="16"/>
      <w:szCs w:val="16"/>
    </w:rPr>
  </w:style>
  <w:style w:type="character" w:styleId="Hervorhebung">
    <w:name w:val="Emphasis"/>
    <w:basedOn w:val="Absatz-Standardschriftart"/>
    <w:uiPriority w:val="20"/>
    <w:qFormat/>
    <w:rsid w:val="001B78FC"/>
    <w:rPr>
      <w:i/>
      <w:iCs/>
    </w:rPr>
  </w:style>
  <w:style w:type="paragraph" w:customStyle="1" w:styleId="whitespace-normal">
    <w:name w:val="whitespace-normal"/>
    <w:basedOn w:val="Standard"/>
    <w:rsid w:val="001B78FC"/>
    <w:pPr>
      <w:spacing w:before="100" w:beforeAutospacing="1" w:after="100" w:afterAutospacing="1"/>
    </w:pPr>
  </w:style>
  <w:style w:type="character" w:styleId="Hyperlink">
    <w:name w:val="Hyperlink"/>
    <w:basedOn w:val="Absatz-Standardschriftart"/>
    <w:uiPriority w:val="99"/>
    <w:unhideWhenUsed/>
    <w:rsid w:val="001B78FC"/>
    <w:rPr>
      <w:color w:val="467886" w:themeColor="hyperlink"/>
      <w:u w:val="single"/>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semiHidden/>
    <w:rPr>
      <w:rFonts w:ascii="Times New Roman" w:eastAsia="Times New Roman" w:hAnsi="Times New Roman" w:cs="Times New Roman"/>
      <w:kern w:val="0"/>
      <w:sz w:val="20"/>
      <w:szCs w:val="20"/>
      <w:lang w:eastAsia="it-IT"/>
      <w14:ligatures w14:val="none"/>
    </w:rPr>
  </w:style>
  <w:style w:type="paragraph" w:styleId="StandardWeb">
    <w:name w:val="Normal (Web)"/>
    <w:basedOn w:val="Standard"/>
    <w:uiPriority w:val="99"/>
    <w:unhideWhenUsed/>
    <w:rsid w:val="00A15984"/>
    <w:pPr>
      <w:spacing w:before="100" w:beforeAutospacing="1" w:after="100" w:afterAutospacing="1"/>
    </w:pPr>
  </w:style>
  <w:style w:type="paragraph" w:styleId="berarbeitung">
    <w:name w:val="Revision"/>
    <w:hidden/>
    <w:uiPriority w:val="99"/>
    <w:semiHidden/>
    <w:rsid w:val="00356121"/>
    <w:rPr>
      <w:rFonts w:ascii="Times New Roman" w:eastAsia="Times New Roman" w:hAnsi="Times New Roman" w:cs="Times New Roman"/>
      <w:kern w:val="0"/>
      <w:lang w:eastAsia="it-IT"/>
      <w14:ligatures w14:val="none"/>
    </w:rPr>
  </w:style>
  <w:style w:type="paragraph" w:styleId="Kommentarthema">
    <w:name w:val="annotation subject"/>
    <w:basedOn w:val="Kommentartext"/>
    <w:next w:val="Kommentartext"/>
    <w:link w:val="KommentarthemaZchn"/>
    <w:uiPriority w:val="99"/>
    <w:semiHidden/>
    <w:unhideWhenUsed/>
    <w:rsid w:val="00356121"/>
    <w:rPr>
      <w:b/>
      <w:bCs/>
    </w:rPr>
  </w:style>
  <w:style w:type="character" w:customStyle="1" w:styleId="KommentarthemaZchn">
    <w:name w:val="Kommentarthema Zchn"/>
    <w:basedOn w:val="KommentartextZchn"/>
    <w:link w:val="Kommentarthema"/>
    <w:uiPriority w:val="99"/>
    <w:semiHidden/>
    <w:rsid w:val="00356121"/>
    <w:rPr>
      <w:rFonts w:ascii="Times New Roman" w:eastAsia="Times New Roman" w:hAnsi="Times New Roman" w:cs="Times New Roman"/>
      <w:b/>
      <w:bCs/>
      <w:kern w:val="0"/>
      <w:sz w:val="20"/>
      <w:szCs w:val="20"/>
      <w:lang w:eastAsia="it-IT"/>
      <w14:ligatures w14:val="none"/>
    </w:rPr>
  </w:style>
  <w:style w:type="character" w:styleId="Zeilennummer">
    <w:name w:val="line number"/>
    <w:basedOn w:val="Absatz-Standardschriftart"/>
    <w:uiPriority w:val="99"/>
    <w:semiHidden/>
    <w:unhideWhenUsed/>
    <w:rsid w:val="00F113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9902-8852" TargetMode="External"/><Relationship Id="rId13"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hyperlink" Target="https://orcid.org/0000-0002-2459-2464" TargetMode="External"/><Relationship Id="rId12" Type="http://schemas.openxmlformats.org/officeDocument/2006/relationships/image" Target="media/image2.em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orcid.org/0009-0008-5106-4588" TargetMode="External"/><Relationship Id="rId11" Type="http://schemas.openxmlformats.org/officeDocument/2006/relationships/image" Target="media/image1.emf"/><Relationship Id="rId5" Type="http://schemas.openxmlformats.org/officeDocument/2006/relationships/hyperlink" Target="mailto:barbara.proserpio@ehu.eus" TargetMode="External"/><Relationship Id="rId15" Type="http://schemas.openxmlformats.org/officeDocument/2006/relationships/fontTable" Target="fontTable.xml"/><Relationship Id="rId10" Type="http://schemas.openxmlformats.org/officeDocument/2006/relationships/hyperlink" Target="https://orcid.org/0000-0002-5091-6426" TargetMode="External"/><Relationship Id="rId4" Type="http://schemas.openxmlformats.org/officeDocument/2006/relationships/hyperlink" Target="https://orcid.org/0009-0001-1588-0624" TargetMode="External"/><Relationship Id="rId9" Type="http://schemas.openxmlformats.org/officeDocument/2006/relationships/hyperlink" Target="https://orcid.org/0000-0002-4859-080X" TargetMode="External"/><Relationship Id="rId14" Type="http://schemas.openxmlformats.org/officeDocument/2006/relationships/hyperlink" Target="https://doi.org/10.1371/%20journal.pone.0189811"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1494</Words>
  <Characters>9414</Characters>
  <Application>Microsoft Office Word</Application>
  <DocSecurity>0</DocSecurity>
  <Lines>78</Lines>
  <Paragraphs>21</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10887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PROSERPIO</dc:creator>
  <cp:keywords/>
  <dc:description/>
  <cp:lastModifiedBy>Felix Bittmann</cp:lastModifiedBy>
  <cp:revision>5</cp:revision>
  <dcterms:created xsi:type="dcterms:W3CDTF">2026-06-23T13:08:00Z</dcterms:created>
  <dcterms:modified xsi:type="dcterms:W3CDTF">2026-07-02T14:45:00Z</dcterms:modified>
</cp:coreProperties>
</file>