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8314" w14:textId="77777777" w:rsidR="005D4BB8" w:rsidRPr="005D4BB8" w:rsidRDefault="005D4BB8" w:rsidP="005D4BB8">
      <w:pPr>
        <w:spacing w:before="120" w:line="480" w:lineRule="auto"/>
        <w:rPr>
          <w:rFonts w:ascii="Arial" w:hAnsi="Arial" w:cs="Arial"/>
          <w:sz w:val="36"/>
          <w:szCs w:val="36"/>
        </w:rPr>
      </w:pPr>
      <w:r w:rsidRPr="005D4BB8">
        <w:rPr>
          <w:rFonts w:ascii="Arial" w:hAnsi="Arial" w:cs="Arial"/>
          <w:b/>
          <w:bCs/>
          <w:sz w:val="36"/>
          <w:szCs w:val="36"/>
        </w:rPr>
        <w:t xml:space="preserve">Best practices for analyzing imputed genotypes from </w:t>
      </w:r>
      <w:proofErr w:type="gramStart"/>
      <w:r w:rsidRPr="005D4BB8">
        <w:rPr>
          <w:rFonts w:ascii="Arial" w:hAnsi="Arial" w:cs="Arial"/>
          <w:b/>
          <w:bCs/>
          <w:sz w:val="36"/>
          <w:szCs w:val="36"/>
        </w:rPr>
        <w:t>low-pass</w:t>
      </w:r>
      <w:proofErr w:type="gramEnd"/>
      <w:r w:rsidRPr="005D4BB8">
        <w:rPr>
          <w:rFonts w:ascii="Arial" w:hAnsi="Arial" w:cs="Arial"/>
          <w:b/>
          <w:bCs/>
          <w:sz w:val="36"/>
          <w:szCs w:val="36"/>
        </w:rPr>
        <w:t xml:space="preserve"> sequencing in dogs</w:t>
      </w:r>
    </w:p>
    <w:p w14:paraId="74768A71" w14:textId="77777777" w:rsidR="005D4BB8" w:rsidRPr="005D4BB8" w:rsidRDefault="005D4BB8" w:rsidP="005D4BB8">
      <w:pPr>
        <w:rPr>
          <w:rFonts w:ascii="Arial" w:hAnsi="Arial" w:cs="Arial"/>
          <w:sz w:val="36"/>
          <w:szCs w:val="36"/>
        </w:rPr>
      </w:pPr>
    </w:p>
    <w:p w14:paraId="4FB86FB4" w14:textId="77777777" w:rsidR="005D4BB8" w:rsidRPr="005D4BB8" w:rsidRDefault="005D4BB8" w:rsidP="005D4BB8">
      <w:pPr>
        <w:rPr>
          <w:rFonts w:ascii="Arial" w:hAnsi="Arial" w:cs="Arial"/>
          <w:sz w:val="36"/>
          <w:szCs w:val="36"/>
        </w:rPr>
      </w:pPr>
    </w:p>
    <w:p w14:paraId="76AF9670" w14:textId="77777777" w:rsidR="005D4BB8" w:rsidRPr="005D4BB8" w:rsidRDefault="005D4BB8" w:rsidP="005D4BB8">
      <w:pPr>
        <w:rPr>
          <w:rFonts w:ascii="Arial" w:hAnsi="Arial" w:cs="Arial"/>
          <w:sz w:val="36"/>
          <w:szCs w:val="36"/>
        </w:rPr>
      </w:pPr>
    </w:p>
    <w:p w14:paraId="368DF363" w14:textId="46FCC7E5" w:rsidR="005D4BB8" w:rsidRPr="005D4BB8" w:rsidRDefault="005D4BB8" w:rsidP="005D4BB8">
      <w:pPr>
        <w:rPr>
          <w:rFonts w:ascii="Arial" w:hAnsi="Arial" w:cs="Arial"/>
          <w:sz w:val="36"/>
          <w:szCs w:val="36"/>
        </w:rPr>
      </w:pPr>
      <w:r w:rsidRPr="005D4BB8">
        <w:rPr>
          <w:rFonts w:ascii="Arial" w:hAnsi="Arial" w:cs="Arial"/>
          <w:sz w:val="36"/>
          <w:szCs w:val="36"/>
        </w:rPr>
        <w:t xml:space="preserve">Reuben M. Buckley, Alex C. Harris, </w:t>
      </w:r>
      <w:r w:rsidR="002720ED" w:rsidRPr="002720ED">
        <w:rPr>
          <w:rFonts w:ascii="Arial" w:hAnsi="Arial" w:cs="Arial"/>
          <w:sz w:val="36"/>
          <w:szCs w:val="36"/>
        </w:rPr>
        <w:t>Guo-Dong Wang</w:t>
      </w:r>
      <w:r w:rsidR="002720ED">
        <w:rPr>
          <w:rFonts w:ascii="Arial" w:hAnsi="Arial" w:cs="Arial"/>
          <w:sz w:val="36"/>
          <w:szCs w:val="36"/>
        </w:rPr>
        <w:t>,</w:t>
      </w:r>
      <w:r w:rsidR="002720ED" w:rsidRPr="002720ED">
        <w:rPr>
          <w:rFonts w:ascii="Arial" w:hAnsi="Arial" w:cs="Arial"/>
          <w:sz w:val="36"/>
          <w:szCs w:val="36"/>
        </w:rPr>
        <w:t xml:space="preserve"> </w:t>
      </w:r>
      <w:r w:rsidRPr="005D4BB8">
        <w:rPr>
          <w:rFonts w:ascii="Arial" w:hAnsi="Arial" w:cs="Arial"/>
          <w:sz w:val="36"/>
          <w:szCs w:val="36"/>
        </w:rPr>
        <w:t xml:space="preserve">D. Thad Whitaker, </w:t>
      </w:r>
      <w:proofErr w:type="spellStart"/>
      <w:r w:rsidR="00D252CB" w:rsidRPr="00D252CB">
        <w:rPr>
          <w:rFonts w:ascii="Arial" w:hAnsi="Arial" w:cs="Arial"/>
          <w:sz w:val="36"/>
          <w:szCs w:val="36"/>
        </w:rPr>
        <w:t>Ya</w:t>
      </w:r>
      <w:proofErr w:type="spellEnd"/>
      <w:r w:rsidR="00D252CB" w:rsidRPr="00D252CB">
        <w:rPr>
          <w:rFonts w:ascii="Arial" w:hAnsi="Arial" w:cs="Arial"/>
          <w:sz w:val="36"/>
          <w:szCs w:val="36"/>
        </w:rPr>
        <w:t>-Ping Zhang</w:t>
      </w:r>
      <w:r w:rsidR="00D252CB">
        <w:rPr>
          <w:rFonts w:ascii="Arial" w:hAnsi="Arial" w:cs="Arial"/>
          <w:sz w:val="36"/>
          <w:szCs w:val="36"/>
        </w:rPr>
        <w:t>,</w:t>
      </w:r>
      <w:r w:rsidR="00D252CB" w:rsidRPr="00D252CB">
        <w:rPr>
          <w:rFonts w:ascii="Arial" w:hAnsi="Arial" w:cs="Arial"/>
          <w:sz w:val="36"/>
          <w:szCs w:val="36"/>
        </w:rPr>
        <w:t xml:space="preserve"> </w:t>
      </w:r>
      <w:r w:rsidRPr="005D4BB8">
        <w:rPr>
          <w:rFonts w:ascii="Arial" w:hAnsi="Arial" w:cs="Arial"/>
          <w:sz w:val="36"/>
          <w:szCs w:val="36"/>
        </w:rPr>
        <w:t>and Elaine A. Ostrander</w:t>
      </w:r>
    </w:p>
    <w:p w14:paraId="7DF55B2E" w14:textId="77777777" w:rsidR="005D4BB8" w:rsidRPr="005D4BB8" w:rsidRDefault="005D4BB8">
      <w:pPr>
        <w:rPr>
          <w:rFonts w:ascii="Arial" w:hAnsi="Arial" w:cs="Arial"/>
          <w:sz w:val="36"/>
          <w:szCs w:val="36"/>
        </w:rPr>
      </w:pPr>
    </w:p>
    <w:p w14:paraId="514C49D4" w14:textId="77777777" w:rsidR="005D4BB8" w:rsidRPr="005D4BB8" w:rsidRDefault="005D4BB8">
      <w:pPr>
        <w:rPr>
          <w:rFonts w:ascii="Arial" w:hAnsi="Arial" w:cs="Arial"/>
          <w:sz w:val="36"/>
          <w:szCs w:val="36"/>
        </w:rPr>
      </w:pPr>
    </w:p>
    <w:p w14:paraId="368A86C7" w14:textId="77777777" w:rsidR="005D4BB8" w:rsidRPr="005D4BB8" w:rsidRDefault="005D4BB8">
      <w:pPr>
        <w:rPr>
          <w:rFonts w:ascii="Arial" w:hAnsi="Arial" w:cs="Arial"/>
          <w:sz w:val="36"/>
          <w:szCs w:val="36"/>
        </w:rPr>
      </w:pPr>
    </w:p>
    <w:p w14:paraId="4A1DB96D" w14:textId="35F6F8C8" w:rsidR="006C4718" w:rsidRPr="005D4BB8" w:rsidRDefault="00A149BF">
      <w:pPr>
        <w:rPr>
          <w:rFonts w:ascii="Arial" w:hAnsi="Arial" w:cs="Arial"/>
          <w:sz w:val="36"/>
          <w:szCs w:val="36"/>
        </w:rPr>
      </w:pPr>
      <w:r w:rsidRPr="005D4BB8">
        <w:rPr>
          <w:rFonts w:ascii="Arial" w:hAnsi="Arial" w:cs="Arial"/>
          <w:sz w:val="36"/>
          <w:szCs w:val="36"/>
        </w:rPr>
        <w:t>Supplementa</w:t>
      </w:r>
      <w:r w:rsidR="004E4DA7">
        <w:rPr>
          <w:rFonts w:ascii="Arial" w:hAnsi="Arial" w:cs="Arial"/>
          <w:sz w:val="36"/>
          <w:szCs w:val="36"/>
        </w:rPr>
        <w:t>ry</w:t>
      </w:r>
      <w:r w:rsidRPr="005D4BB8">
        <w:rPr>
          <w:rFonts w:ascii="Arial" w:hAnsi="Arial" w:cs="Arial"/>
          <w:sz w:val="36"/>
          <w:szCs w:val="36"/>
        </w:rPr>
        <w:t xml:space="preserve"> </w:t>
      </w:r>
      <w:r w:rsidR="00321FF4">
        <w:rPr>
          <w:rFonts w:ascii="Arial" w:hAnsi="Arial" w:cs="Arial"/>
          <w:sz w:val="36"/>
          <w:szCs w:val="36"/>
        </w:rPr>
        <w:t>F</w:t>
      </w:r>
      <w:r w:rsidRPr="005D4BB8">
        <w:rPr>
          <w:rFonts w:ascii="Arial" w:hAnsi="Arial" w:cs="Arial"/>
          <w:sz w:val="36"/>
          <w:szCs w:val="36"/>
        </w:rPr>
        <w:t>igures</w:t>
      </w:r>
    </w:p>
    <w:p w14:paraId="0444F8E1" w14:textId="7FCBE418" w:rsidR="005D4BB8" w:rsidRPr="002A7BEE" w:rsidRDefault="005D4BB8">
      <w:pPr>
        <w:rPr>
          <w:rFonts w:ascii="Arial" w:hAnsi="Arial" w:cs="Arial"/>
          <w:sz w:val="36"/>
          <w:szCs w:val="36"/>
        </w:rPr>
      </w:pPr>
      <w:r>
        <w:rPr>
          <w:rFonts w:ascii="Arial" w:hAnsi="Arial" w:cs="Arial"/>
          <w:sz w:val="22"/>
          <w:szCs w:val="22"/>
        </w:rPr>
        <w:br w:type="page"/>
      </w:r>
    </w:p>
    <w:p w14:paraId="6146234A" w14:textId="5DDE91C3" w:rsidR="005D4BB8" w:rsidRDefault="001A012E">
      <w:pPr>
        <w:rPr>
          <w:rFonts w:ascii="Arial" w:hAnsi="Arial" w:cs="Arial"/>
          <w:sz w:val="22"/>
          <w:szCs w:val="22"/>
        </w:rPr>
      </w:pPr>
      <w:r>
        <w:rPr>
          <w:rFonts w:ascii="Arial" w:hAnsi="Arial" w:cs="Arial"/>
          <w:b/>
          <w:bCs/>
          <w:noProof/>
          <w:sz w:val="22"/>
          <w:szCs w:val="22"/>
        </w:rPr>
        <w:lastRenderedPageBreak/>
        <w:drawing>
          <wp:anchor distT="0" distB="0" distL="114300" distR="114300" simplePos="0" relativeHeight="251660288" behindDoc="0" locked="0" layoutInCell="1" allowOverlap="1" wp14:anchorId="068F8DBC" wp14:editId="368F5463">
            <wp:simplePos x="0" y="0"/>
            <wp:positionH relativeFrom="column">
              <wp:posOffset>0</wp:posOffset>
            </wp:positionH>
            <wp:positionV relativeFrom="paragraph">
              <wp:posOffset>0</wp:posOffset>
            </wp:positionV>
            <wp:extent cx="4114800" cy="82296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4114800" cy="8229600"/>
                    </a:xfrm>
                    <a:prstGeom prst="rect">
                      <a:avLst/>
                    </a:prstGeom>
                  </pic:spPr>
                </pic:pic>
              </a:graphicData>
            </a:graphic>
            <wp14:sizeRelH relativeFrom="page">
              <wp14:pctWidth>0</wp14:pctWidth>
            </wp14:sizeRelH>
            <wp14:sizeRelV relativeFrom="page">
              <wp14:pctHeight>0</wp14:pctHeight>
            </wp14:sizeRelV>
          </wp:anchor>
        </w:drawing>
      </w:r>
      <w:r w:rsidR="003C0CFC" w:rsidRPr="003C0CFC">
        <w:rPr>
          <w:rFonts w:ascii="Arial" w:hAnsi="Arial" w:cs="Arial"/>
          <w:b/>
          <w:bCs/>
          <w:noProof/>
          <w:sz w:val="22"/>
          <w:szCs w:val="22"/>
        </w:rPr>
        <w:t>Supplementary Fig. S</w:t>
      </w:r>
      <w:r w:rsidR="002A7BEE">
        <w:rPr>
          <w:rFonts w:ascii="Arial" w:hAnsi="Arial" w:cs="Arial"/>
          <w:b/>
          <w:bCs/>
          <w:noProof/>
          <w:sz w:val="22"/>
          <w:szCs w:val="22"/>
        </w:rPr>
        <w:t>1</w:t>
      </w:r>
      <w:r w:rsidR="003C0CFC" w:rsidRPr="003C0CFC">
        <w:rPr>
          <w:rFonts w:ascii="Arial" w:hAnsi="Arial" w:cs="Arial"/>
          <w:b/>
          <w:bCs/>
          <w:noProof/>
          <w:sz w:val="22"/>
          <w:szCs w:val="22"/>
        </w:rPr>
        <w:t xml:space="preserve">: Receiver operator characteristic (ROC) curves at different GP thresholds. </w:t>
      </w:r>
      <w:r w:rsidR="003C0CFC" w:rsidRPr="003C0CFC">
        <w:rPr>
          <w:rFonts w:ascii="Arial" w:hAnsi="Arial" w:cs="Arial"/>
          <w:noProof/>
          <w:sz w:val="22"/>
          <w:szCs w:val="22"/>
        </w:rPr>
        <w:t>Genotypes below GP thresholds shown in the lower right corner of each plot are designated as low confidence. Numbers above each point represent low confidence rate thresholds for removing sites. Sites with a total number of low confidence genotypes greater than or equal to the threshold are filtered out. Grey dashed lines represent ROC curves for other GP confidence threshold values.</w:t>
      </w:r>
      <w:r w:rsidR="005D4BB8">
        <w:rPr>
          <w:rFonts w:ascii="Arial" w:hAnsi="Arial" w:cs="Arial"/>
          <w:sz w:val="22"/>
          <w:szCs w:val="22"/>
        </w:rPr>
        <w:br w:type="page"/>
      </w:r>
    </w:p>
    <w:p w14:paraId="7EA163E1" w14:textId="6BB76A14" w:rsidR="005D4BB8" w:rsidRDefault="000563E9">
      <w:pPr>
        <w:rPr>
          <w:rFonts w:ascii="Arial" w:hAnsi="Arial" w:cs="Arial"/>
          <w:sz w:val="22"/>
          <w:szCs w:val="22"/>
        </w:rPr>
      </w:pPr>
      <w:r w:rsidRPr="002A023C">
        <w:rPr>
          <w:rFonts w:ascii="Arial" w:hAnsi="Arial" w:cs="Arial"/>
          <w:b/>
          <w:bCs/>
          <w:noProof/>
          <w:sz w:val="22"/>
          <w:szCs w:val="22"/>
        </w:rPr>
        <w:lastRenderedPageBreak/>
        <w:drawing>
          <wp:anchor distT="0" distB="0" distL="114300" distR="114300" simplePos="0" relativeHeight="251661312" behindDoc="0" locked="0" layoutInCell="1" allowOverlap="1" wp14:anchorId="7049D811" wp14:editId="3AF34E90">
            <wp:simplePos x="0" y="0"/>
            <wp:positionH relativeFrom="column">
              <wp:posOffset>0</wp:posOffset>
            </wp:positionH>
            <wp:positionV relativeFrom="paragraph">
              <wp:posOffset>0</wp:posOffset>
            </wp:positionV>
            <wp:extent cx="4114800" cy="8229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4114800" cy="8229600"/>
                    </a:xfrm>
                    <a:prstGeom prst="rect">
                      <a:avLst/>
                    </a:prstGeom>
                  </pic:spPr>
                </pic:pic>
              </a:graphicData>
            </a:graphic>
            <wp14:sizeRelH relativeFrom="page">
              <wp14:pctWidth>0</wp14:pctWidth>
            </wp14:sizeRelH>
            <wp14:sizeRelV relativeFrom="page">
              <wp14:pctHeight>0</wp14:pctHeight>
            </wp14:sizeRelV>
          </wp:anchor>
        </w:drawing>
      </w:r>
      <w:r w:rsidR="002A023C" w:rsidRPr="002A023C">
        <w:rPr>
          <w:rFonts w:ascii="Arial" w:hAnsi="Arial" w:cs="Arial"/>
          <w:b/>
          <w:bCs/>
          <w:sz w:val="22"/>
          <w:szCs w:val="22"/>
        </w:rPr>
        <w:t>Supplementary Fig. S</w:t>
      </w:r>
      <w:r w:rsidR="002A7BEE">
        <w:rPr>
          <w:rFonts w:ascii="Arial" w:hAnsi="Arial" w:cs="Arial"/>
          <w:b/>
          <w:bCs/>
          <w:sz w:val="22"/>
          <w:szCs w:val="22"/>
        </w:rPr>
        <w:t>2</w:t>
      </w:r>
      <w:r w:rsidR="002A023C" w:rsidRPr="002A023C">
        <w:rPr>
          <w:rFonts w:ascii="Arial" w:hAnsi="Arial" w:cs="Arial"/>
          <w:b/>
          <w:bCs/>
          <w:sz w:val="22"/>
          <w:szCs w:val="22"/>
        </w:rPr>
        <w:t xml:space="preserve">: The proportion of variants remaining after filtering at different GP thresholds and the corresponding FDR. </w:t>
      </w:r>
      <w:r w:rsidR="002A023C" w:rsidRPr="002A023C">
        <w:rPr>
          <w:rFonts w:ascii="Arial" w:hAnsi="Arial" w:cs="Arial"/>
          <w:sz w:val="22"/>
          <w:szCs w:val="22"/>
        </w:rPr>
        <w:t xml:space="preserve">Again, as in Supplemental Figure S2, genotypes below GP thresholds shown in the lower right corner of each plot are designated as low confidence. The numbers above each point represent low confidence rate threshold values and grey dashed lines represent curves for other GP confidence thresholds.  </w:t>
      </w:r>
    </w:p>
    <w:p w14:paraId="170F1D9A" w14:textId="39EF561E" w:rsidR="001C0F66" w:rsidRDefault="001C0F66">
      <w:pPr>
        <w:rPr>
          <w:rFonts w:ascii="Arial" w:hAnsi="Arial" w:cs="Arial"/>
          <w:sz w:val="22"/>
          <w:szCs w:val="22"/>
        </w:rPr>
      </w:pPr>
    </w:p>
    <w:p w14:paraId="2DC78714" w14:textId="5A95DD5C" w:rsidR="001C0F66" w:rsidRDefault="001C0F66">
      <w:pPr>
        <w:rPr>
          <w:rFonts w:ascii="Arial" w:hAnsi="Arial" w:cs="Arial"/>
          <w:sz w:val="22"/>
          <w:szCs w:val="22"/>
        </w:rPr>
      </w:pPr>
    </w:p>
    <w:p w14:paraId="4259FD1F" w14:textId="52BC95E1" w:rsidR="001C0F66" w:rsidRDefault="001C0F66">
      <w:pPr>
        <w:rPr>
          <w:rFonts w:ascii="Arial" w:hAnsi="Arial" w:cs="Arial"/>
          <w:sz w:val="22"/>
          <w:szCs w:val="22"/>
        </w:rPr>
      </w:pPr>
      <w:r>
        <w:rPr>
          <w:rFonts w:ascii="Arial" w:hAnsi="Arial" w:cs="Arial"/>
          <w:sz w:val="22"/>
          <w:szCs w:val="22"/>
        </w:rPr>
        <w:br w:type="page"/>
      </w:r>
    </w:p>
    <w:p w14:paraId="27CEAE88" w14:textId="4B01C2E2" w:rsidR="001C0F66" w:rsidRDefault="0076048E">
      <w:pPr>
        <w:rPr>
          <w:rFonts w:ascii="Arial" w:hAnsi="Arial" w:cs="Arial"/>
          <w:sz w:val="22"/>
          <w:szCs w:val="22"/>
        </w:rPr>
      </w:pPr>
      <w:r>
        <w:rPr>
          <w:rFonts w:ascii="Arial" w:hAnsi="Arial" w:cs="Arial"/>
          <w:noProof/>
          <w:sz w:val="22"/>
          <w:szCs w:val="22"/>
        </w:rPr>
        <w:lastRenderedPageBreak/>
        <w:drawing>
          <wp:inline distT="0" distB="0" distL="0" distR="0" wp14:anchorId="1D9E232F" wp14:editId="7D8833A2">
            <wp:extent cx="3606800"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3606800" cy="4572000"/>
                    </a:xfrm>
                    <a:prstGeom prst="rect">
                      <a:avLst/>
                    </a:prstGeom>
                  </pic:spPr>
                </pic:pic>
              </a:graphicData>
            </a:graphic>
          </wp:inline>
        </w:drawing>
      </w:r>
    </w:p>
    <w:p w14:paraId="307AE83B" w14:textId="60FB968D" w:rsidR="001C0F66" w:rsidRPr="0022292F" w:rsidRDefault="0022292F">
      <w:pPr>
        <w:rPr>
          <w:rFonts w:ascii="Arial" w:hAnsi="Arial" w:cs="Arial"/>
          <w:sz w:val="22"/>
          <w:szCs w:val="22"/>
        </w:rPr>
      </w:pPr>
      <w:r w:rsidRPr="0022292F">
        <w:rPr>
          <w:rFonts w:ascii="Arial" w:hAnsi="Arial" w:cs="Arial"/>
          <w:b/>
          <w:bCs/>
          <w:sz w:val="22"/>
          <w:szCs w:val="22"/>
        </w:rPr>
        <w:t>Supplementary Fig. S</w:t>
      </w:r>
      <w:r w:rsidR="002A7BEE">
        <w:rPr>
          <w:rFonts w:ascii="Arial" w:hAnsi="Arial" w:cs="Arial"/>
          <w:b/>
          <w:bCs/>
          <w:sz w:val="22"/>
          <w:szCs w:val="22"/>
        </w:rPr>
        <w:t>3</w:t>
      </w:r>
      <w:r w:rsidRPr="0022292F">
        <w:rPr>
          <w:rFonts w:ascii="Arial" w:hAnsi="Arial" w:cs="Arial"/>
          <w:b/>
          <w:bCs/>
          <w:sz w:val="22"/>
          <w:szCs w:val="22"/>
        </w:rPr>
        <w:t>: Imputation accuracy for each individual allele according to various MAF spectra</w:t>
      </w:r>
      <w:r w:rsidRPr="0022292F">
        <w:rPr>
          <w:rFonts w:ascii="Arial" w:hAnsi="Arial" w:cs="Arial"/>
          <w:sz w:val="22"/>
          <w:szCs w:val="22"/>
        </w:rPr>
        <w:t>. Imputation accuracy is expressed as the proportion of high coverage WGS genotypes concordant with low-pass imputed genotypes.</w:t>
      </w:r>
    </w:p>
    <w:p w14:paraId="0B581A09" w14:textId="6043B1B7" w:rsidR="001C0F66" w:rsidRDefault="001C0F66">
      <w:pPr>
        <w:rPr>
          <w:rFonts w:ascii="Arial" w:hAnsi="Arial" w:cs="Arial"/>
          <w:sz w:val="22"/>
          <w:szCs w:val="22"/>
        </w:rPr>
      </w:pPr>
      <w:r>
        <w:rPr>
          <w:rFonts w:ascii="Arial" w:hAnsi="Arial" w:cs="Arial"/>
          <w:noProof/>
          <w:sz w:val="22"/>
          <w:szCs w:val="22"/>
        </w:rPr>
        <w:drawing>
          <wp:inline distT="0" distB="0" distL="0" distR="0" wp14:anchorId="43D9170B" wp14:editId="0969365B">
            <wp:extent cx="6172931" cy="2145671"/>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6220375" cy="2162162"/>
                    </a:xfrm>
                    <a:prstGeom prst="rect">
                      <a:avLst/>
                    </a:prstGeom>
                  </pic:spPr>
                </pic:pic>
              </a:graphicData>
            </a:graphic>
          </wp:inline>
        </w:drawing>
      </w:r>
    </w:p>
    <w:p w14:paraId="40B494F0" w14:textId="500F9F8D" w:rsidR="00A37FFA" w:rsidRDefault="00495145" w:rsidP="00495145">
      <w:pPr>
        <w:rPr>
          <w:rFonts w:ascii="Arial" w:hAnsi="Arial" w:cs="Arial"/>
          <w:b/>
          <w:bCs/>
          <w:sz w:val="22"/>
          <w:szCs w:val="22"/>
        </w:rPr>
      </w:pPr>
      <w:r w:rsidRPr="00495145">
        <w:rPr>
          <w:rFonts w:ascii="Arial" w:hAnsi="Arial" w:cs="Arial"/>
          <w:b/>
          <w:bCs/>
          <w:sz w:val="22"/>
          <w:szCs w:val="22"/>
        </w:rPr>
        <w:t>Supplementary Fig. S</w:t>
      </w:r>
      <w:r w:rsidR="002A7BEE">
        <w:rPr>
          <w:rFonts w:ascii="Arial" w:hAnsi="Arial" w:cs="Arial"/>
          <w:b/>
          <w:bCs/>
          <w:sz w:val="22"/>
          <w:szCs w:val="22"/>
        </w:rPr>
        <w:t>4</w:t>
      </w:r>
      <w:r w:rsidRPr="00495145">
        <w:rPr>
          <w:rFonts w:ascii="Arial" w:hAnsi="Arial" w:cs="Arial"/>
          <w:b/>
          <w:bCs/>
          <w:sz w:val="22"/>
          <w:szCs w:val="22"/>
        </w:rPr>
        <w:t>: Comparison of various imputation accuracy measurements across chromosome 38. Accuracy measurements including non-reference concordance, mean r2, and IQS. Whole genome measurements are included for IQS to show chromosome 38 is representative of the whole genome.</w:t>
      </w:r>
    </w:p>
    <w:p w14:paraId="200596FE" w14:textId="1E8E75BF" w:rsidR="001C0F66" w:rsidRDefault="00025A00" w:rsidP="00495145">
      <w:pPr>
        <w:rPr>
          <w:rFonts w:ascii="Arial" w:hAnsi="Arial" w:cs="Arial"/>
          <w:sz w:val="22"/>
          <w:szCs w:val="22"/>
        </w:rPr>
      </w:pPr>
      <w:r>
        <w:rPr>
          <w:rFonts w:ascii="Arial" w:hAnsi="Arial" w:cs="Arial"/>
          <w:noProof/>
          <w:sz w:val="22"/>
          <w:szCs w:val="22"/>
        </w:rPr>
        <w:lastRenderedPageBreak/>
        <w:drawing>
          <wp:inline distT="0" distB="0" distL="0" distR="0" wp14:anchorId="70A2C314" wp14:editId="67A3AE63">
            <wp:extent cx="4205366" cy="479573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4225267" cy="4818431"/>
                    </a:xfrm>
                    <a:prstGeom prst="rect">
                      <a:avLst/>
                    </a:prstGeom>
                  </pic:spPr>
                </pic:pic>
              </a:graphicData>
            </a:graphic>
          </wp:inline>
        </w:drawing>
      </w:r>
    </w:p>
    <w:p w14:paraId="463DBAD1" w14:textId="4EAC73D4" w:rsidR="00A37FFA" w:rsidRPr="00246413" w:rsidRDefault="00A37FFA" w:rsidP="00495145">
      <w:pPr>
        <w:rPr>
          <w:rFonts w:ascii="Arial" w:hAnsi="Arial" w:cs="Arial"/>
          <w:sz w:val="22"/>
          <w:szCs w:val="22"/>
        </w:rPr>
      </w:pPr>
      <w:r w:rsidRPr="00A74E14">
        <w:rPr>
          <w:rFonts w:ascii="Arial" w:hAnsi="Arial" w:cs="Arial"/>
          <w:b/>
          <w:bCs/>
          <w:sz w:val="22"/>
          <w:szCs w:val="22"/>
        </w:rPr>
        <w:t>Supplementary Fig</w:t>
      </w:r>
      <w:r w:rsidR="00A74E14" w:rsidRPr="00A74E14">
        <w:rPr>
          <w:rFonts w:ascii="Arial" w:hAnsi="Arial" w:cs="Arial"/>
          <w:b/>
          <w:bCs/>
          <w:sz w:val="22"/>
          <w:szCs w:val="22"/>
        </w:rPr>
        <w:t>. S</w:t>
      </w:r>
      <w:r w:rsidR="002A7BEE">
        <w:rPr>
          <w:rFonts w:ascii="Arial" w:hAnsi="Arial" w:cs="Arial"/>
          <w:b/>
          <w:bCs/>
          <w:sz w:val="22"/>
          <w:szCs w:val="22"/>
        </w:rPr>
        <w:t>5</w:t>
      </w:r>
      <w:r w:rsidR="00A74E14" w:rsidRPr="00A74E14">
        <w:rPr>
          <w:rFonts w:ascii="Arial" w:hAnsi="Arial" w:cs="Arial"/>
          <w:b/>
          <w:bCs/>
          <w:sz w:val="22"/>
          <w:szCs w:val="22"/>
        </w:rPr>
        <w:t>:</w:t>
      </w:r>
      <w:r w:rsidR="00A74E14">
        <w:rPr>
          <w:rFonts w:ascii="Arial" w:hAnsi="Arial" w:cs="Arial"/>
          <w:b/>
          <w:bCs/>
          <w:sz w:val="22"/>
          <w:szCs w:val="22"/>
        </w:rPr>
        <w:t xml:space="preserve"> </w:t>
      </w:r>
      <w:r w:rsidR="00246413">
        <w:rPr>
          <w:rFonts w:ascii="Arial" w:hAnsi="Arial" w:cs="Arial"/>
          <w:b/>
          <w:bCs/>
          <w:sz w:val="22"/>
          <w:szCs w:val="22"/>
        </w:rPr>
        <w:t xml:space="preserve">Simulating imputation errors. </w:t>
      </w:r>
      <w:r w:rsidR="00246413">
        <w:rPr>
          <w:rFonts w:ascii="Arial" w:hAnsi="Arial" w:cs="Arial"/>
          <w:sz w:val="22"/>
          <w:szCs w:val="22"/>
        </w:rPr>
        <w:t>1</w:t>
      </w:r>
      <w:r w:rsidR="00E30F7B">
        <w:rPr>
          <w:rFonts w:ascii="Arial" w:hAnsi="Arial" w:cs="Arial"/>
          <w:sz w:val="22"/>
          <w:szCs w:val="22"/>
        </w:rPr>
        <w:t>)</w:t>
      </w:r>
      <w:r w:rsidR="00246413">
        <w:rPr>
          <w:rFonts w:ascii="Arial" w:hAnsi="Arial" w:cs="Arial"/>
          <w:sz w:val="22"/>
          <w:szCs w:val="22"/>
        </w:rPr>
        <w:t xml:space="preserve"> Definitions of terms used throughout figure. </w:t>
      </w:r>
      <w:r w:rsidR="00923ADC">
        <w:rPr>
          <w:rFonts w:ascii="Arial" w:hAnsi="Arial" w:cs="Arial"/>
          <w:sz w:val="22"/>
          <w:szCs w:val="22"/>
        </w:rPr>
        <w:t xml:space="preserve">Numbers 0 to 2 represent </w:t>
      </w:r>
      <w:r w:rsidR="007B21F6">
        <w:rPr>
          <w:rFonts w:ascii="Arial" w:hAnsi="Arial" w:cs="Arial"/>
          <w:sz w:val="22"/>
          <w:szCs w:val="22"/>
        </w:rPr>
        <w:t xml:space="preserve">the number of individuals for each </w:t>
      </w:r>
      <w:r w:rsidR="00923ADC">
        <w:rPr>
          <w:rFonts w:ascii="Arial" w:hAnsi="Arial" w:cs="Arial"/>
          <w:sz w:val="22"/>
          <w:szCs w:val="22"/>
        </w:rPr>
        <w:t xml:space="preserve">genotype </w:t>
      </w:r>
      <w:r w:rsidR="007B21F6">
        <w:rPr>
          <w:rFonts w:ascii="Arial" w:hAnsi="Arial" w:cs="Arial"/>
          <w:sz w:val="22"/>
          <w:szCs w:val="22"/>
        </w:rPr>
        <w:t>in</w:t>
      </w:r>
      <w:r w:rsidR="00923ADC">
        <w:rPr>
          <w:rFonts w:ascii="Arial" w:hAnsi="Arial" w:cs="Arial"/>
          <w:sz w:val="22"/>
          <w:szCs w:val="22"/>
        </w:rPr>
        <w:t xml:space="preserve"> the </w:t>
      </w:r>
      <w:r w:rsidR="00146D8E">
        <w:rPr>
          <w:rFonts w:ascii="Arial" w:hAnsi="Arial" w:cs="Arial"/>
          <w:sz w:val="22"/>
          <w:szCs w:val="22"/>
        </w:rPr>
        <w:t>1</w:t>
      </w:r>
      <w:r w:rsidR="00923ADC">
        <w:rPr>
          <w:rFonts w:ascii="Arial" w:hAnsi="Arial" w:cs="Arial"/>
          <w:sz w:val="22"/>
          <w:szCs w:val="22"/>
        </w:rPr>
        <w:t>x</w:t>
      </w:r>
      <w:r w:rsidR="00146D8E">
        <w:rPr>
          <w:rFonts w:ascii="Arial" w:hAnsi="Arial" w:cs="Arial"/>
          <w:sz w:val="22"/>
          <w:szCs w:val="22"/>
        </w:rPr>
        <w:t>3</w:t>
      </w:r>
      <w:r w:rsidR="00923ADC">
        <w:rPr>
          <w:rFonts w:ascii="Arial" w:hAnsi="Arial" w:cs="Arial"/>
          <w:sz w:val="22"/>
          <w:szCs w:val="22"/>
        </w:rPr>
        <w:t xml:space="preserve"> true genotype matrix G </w:t>
      </w:r>
      <w:r w:rsidR="00146D8E">
        <w:rPr>
          <w:rFonts w:ascii="Arial" w:hAnsi="Arial" w:cs="Arial"/>
          <w:sz w:val="22"/>
          <w:szCs w:val="22"/>
        </w:rPr>
        <w:t xml:space="preserve">and the </w:t>
      </w:r>
      <w:r w:rsidR="00A85F84">
        <w:rPr>
          <w:rFonts w:ascii="Arial" w:hAnsi="Arial" w:cs="Arial"/>
          <w:sz w:val="22"/>
          <w:szCs w:val="22"/>
        </w:rPr>
        <w:t xml:space="preserve">1x3 Imputation matrix. N represents the total number of individuals </w:t>
      </w:r>
      <w:r w:rsidR="00B95BE2">
        <w:rPr>
          <w:rFonts w:ascii="Arial" w:hAnsi="Arial" w:cs="Arial"/>
          <w:sz w:val="22"/>
          <w:szCs w:val="22"/>
        </w:rPr>
        <w:t>in the analysis. This number is equal for true genotypes and imputed genotypes. 2</w:t>
      </w:r>
      <w:r w:rsidR="00E30F7B">
        <w:rPr>
          <w:rFonts w:ascii="Arial" w:hAnsi="Arial" w:cs="Arial"/>
          <w:sz w:val="22"/>
          <w:szCs w:val="22"/>
        </w:rPr>
        <w:t xml:space="preserve">) The 3x3 matrix which shows the </w:t>
      </w:r>
      <w:r w:rsidR="00F83E67">
        <w:rPr>
          <w:rFonts w:ascii="Arial" w:hAnsi="Arial" w:cs="Arial"/>
          <w:sz w:val="22"/>
          <w:szCs w:val="22"/>
        </w:rPr>
        <w:t xml:space="preserve">imputation probabilities for </w:t>
      </w:r>
      <w:r w:rsidR="00FF00FD">
        <w:rPr>
          <w:rFonts w:ascii="Arial" w:hAnsi="Arial" w:cs="Arial"/>
          <w:sz w:val="22"/>
          <w:szCs w:val="22"/>
        </w:rPr>
        <w:t xml:space="preserve">each of the True genotypes. 3) The equation to calculate the number of individuals for each genotype in the imputation matrix. </w:t>
      </w:r>
      <w:r w:rsidR="00A660DA">
        <w:rPr>
          <w:rFonts w:ascii="Arial" w:hAnsi="Arial" w:cs="Arial"/>
          <w:sz w:val="22"/>
          <w:szCs w:val="22"/>
        </w:rPr>
        <w:t xml:space="preserve">For clarity, the calculations for each genotype have been expanded. 4) Schematic illustrating </w:t>
      </w:r>
      <w:r w:rsidR="00543E04">
        <w:rPr>
          <w:rFonts w:ascii="Arial" w:hAnsi="Arial" w:cs="Arial"/>
          <w:sz w:val="22"/>
          <w:szCs w:val="22"/>
        </w:rPr>
        <w:t>the changing imputation probabilities for P matrices calculated across different MAF ranges.</w:t>
      </w:r>
    </w:p>
    <w:sectPr w:rsidR="00A37FFA" w:rsidRPr="00246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BF"/>
    <w:rsid w:val="00025A00"/>
    <w:rsid w:val="000563E9"/>
    <w:rsid w:val="000A0D31"/>
    <w:rsid w:val="000F0CA4"/>
    <w:rsid w:val="00146D8E"/>
    <w:rsid w:val="0016458D"/>
    <w:rsid w:val="001A012E"/>
    <w:rsid w:val="001C0F66"/>
    <w:rsid w:val="0022292F"/>
    <w:rsid w:val="00246413"/>
    <w:rsid w:val="00261EC6"/>
    <w:rsid w:val="002720ED"/>
    <w:rsid w:val="002A023C"/>
    <w:rsid w:val="002A7BEE"/>
    <w:rsid w:val="002E4553"/>
    <w:rsid w:val="00321FF4"/>
    <w:rsid w:val="003C0CFC"/>
    <w:rsid w:val="003C246E"/>
    <w:rsid w:val="0043659C"/>
    <w:rsid w:val="0047117E"/>
    <w:rsid w:val="00495145"/>
    <w:rsid w:val="004E4DA7"/>
    <w:rsid w:val="004E7212"/>
    <w:rsid w:val="00531704"/>
    <w:rsid w:val="00543E04"/>
    <w:rsid w:val="00556CD0"/>
    <w:rsid w:val="00582A16"/>
    <w:rsid w:val="005D4BB8"/>
    <w:rsid w:val="006E611A"/>
    <w:rsid w:val="0076048E"/>
    <w:rsid w:val="007B21F6"/>
    <w:rsid w:val="00803BB3"/>
    <w:rsid w:val="0088309D"/>
    <w:rsid w:val="00923ADC"/>
    <w:rsid w:val="0093766C"/>
    <w:rsid w:val="00983DB9"/>
    <w:rsid w:val="009F3CFB"/>
    <w:rsid w:val="009F6E21"/>
    <w:rsid w:val="00A149BF"/>
    <w:rsid w:val="00A37FFA"/>
    <w:rsid w:val="00A660DA"/>
    <w:rsid w:val="00A74E14"/>
    <w:rsid w:val="00A85F84"/>
    <w:rsid w:val="00B95BE2"/>
    <w:rsid w:val="00C67E06"/>
    <w:rsid w:val="00CC5668"/>
    <w:rsid w:val="00D252A0"/>
    <w:rsid w:val="00D252CB"/>
    <w:rsid w:val="00D715D2"/>
    <w:rsid w:val="00E26E1E"/>
    <w:rsid w:val="00E30F7B"/>
    <w:rsid w:val="00F83E67"/>
    <w:rsid w:val="00FB162E"/>
    <w:rsid w:val="00FF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C3E2"/>
  <w15:chartTrackingRefBased/>
  <w15:docId w15:val="{256277F6-9B39-DC4B-9D8B-FC2B7344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4BB8"/>
    <w:rPr>
      <w:sz w:val="16"/>
      <w:szCs w:val="16"/>
    </w:rPr>
  </w:style>
  <w:style w:type="paragraph" w:styleId="CommentText">
    <w:name w:val="annotation text"/>
    <w:basedOn w:val="Normal"/>
    <w:link w:val="CommentTextChar"/>
    <w:uiPriority w:val="99"/>
    <w:semiHidden/>
    <w:unhideWhenUsed/>
    <w:rsid w:val="005D4BB8"/>
    <w:rPr>
      <w:sz w:val="20"/>
      <w:szCs w:val="20"/>
    </w:rPr>
  </w:style>
  <w:style w:type="character" w:customStyle="1" w:styleId="CommentTextChar">
    <w:name w:val="Comment Text Char"/>
    <w:basedOn w:val="DefaultParagraphFont"/>
    <w:link w:val="CommentText"/>
    <w:uiPriority w:val="99"/>
    <w:semiHidden/>
    <w:rsid w:val="005D4B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Buckley, Reuben (NIH/NHGRI) [F]</dc:creator>
  <cp:keywords/>
  <dc:description/>
  <cp:lastModifiedBy>Buckley, Reuben (NIH/NHGRI) [F]</cp:lastModifiedBy>
  <cp:revision>2</cp:revision>
  <dcterms:created xsi:type="dcterms:W3CDTF">2021-08-26T17:33:00Z</dcterms:created>
  <dcterms:modified xsi:type="dcterms:W3CDTF">2021-08-26T17:33:00Z</dcterms:modified>
</cp:coreProperties>
</file>