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8FC" w:rsidRPr="000C18FC" w:rsidRDefault="000C18FC" w:rsidP="000C18FC">
      <w:pPr>
        <w:pStyle w:val="Heading3"/>
        <w:rPr>
          <w:rFonts w:ascii="Times New Roman" w:hAnsi="Times New Roman" w:cs="Times New Roman"/>
          <w:color w:val="auto"/>
        </w:rPr>
      </w:pPr>
      <w:r w:rsidRPr="000C18FC">
        <w:rPr>
          <w:rFonts w:ascii="Times New Roman" w:hAnsi="Times New Roman" w:cs="Times New Roman"/>
          <w:color w:val="auto"/>
        </w:rPr>
        <w:t xml:space="preserve">Table </w:t>
      </w:r>
      <w:r w:rsidR="000F0DFD">
        <w:rPr>
          <w:rFonts w:ascii="Times New Roman" w:hAnsi="Times New Roman" w:cs="Times New Roman"/>
          <w:color w:val="auto"/>
        </w:rPr>
        <w:t>S2</w:t>
      </w:r>
      <w:bookmarkStart w:id="0" w:name="_GoBack"/>
      <w:bookmarkEnd w:id="0"/>
      <w:r w:rsidRPr="000C18FC">
        <w:rPr>
          <w:rFonts w:ascii="Times New Roman" w:hAnsi="Times New Roman" w:cs="Times New Roman"/>
          <w:color w:val="auto"/>
        </w:rPr>
        <w:t xml:space="preserve">.  </w:t>
      </w:r>
      <w:r w:rsidR="00A0562E">
        <w:rPr>
          <w:rFonts w:ascii="Times New Roman" w:hAnsi="Times New Roman" w:cs="Times New Roman"/>
          <w:color w:val="auto"/>
        </w:rPr>
        <w:t>Three</w:t>
      </w:r>
      <w:r w:rsidRPr="000C18FC">
        <w:rPr>
          <w:rFonts w:ascii="Times New Roman" w:hAnsi="Times New Roman" w:cs="Times New Roman"/>
          <w:color w:val="auto"/>
        </w:rPr>
        <w:t xml:space="preserve"> morphological axes of variation in corals represented by </w:t>
      </w:r>
      <w:r w:rsidR="00A0562E">
        <w:rPr>
          <w:rFonts w:ascii="Times New Roman" w:hAnsi="Times New Roman" w:cs="Times New Roman"/>
          <w:color w:val="auto"/>
        </w:rPr>
        <w:t>6</w:t>
      </w:r>
      <w:r w:rsidRPr="000C18FC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shape variables</w:t>
      </w:r>
      <w:r w:rsidRPr="000C18FC">
        <w:rPr>
          <w:rFonts w:ascii="Times New Roman" w:hAnsi="Times New Roman" w:cs="Times New Roman"/>
          <w:color w:val="auto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0"/>
        <w:gridCol w:w="1167"/>
        <w:gridCol w:w="4256"/>
        <w:gridCol w:w="2323"/>
      </w:tblGrid>
      <w:tr w:rsidR="000C18FC" w:rsidRPr="0080408D" w:rsidTr="000C18FC">
        <w:tc>
          <w:tcPr>
            <w:tcW w:w="1270" w:type="dxa"/>
          </w:tcPr>
          <w:p w:rsidR="000C18FC" w:rsidRPr="000C18FC" w:rsidRDefault="000C18FC" w:rsidP="009C2B9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FC">
              <w:rPr>
                <w:rFonts w:ascii="Times New Roman" w:hAnsi="Times New Roman" w:cs="Times New Roman"/>
                <w:sz w:val="16"/>
                <w:szCs w:val="16"/>
              </w:rPr>
              <w:t>Morphological axis</w:t>
            </w:r>
          </w:p>
        </w:tc>
        <w:tc>
          <w:tcPr>
            <w:tcW w:w="1167" w:type="dxa"/>
          </w:tcPr>
          <w:p w:rsidR="000C18FC" w:rsidRPr="000C18FC" w:rsidRDefault="000C18FC" w:rsidP="009C2B9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FC">
              <w:rPr>
                <w:rFonts w:ascii="Times New Roman" w:hAnsi="Times New Roman" w:cs="Times New Roman"/>
                <w:sz w:val="16"/>
                <w:szCs w:val="16"/>
              </w:rPr>
              <w:t xml:space="preserve">Morphological </w:t>
            </w:r>
            <w:r w:rsidR="00483F16">
              <w:rPr>
                <w:rFonts w:ascii="Times New Roman" w:hAnsi="Times New Roman" w:cs="Times New Roman"/>
                <w:sz w:val="16"/>
                <w:szCs w:val="16"/>
              </w:rPr>
              <w:t>variable</w:t>
            </w:r>
          </w:p>
        </w:tc>
        <w:tc>
          <w:tcPr>
            <w:tcW w:w="4256" w:type="dxa"/>
          </w:tcPr>
          <w:p w:rsidR="000C18FC" w:rsidRPr="000C18FC" w:rsidRDefault="000C18FC" w:rsidP="009C2B9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FC">
              <w:rPr>
                <w:rFonts w:ascii="Times New Roman" w:hAnsi="Times New Roman" w:cs="Times New Roman"/>
                <w:sz w:val="16"/>
                <w:szCs w:val="16"/>
              </w:rPr>
              <w:t>Description</w:t>
            </w:r>
          </w:p>
        </w:tc>
        <w:tc>
          <w:tcPr>
            <w:tcW w:w="2323" w:type="dxa"/>
          </w:tcPr>
          <w:p w:rsidR="000C18FC" w:rsidRPr="00483F16" w:rsidRDefault="000C18FC" w:rsidP="009C2B9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F16">
              <w:rPr>
                <w:rFonts w:ascii="Times New Roman" w:hAnsi="Times New Roman" w:cs="Times New Roman"/>
                <w:sz w:val="16"/>
                <w:szCs w:val="16"/>
              </w:rPr>
              <w:t>Formula</w:t>
            </w:r>
          </w:p>
        </w:tc>
      </w:tr>
      <w:tr w:rsidR="000C18FC" w:rsidRPr="0080408D" w:rsidTr="000C18FC">
        <w:trPr>
          <w:trHeight w:val="1065"/>
        </w:trPr>
        <w:tc>
          <w:tcPr>
            <w:tcW w:w="1270" w:type="dxa"/>
            <w:vMerge w:val="restart"/>
          </w:tcPr>
          <w:p w:rsidR="000C18FC" w:rsidRPr="000C18FC" w:rsidRDefault="000C18FC" w:rsidP="009C2B9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C18FC">
              <w:rPr>
                <w:rFonts w:ascii="Times New Roman" w:hAnsi="Times New Roman" w:cs="Times New Roman"/>
                <w:sz w:val="16"/>
                <w:szCs w:val="16"/>
              </w:rPr>
              <w:t>Volume compactness</w:t>
            </w:r>
          </w:p>
        </w:tc>
        <w:tc>
          <w:tcPr>
            <w:tcW w:w="1167" w:type="dxa"/>
          </w:tcPr>
          <w:p w:rsidR="000C18FC" w:rsidRPr="000C18FC" w:rsidRDefault="000C18FC" w:rsidP="009C2B9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C18FC">
              <w:rPr>
                <w:rFonts w:ascii="Times New Roman" w:hAnsi="Times New Roman" w:cs="Times New Roman"/>
                <w:sz w:val="16"/>
                <w:szCs w:val="16"/>
              </w:rPr>
              <w:t>Sphericity</w:t>
            </w:r>
          </w:p>
        </w:tc>
        <w:tc>
          <w:tcPr>
            <w:tcW w:w="4256" w:type="dxa"/>
          </w:tcPr>
          <w:p w:rsidR="000C18FC" w:rsidRPr="000C18FC" w:rsidRDefault="000C18FC" w:rsidP="009C2B9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C18FC">
              <w:rPr>
                <w:rFonts w:ascii="Times New Roman" w:hAnsi="Times New Roman" w:cs="Times New Roman"/>
                <w:sz w:val="16"/>
                <w:szCs w:val="16"/>
              </w:rPr>
              <w:t>The ratio of the surface area of a sphere with the same volume as the object (</w:t>
            </w:r>
            <w:r w:rsidRPr="000C18FC">
              <w:rPr>
                <w:rFonts w:ascii="Times New Roman" w:hAnsi="Times New Roman" w:cs="Times New Roman"/>
                <w:i/>
                <w:sz w:val="16"/>
                <w:szCs w:val="16"/>
              </w:rPr>
              <w:t>O</w:t>
            </w:r>
            <w:r w:rsidRPr="000C18FC">
              <w:rPr>
                <w:rFonts w:ascii="Times New Roman" w:hAnsi="Times New Roman" w:cs="Times New Roman"/>
                <w:i/>
                <w:sz w:val="16"/>
                <w:szCs w:val="16"/>
                <w:vertAlign w:val="subscript"/>
              </w:rPr>
              <w:t>VOL</w:t>
            </w:r>
            <w:r w:rsidRPr="000C18FC">
              <w:rPr>
                <w:rFonts w:ascii="Times New Roman" w:hAnsi="Times New Roman" w:cs="Times New Roman"/>
                <w:sz w:val="16"/>
                <w:szCs w:val="16"/>
              </w:rPr>
              <w:t>) and the surface area of the object (</w:t>
            </w:r>
            <w:r w:rsidRPr="000C18FC">
              <w:rPr>
                <w:rFonts w:ascii="Times New Roman" w:hAnsi="Times New Roman" w:cs="Times New Roman"/>
                <w:i/>
                <w:sz w:val="16"/>
                <w:szCs w:val="16"/>
              </w:rPr>
              <w:t>O</w:t>
            </w:r>
            <w:r w:rsidRPr="000C18FC">
              <w:rPr>
                <w:rFonts w:ascii="Times New Roman" w:hAnsi="Times New Roman" w:cs="Times New Roman"/>
                <w:i/>
                <w:sz w:val="16"/>
                <w:szCs w:val="16"/>
                <w:vertAlign w:val="subscript"/>
              </w:rPr>
              <w:t>SA</w:t>
            </w:r>
            <w:r w:rsidRPr="000C18FC">
              <w:rPr>
                <w:rFonts w:ascii="Times New Roman" w:hAnsi="Times New Roman" w:cs="Times New Roman"/>
                <w:sz w:val="16"/>
                <w:szCs w:val="16"/>
              </w:rPr>
              <w:t xml:space="preserve">). </w:t>
            </w:r>
          </w:p>
        </w:tc>
        <w:tc>
          <w:tcPr>
            <w:tcW w:w="2323" w:type="dxa"/>
          </w:tcPr>
          <w:p w:rsidR="000C18FC" w:rsidRPr="001D4642" w:rsidRDefault="000C18FC" w:rsidP="009C2B93">
            <w:pPr>
              <w:pStyle w:val="BodyText"/>
              <w:rPr>
                <w:rFonts w:eastAsiaTheme="minorEastAsia"/>
                <w:sz w:val="16"/>
                <w:szCs w:val="16"/>
              </w:rPr>
            </w:pPr>
          </w:p>
          <w:p w:rsidR="000C18FC" w:rsidRPr="0080408D" w:rsidRDefault="000C18FC" w:rsidP="009C2B93">
            <w:pPr>
              <w:pStyle w:val="BodyText"/>
              <w:rPr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/>
                    <w:sz w:val="16"/>
                    <w:szCs w:val="16"/>
                  </w:rPr>
                  <m:t>S= 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sz w:val="16"/>
                            <w:szCs w:val="1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π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1/3</m:t>
                        </m:r>
                      </m:sup>
                    </m:sSup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(6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O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VOL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sz w:val="16"/>
                            <w:szCs w:val="1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2/3</m:t>
                        </m:r>
                      </m:sup>
                    </m:sSup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O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SA</m:t>
                        </m:r>
                      </m:sub>
                    </m:sSub>
                  </m:den>
                </m:f>
              </m:oMath>
            </m:oMathPara>
          </w:p>
        </w:tc>
      </w:tr>
      <w:tr w:rsidR="000C18FC" w:rsidRPr="0080408D" w:rsidTr="000C18FC">
        <w:trPr>
          <w:trHeight w:val="746"/>
        </w:trPr>
        <w:tc>
          <w:tcPr>
            <w:tcW w:w="1270" w:type="dxa"/>
            <w:vMerge/>
          </w:tcPr>
          <w:p w:rsidR="000C18FC" w:rsidRPr="000C18FC" w:rsidRDefault="000C18FC" w:rsidP="009C2B9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7" w:type="dxa"/>
          </w:tcPr>
          <w:p w:rsidR="000C18FC" w:rsidRPr="000C18FC" w:rsidRDefault="000C18FC" w:rsidP="009C2B9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C18FC">
              <w:rPr>
                <w:rFonts w:ascii="Times New Roman" w:hAnsi="Times New Roman" w:cs="Times New Roman"/>
                <w:sz w:val="16"/>
                <w:szCs w:val="16"/>
              </w:rPr>
              <w:t>Convexity</w:t>
            </w:r>
          </w:p>
        </w:tc>
        <w:tc>
          <w:tcPr>
            <w:tcW w:w="4256" w:type="dxa"/>
          </w:tcPr>
          <w:p w:rsidR="000C18FC" w:rsidRPr="000C18FC" w:rsidRDefault="000C18FC" w:rsidP="009C2B9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C18FC">
              <w:rPr>
                <w:rFonts w:ascii="Times New Roman" w:hAnsi="Times New Roman" w:cs="Times New Roman"/>
                <w:sz w:val="16"/>
                <w:szCs w:val="16"/>
              </w:rPr>
              <w:t>The ratio of the volume of the object (</w:t>
            </w:r>
            <w:r w:rsidRPr="000C18FC">
              <w:rPr>
                <w:rFonts w:ascii="Times New Roman" w:hAnsi="Times New Roman" w:cs="Times New Roman"/>
                <w:i/>
                <w:sz w:val="16"/>
                <w:szCs w:val="16"/>
              </w:rPr>
              <w:t>O</w:t>
            </w:r>
            <w:r w:rsidRPr="000C18FC">
              <w:rPr>
                <w:rFonts w:ascii="Times New Roman" w:hAnsi="Times New Roman" w:cs="Times New Roman"/>
                <w:i/>
                <w:sz w:val="16"/>
                <w:szCs w:val="16"/>
                <w:vertAlign w:val="subscript"/>
              </w:rPr>
              <w:t>VOL</w:t>
            </w:r>
            <w:r w:rsidRPr="000C18FC">
              <w:rPr>
                <w:rFonts w:ascii="Times New Roman" w:hAnsi="Times New Roman" w:cs="Times New Roman"/>
                <w:sz w:val="16"/>
                <w:szCs w:val="16"/>
              </w:rPr>
              <w:t>) and the volume of the convex hull around the object (</w:t>
            </w:r>
            <w:r w:rsidRPr="000C18FC">
              <w:rPr>
                <w:rFonts w:ascii="Times New Roman" w:hAnsi="Times New Roman" w:cs="Times New Roman"/>
                <w:i/>
                <w:sz w:val="16"/>
                <w:szCs w:val="16"/>
              </w:rPr>
              <w:t>C</w:t>
            </w:r>
            <w:r w:rsidRPr="000C18FC">
              <w:rPr>
                <w:rFonts w:ascii="Times New Roman" w:hAnsi="Times New Roman" w:cs="Times New Roman"/>
                <w:i/>
                <w:sz w:val="16"/>
                <w:szCs w:val="16"/>
                <w:vertAlign w:val="subscript"/>
              </w:rPr>
              <w:t>VOL</w:t>
            </w:r>
            <w:r w:rsidRPr="000C18FC">
              <w:rPr>
                <w:rFonts w:ascii="Times New Roman" w:hAnsi="Times New Roman" w:cs="Times New Roman"/>
                <w:sz w:val="16"/>
                <w:szCs w:val="16"/>
              </w:rPr>
              <w:t xml:space="preserve">). </w:t>
            </w:r>
          </w:p>
        </w:tc>
        <w:tc>
          <w:tcPr>
            <w:tcW w:w="2323" w:type="dxa"/>
          </w:tcPr>
          <w:p w:rsidR="000C18FC" w:rsidRPr="001D4642" w:rsidRDefault="000C18FC" w:rsidP="009C2B93">
            <w:pPr>
              <w:pStyle w:val="BodyText"/>
              <w:rPr>
                <w:rFonts w:eastAsiaTheme="minorEastAsia"/>
                <w:sz w:val="16"/>
                <w:szCs w:val="16"/>
              </w:rPr>
            </w:pPr>
          </w:p>
          <w:p w:rsidR="000C18FC" w:rsidRPr="0080408D" w:rsidRDefault="000C18FC" w:rsidP="009C2B93">
            <w:pPr>
              <w:pStyle w:val="BodyText"/>
              <w:rPr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/>
                    <w:sz w:val="16"/>
                    <w:szCs w:val="16"/>
                  </w:rPr>
                  <m:t>C=</m:t>
                </m:r>
                <m:sSub>
                  <m:sSubPr>
                    <m:ctrlPr>
                      <w:rPr>
                        <w:rFonts w:ascii="Cambria Math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VOL</m:t>
                    </m:r>
                  </m:sub>
                </m:sSub>
                <m:r>
                  <w:rPr>
                    <w:rFonts w:ascii="Cambria Math" w:hAnsi="Cambria Math"/>
                    <w:sz w:val="16"/>
                    <w:szCs w:val="16"/>
                  </w:rPr>
                  <m:t>/</m:t>
                </m:r>
                <m:sSub>
                  <m:sSubPr>
                    <m:ctrlPr>
                      <w:rPr>
                        <w:rFonts w:ascii="Cambria Math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VOL</m:t>
                    </m:r>
                  </m:sub>
                </m:sSub>
              </m:oMath>
            </m:oMathPara>
          </w:p>
        </w:tc>
      </w:tr>
      <w:tr w:rsidR="000C18FC" w:rsidRPr="0080408D" w:rsidTr="000C18FC">
        <w:trPr>
          <w:trHeight w:val="1018"/>
        </w:trPr>
        <w:tc>
          <w:tcPr>
            <w:tcW w:w="1270" w:type="dxa"/>
            <w:vMerge w:val="restart"/>
          </w:tcPr>
          <w:p w:rsidR="000C18FC" w:rsidRPr="000C18FC" w:rsidRDefault="000C18FC" w:rsidP="009C2B9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C18FC">
              <w:rPr>
                <w:rFonts w:ascii="Times New Roman" w:hAnsi="Times New Roman" w:cs="Times New Roman"/>
                <w:sz w:val="16"/>
                <w:szCs w:val="16"/>
              </w:rPr>
              <w:t>Surface complexity</w:t>
            </w:r>
          </w:p>
        </w:tc>
        <w:tc>
          <w:tcPr>
            <w:tcW w:w="1167" w:type="dxa"/>
          </w:tcPr>
          <w:p w:rsidR="000C18FC" w:rsidRPr="000C18FC" w:rsidRDefault="000C18FC" w:rsidP="009C2B9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C18FC">
              <w:rPr>
                <w:rFonts w:ascii="Times New Roman" w:hAnsi="Times New Roman" w:cs="Times New Roman"/>
                <w:sz w:val="16"/>
                <w:szCs w:val="16"/>
              </w:rPr>
              <w:t>Fractal dimension</w:t>
            </w:r>
          </w:p>
        </w:tc>
        <w:tc>
          <w:tcPr>
            <w:tcW w:w="4256" w:type="dxa"/>
          </w:tcPr>
          <w:p w:rsidR="000C18FC" w:rsidRPr="000C18FC" w:rsidRDefault="000C18FC" w:rsidP="009C2B9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C18FC">
              <w:rPr>
                <w:rFonts w:ascii="Times New Roman" w:hAnsi="Times New Roman" w:cs="Times New Roman"/>
                <w:sz w:val="16"/>
                <w:szCs w:val="16"/>
              </w:rPr>
              <w:t xml:space="preserve">The slope of the number of boxes at size </w:t>
            </w:r>
            <w:r w:rsidRPr="000C18FC">
              <w:rPr>
                <w:rFonts w:ascii="Times New Roman" w:hAnsi="Times New Roman" w:cs="Times New Roman"/>
                <w:i/>
                <w:sz w:val="16"/>
                <w:szCs w:val="16"/>
              </w:rPr>
              <w:t>S</w:t>
            </w:r>
            <w:r w:rsidRPr="000C18FC">
              <w:rPr>
                <w:rFonts w:ascii="Times New Roman" w:hAnsi="Times New Roman" w:cs="Times New Roman"/>
                <w:sz w:val="16"/>
                <w:szCs w:val="16"/>
              </w:rPr>
              <w:t xml:space="preserve"> that contain part of the object (</w:t>
            </w:r>
            <w:r w:rsidRPr="000C18FC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0C18FC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S</w:t>
            </w:r>
            <w:r w:rsidRPr="000C18F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) </w:t>
            </w:r>
            <w:r w:rsidRPr="000C18FC">
              <w:rPr>
                <w:rFonts w:ascii="Times New Roman" w:hAnsi="Times New Roman" w:cs="Times New Roman"/>
                <w:sz w:val="16"/>
                <w:szCs w:val="16"/>
              </w:rPr>
              <w:t>and the size of the boxes (</w:t>
            </w:r>
            <w:r w:rsidRPr="000C18FC">
              <w:rPr>
                <w:rFonts w:ascii="Times New Roman" w:hAnsi="Times New Roman" w:cs="Times New Roman"/>
                <w:i/>
                <w:sz w:val="16"/>
                <w:szCs w:val="16"/>
              </w:rPr>
              <w:t>S</w:t>
            </w:r>
            <w:r w:rsidRPr="000C18FC">
              <w:rPr>
                <w:rFonts w:ascii="Times New Roman" w:hAnsi="Times New Roman" w:cs="Times New Roman"/>
                <w:sz w:val="16"/>
                <w:szCs w:val="16"/>
              </w:rPr>
              <w:t>).</w:t>
            </w:r>
          </w:p>
        </w:tc>
        <w:tc>
          <w:tcPr>
            <w:tcW w:w="2323" w:type="dxa"/>
          </w:tcPr>
          <w:p w:rsidR="000C18FC" w:rsidRPr="001D4642" w:rsidRDefault="000C18FC" w:rsidP="009C2B93">
            <w:pPr>
              <w:ind w:firstLine="0"/>
              <w:rPr>
                <w:rFonts w:asciiTheme="minorHAnsi" w:eastAsiaTheme="minorEastAsia" w:hAnsiTheme="minorHAnsi"/>
                <w:sz w:val="16"/>
                <w:szCs w:val="16"/>
              </w:rPr>
            </w:pPr>
          </w:p>
          <w:p w:rsidR="000C18FC" w:rsidRPr="0080408D" w:rsidRDefault="000C18FC" w:rsidP="009C2B93">
            <w:pPr>
              <w:ind w:firstLine="0"/>
              <w:rPr>
                <w:rFonts w:asciiTheme="minorHAnsi" w:hAnsiTheme="minorHAnsi"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/>
                    <w:sz w:val="16"/>
                    <w:szCs w:val="16"/>
                  </w:rPr>
                  <m:t xml:space="preserve">FD=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∆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sz w:val="16"/>
                            <w:szCs w:val="16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log</m:t>
                        </m:r>
                      </m:fName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16"/>
                                <w:szCs w:val="1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  <m:t>S</m:t>
                            </m:r>
                          </m:sup>
                        </m:sSup>
                      </m:e>
                    </m:func>
                  </m:num>
                  <m:den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∆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sz w:val="16"/>
                            <w:szCs w:val="16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log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S</m:t>
                        </m:r>
                      </m:e>
                    </m:func>
                  </m:den>
                </m:f>
              </m:oMath>
            </m:oMathPara>
          </w:p>
        </w:tc>
      </w:tr>
      <w:tr w:rsidR="000C18FC" w:rsidRPr="0080408D" w:rsidTr="000C18FC">
        <w:trPr>
          <w:trHeight w:val="976"/>
        </w:trPr>
        <w:tc>
          <w:tcPr>
            <w:tcW w:w="1270" w:type="dxa"/>
            <w:vMerge/>
          </w:tcPr>
          <w:p w:rsidR="000C18FC" w:rsidRPr="000C18FC" w:rsidRDefault="000C18FC" w:rsidP="009C2B9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7" w:type="dxa"/>
          </w:tcPr>
          <w:p w:rsidR="000C18FC" w:rsidRPr="000C18FC" w:rsidRDefault="000C18FC" w:rsidP="009C2B9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C18FC">
              <w:rPr>
                <w:rFonts w:ascii="Times New Roman" w:hAnsi="Times New Roman" w:cs="Times New Roman"/>
                <w:sz w:val="16"/>
                <w:szCs w:val="16"/>
              </w:rPr>
              <w:t>Packing</w:t>
            </w:r>
          </w:p>
        </w:tc>
        <w:tc>
          <w:tcPr>
            <w:tcW w:w="4256" w:type="dxa"/>
          </w:tcPr>
          <w:p w:rsidR="000C18FC" w:rsidRPr="000C18FC" w:rsidRDefault="000C18FC" w:rsidP="009C2B93">
            <w:pPr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18FC">
              <w:rPr>
                <w:rFonts w:ascii="Times New Roman" w:hAnsi="Times New Roman" w:cs="Times New Roman"/>
                <w:sz w:val="16"/>
                <w:szCs w:val="16"/>
              </w:rPr>
              <w:t>The ratio of the surface area of the object (</w:t>
            </w:r>
            <w:r w:rsidRPr="000C18FC">
              <w:rPr>
                <w:rFonts w:ascii="Times New Roman" w:hAnsi="Times New Roman" w:cs="Times New Roman"/>
                <w:i/>
                <w:sz w:val="16"/>
                <w:szCs w:val="16"/>
              </w:rPr>
              <w:t>O</w:t>
            </w:r>
            <w:r w:rsidRPr="000C18FC">
              <w:rPr>
                <w:rFonts w:ascii="Times New Roman" w:hAnsi="Times New Roman" w:cs="Times New Roman"/>
                <w:i/>
                <w:sz w:val="16"/>
                <w:szCs w:val="16"/>
                <w:vertAlign w:val="subscript"/>
              </w:rPr>
              <w:t>SA</w:t>
            </w:r>
            <w:r w:rsidRPr="000C18FC">
              <w:rPr>
                <w:rFonts w:ascii="Times New Roman" w:hAnsi="Times New Roman" w:cs="Times New Roman"/>
                <w:sz w:val="16"/>
                <w:szCs w:val="16"/>
              </w:rPr>
              <w:t>) and the surface area of the convex hull around the object (</w:t>
            </w:r>
            <w:r w:rsidRPr="000C18FC">
              <w:rPr>
                <w:rFonts w:ascii="Times New Roman" w:hAnsi="Times New Roman" w:cs="Times New Roman"/>
                <w:i/>
                <w:sz w:val="16"/>
                <w:szCs w:val="16"/>
              </w:rPr>
              <w:t>C</w:t>
            </w:r>
            <w:r w:rsidRPr="000C18FC">
              <w:rPr>
                <w:rFonts w:ascii="Times New Roman" w:hAnsi="Times New Roman" w:cs="Times New Roman"/>
                <w:i/>
                <w:sz w:val="16"/>
                <w:szCs w:val="16"/>
                <w:vertAlign w:val="subscript"/>
              </w:rPr>
              <w:t>SA</w:t>
            </w:r>
            <w:r w:rsidRPr="000C18FC">
              <w:rPr>
                <w:rFonts w:ascii="Times New Roman" w:hAnsi="Times New Roman" w:cs="Times New Roman"/>
                <w:sz w:val="16"/>
                <w:szCs w:val="16"/>
              </w:rPr>
              <w:t>).</w:t>
            </w:r>
          </w:p>
        </w:tc>
        <w:tc>
          <w:tcPr>
            <w:tcW w:w="2323" w:type="dxa"/>
          </w:tcPr>
          <w:p w:rsidR="000C18FC" w:rsidRPr="001D4642" w:rsidRDefault="000C18FC" w:rsidP="009C2B93">
            <w:pPr>
              <w:ind w:firstLine="0"/>
              <w:rPr>
                <w:rFonts w:asciiTheme="minorHAnsi" w:eastAsiaTheme="minorEastAsia" w:hAnsiTheme="minorHAnsi"/>
                <w:sz w:val="16"/>
                <w:szCs w:val="16"/>
              </w:rPr>
            </w:pPr>
          </w:p>
          <w:p w:rsidR="000C18FC" w:rsidRPr="0080408D" w:rsidRDefault="000C18FC" w:rsidP="009C2B93">
            <w:pPr>
              <w:ind w:firstLine="0"/>
              <w:rPr>
                <w:rFonts w:asciiTheme="minorHAnsi" w:hAnsiTheme="minorHAnsi"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/>
                    <w:sz w:val="16"/>
                    <w:szCs w:val="16"/>
                  </w:rPr>
                  <m:t>P=</m:t>
                </m:r>
                <m:sSub>
                  <m:sSubPr>
                    <m:ctrlPr>
                      <w:rPr>
                        <w:rFonts w:ascii="Cambria Math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SA</m:t>
                    </m:r>
                  </m:sub>
                </m:sSub>
                <m:r>
                  <w:rPr>
                    <w:rFonts w:ascii="Cambria Math" w:hAnsi="Cambria Math"/>
                    <w:sz w:val="16"/>
                    <w:szCs w:val="16"/>
                  </w:rPr>
                  <m:t>/</m:t>
                </m:r>
                <m:sSub>
                  <m:sSubPr>
                    <m:ctrlPr>
                      <w:rPr>
                        <w:rFonts w:ascii="Cambria Math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SA</m:t>
                    </m:r>
                  </m:sub>
                </m:sSub>
              </m:oMath>
            </m:oMathPara>
          </w:p>
        </w:tc>
      </w:tr>
      <w:tr w:rsidR="000C18FC" w:rsidRPr="0080408D" w:rsidTr="000C18FC">
        <w:trPr>
          <w:trHeight w:val="1541"/>
        </w:trPr>
        <w:tc>
          <w:tcPr>
            <w:tcW w:w="1270" w:type="dxa"/>
            <w:vMerge w:val="restart"/>
          </w:tcPr>
          <w:p w:rsidR="000C18FC" w:rsidRPr="000C18FC" w:rsidRDefault="000C18FC" w:rsidP="009C2B9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C18FC">
              <w:rPr>
                <w:rFonts w:ascii="Times New Roman" w:hAnsi="Times New Roman" w:cs="Times New Roman"/>
                <w:sz w:val="16"/>
                <w:szCs w:val="16"/>
              </w:rPr>
              <w:t>Top-heaviness</w:t>
            </w:r>
          </w:p>
        </w:tc>
        <w:tc>
          <w:tcPr>
            <w:tcW w:w="1167" w:type="dxa"/>
          </w:tcPr>
          <w:p w:rsidR="000C18FC" w:rsidRPr="000C18FC" w:rsidRDefault="000C18FC" w:rsidP="009C2B9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st</w:t>
            </w:r>
            <w:r w:rsidRPr="000C18FC">
              <w:rPr>
                <w:rFonts w:ascii="Times New Roman" w:hAnsi="Times New Roman" w:cs="Times New Roman"/>
                <w:sz w:val="16"/>
                <w:szCs w:val="16"/>
              </w:rPr>
              <w:t xml:space="preserve"> moment of surface area</w:t>
            </w:r>
          </w:p>
        </w:tc>
        <w:tc>
          <w:tcPr>
            <w:tcW w:w="4256" w:type="dxa"/>
          </w:tcPr>
          <w:p w:rsidR="000C18FC" w:rsidRPr="000C18FC" w:rsidRDefault="000C18FC" w:rsidP="009C2B9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C18FC">
              <w:rPr>
                <w:rFonts w:ascii="Times New Roman" w:hAnsi="Times New Roman" w:cs="Times New Roman"/>
                <w:sz w:val="16"/>
                <w:szCs w:val="16"/>
              </w:rPr>
              <w:t>The total surface area of the object (</w:t>
            </w:r>
            <w:r w:rsidRPr="000C18FC">
              <w:rPr>
                <w:rFonts w:ascii="Times New Roman" w:hAnsi="Times New Roman" w:cs="Times New Roman"/>
                <w:i/>
                <w:sz w:val="16"/>
                <w:szCs w:val="16"/>
              </w:rPr>
              <w:t>O</w:t>
            </w:r>
            <w:r w:rsidRPr="000C18FC">
              <w:rPr>
                <w:rFonts w:ascii="Times New Roman" w:hAnsi="Times New Roman" w:cs="Times New Roman"/>
                <w:i/>
                <w:sz w:val="16"/>
                <w:szCs w:val="16"/>
                <w:vertAlign w:val="subscript"/>
              </w:rPr>
              <w:t>SA</w:t>
            </w:r>
            <w:r w:rsidRPr="000C18FC">
              <w:rPr>
                <w:rFonts w:ascii="Times New Roman" w:hAnsi="Times New Roman" w:cs="Times New Roman"/>
                <w:sz w:val="16"/>
                <w:szCs w:val="16"/>
              </w:rPr>
              <w:t>) multiplied by vertical distance from the objects lowest point (</w:t>
            </w:r>
            <w:r w:rsidRPr="000C18FC">
              <w:rPr>
                <w:rFonts w:ascii="Times New Roman" w:hAnsi="Times New Roman" w:cs="Times New Roman"/>
                <w:i/>
                <w:sz w:val="16"/>
                <w:szCs w:val="16"/>
              </w:rPr>
              <w:t>H</w:t>
            </w:r>
            <w:r w:rsidRPr="000C18FC">
              <w:rPr>
                <w:rFonts w:ascii="Times New Roman" w:hAnsi="Times New Roman" w:cs="Times New Roman"/>
                <w:sz w:val="16"/>
                <w:szCs w:val="16"/>
              </w:rPr>
              <w:t>). When comparing objects, each object should be scaled to a standard volume to remove size-related differences.</w:t>
            </w:r>
          </w:p>
        </w:tc>
        <w:tc>
          <w:tcPr>
            <w:tcW w:w="2323" w:type="dxa"/>
          </w:tcPr>
          <w:p w:rsidR="000C18FC" w:rsidRPr="001D4642" w:rsidRDefault="000C18FC" w:rsidP="009C2B93">
            <w:pPr>
              <w:pStyle w:val="BodyText"/>
              <w:rPr>
                <w:rFonts w:eastAsiaTheme="minorEastAsia"/>
                <w:sz w:val="16"/>
                <w:szCs w:val="16"/>
              </w:rPr>
            </w:pPr>
          </w:p>
          <w:p w:rsidR="000C18FC" w:rsidRPr="0080408D" w:rsidRDefault="000F0DFD" w:rsidP="009C2B93">
            <w:pPr>
              <w:pStyle w:val="BodyText"/>
              <w:rPr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SA</m:t>
                    </m:r>
                  </m:sub>
                </m:sSub>
                <m:r>
                  <w:rPr>
                    <w:rFonts w:ascii="Cambria Math" w:hAnsi="Cambria Math"/>
                    <w:sz w:val="16"/>
                    <w:szCs w:val="16"/>
                  </w:rPr>
                  <m:t>=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sz w:val="16"/>
                        <w:szCs w:val="16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H=0</m:t>
                    </m:r>
                  </m:sub>
                  <m:sup>
                    <m:sSup>
                      <m:sSupPr>
                        <m:ctrlPr>
                          <w:rPr>
                            <w:rFonts w:ascii="Cambria Math" w:hAnsi="Cambria Math"/>
                            <w:sz w:val="16"/>
                            <w:szCs w:val="1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max</m:t>
                        </m:r>
                      </m:sup>
                    </m:sSup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O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SA</m:t>
                        </m:r>
                      </m:sub>
                    </m:sSub>
                  </m:e>
                </m:nary>
                <m:r>
                  <w:rPr>
                    <w:rFonts w:ascii="Cambria Math" w:hAnsi="Cambria Math"/>
                    <w:sz w:val="16"/>
                    <w:szCs w:val="16"/>
                  </w:rPr>
                  <m:t>H</m:t>
                </m:r>
              </m:oMath>
            </m:oMathPara>
          </w:p>
        </w:tc>
      </w:tr>
      <w:tr w:rsidR="000C18FC" w:rsidRPr="0080408D" w:rsidTr="000C18FC">
        <w:trPr>
          <w:trHeight w:val="1583"/>
        </w:trPr>
        <w:tc>
          <w:tcPr>
            <w:tcW w:w="1270" w:type="dxa"/>
            <w:vMerge/>
          </w:tcPr>
          <w:p w:rsidR="000C18FC" w:rsidRPr="000C18FC" w:rsidRDefault="000C18FC" w:rsidP="009C2B9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7" w:type="dxa"/>
          </w:tcPr>
          <w:p w:rsidR="000C18FC" w:rsidRPr="000C18FC" w:rsidRDefault="000C18FC" w:rsidP="009C2B9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C18F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st</w:t>
            </w:r>
            <w:r w:rsidRPr="000C18FC">
              <w:rPr>
                <w:rFonts w:ascii="Times New Roman" w:hAnsi="Times New Roman" w:cs="Times New Roman"/>
                <w:sz w:val="16"/>
                <w:szCs w:val="16"/>
              </w:rPr>
              <w:t xml:space="preserve"> moment of volume</w:t>
            </w:r>
          </w:p>
        </w:tc>
        <w:tc>
          <w:tcPr>
            <w:tcW w:w="4256" w:type="dxa"/>
          </w:tcPr>
          <w:p w:rsidR="000C18FC" w:rsidRPr="000C18FC" w:rsidRDefault="000C18FC" w:rsidP="009C2B9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C18FC">
              <w:rPr>
                <w:rFonts w:ascii="Times New Roman" w:hAnsi="Times New Roman" w:cs="Times New Roman"/>
                <w:sz w:val="16"/>
                <w:szCs w:val="16"/>
              </w:rPr>
              <w:t>The total volume of the object (</w:t>
            </w:r>
            <w:r w:rsidRPr="000C18FC">
              <w:rPr>
                <w:rFonts w:ascii="Times New Roman" w:hAnsi="Times New Roman" w:cs="Times New Roman"/>
                <w:i/>
                <w:sz w:val="16"/>
                <w:szCs w:val="16"/>
              </w:rPr>
              <w:t>O</w:t>
            </w:r>
            <w:r w:rsidRPr="000C18FC">
              <w:rPr>
                <w:rFonts w:ascii="Times New Roman" w:hAnsi="Times New Roman" w:cs="Times New Roman"/>
                <w:i/>
                <w:sz w:val="16"/>
                <w:szCs w:val="16"/>
                <w:vertAlign w:val="subscript"/>
              </w:rPr>
              <w:t>VOL</w:t>
            </w:r>
            <w:r w:rsidRPr="000C18FC">
              <w:rPr>
                <w:rFonts w:ascii="Times New Roman" w:hAnsi="Times New Roman" w:cs="Times New Roman"/>
                <w:sz w:val="16"/>
                <w:szCs w:val="16"/>
              </w:rPr>
              <w:t>) multiplied by vertical distance from the objects lowest point (</w:t>
            </w:r>
            <w:r w:rsidRPr="000C18FC">
              <w:rPr>
                <w:rFonts w:ascii="Times New Roman" w:hAnsi="Times New Roman" w:cs="Times New Roman"/>
                <w:i/>
                <w:sz w:val="16"/>
                <w:szCs w:val="16"/>
              </w:rPr>
              <w:t>H</w:t>
            </w:r>
            <w:r w:rsidRPr="000C18FC">
              <w:rPr>
                <w:rFonts w:ascii="Times New Roman" w:hAnsi="Times New Roman" w:cs="Times New Roman"/>
                <w:sz w:val="16"/>
                <w:szCs w:val="16"/>
              </w:rPr>
              <w:t>). When comparing objects, each object should be scaled to a standard volume to remove size-related differences</w:t>
            </w:r>
          </w:p>
        </w:tc>
        <w:tc>
          <w:tcPr>
            <w:tcW w:w="2323" w:type="dxa"/>
          </w:tcPr>
          <w:p w:rsidR="000C18FC" w:rsidRPr="001D4642" w:rsidRDefault="000C18FC" w:rsidP="009C2B93">
            <w:pPr>
              <w:pStyle w:val="BodyText"/>
              <w:rPr>
                <w:rFonts w:eastAsiaTheme="minorEastAsia"/>
                <w:sz w:val="16"/>
                <w:szCs w:val="16"/>
              </w:rPr>
            </w:pPr>
          </w:p>
          <w:p w:rsidR="000C18FC" w:rsidRPr="0080408D" w:rsidRDefault="000F0DFD" w:rsidP="009C2B93">
            <w:pPr>
              <w:pStyle w:val="BodyText"/>
              <w:rPr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VOL</m:t>
                    </m:r>
                  </m:sub>
                </m:sSub>
                <m:r>
                  <w:rPr>
                    <w:rFonts w:ascii="Cambria Math" w:hAnsi="Cambria Math"/>
                    <w:sz w:val="16"/>
                    <w:szCs w:val="16"/>
                  </w:rPr>
                  <m:t>=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sz w:val="16"/>
                        <w:szCs w:val="16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H=0</m:t>
                    </m:r>
                  </m:sub>
                  <m:sup>
                    <m:sSup>
                      <m:sSupPr>
                        <m:ctrlPr>
                          <w:rPr>
                            <w:rFonts w:ascii="Cambria Math" w:hAnsi="Cambria Math"/>
                            <w:sz w:val="16"/>
                            <w:szCs w:val="1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max</m:t>
                        </m:r>
                      </m:sup>
                    </m:sSup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O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VOL</m:t>
                        </m:r>
                      </m:sub>
                    </m:sSub>
                  </m:e>
                </m:nary>
                <m:r>
                  <w:rPr>
                    <w:rFonts w:ascii="Cambria Math" w:hAnsi="Cambria Math"/>
                    <w:sz w:val="16"/>
                    <w:szCs w:val="16"/>
                  </w:rPr>
                  <m:t>H</m:t>
                </m:r>
              </m:oMath>
            </m:oMathPara>
          </w:p>
        </w:tc>
      </w:tr>
    </w:tbl>
    <w:p w:rsidR="00E24DDB" w:rsidRDefault="00E24DDB"/>
    <w:sectPr w:rsidR="00E24D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K3NDA0NjMyNTY0MDNU0lEKTi0uzszPAykwrAUA+EuPHiwAAAA="/>
  </w:docVars>
  <w:rsids>
    <w:rsidRoot w:val="000C18FC"/>
    <w:rsid w:val="000C18FC"/>
    <w:rsid w:val="000F0DFD"/>
    <w:rsid w:val="00483F16"/>
    <w:rsid w:val="00A0562E"/>
    <w:rsid w:val="00E2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6B7C5"/>
  <w15:chartTrackingRefBased/>
  <w15:docId w15:val="{0C231C38-6527-4581-AA09-7DFB35187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18FC"/>
    <w:pPr>
      <w:spacing w:after="480" w:line="360" w:lineRule="auto"/>
      <w:ind w:firstLine="567"/>
      <w:contextualSpacing/>
      <w:jc w:val="both"/>
    </w:pPr>
    <w:rPr>
      <w:rFonts w:ascii="Palatino Linotype" w:hAnsi="Palatino Linotype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0C18FC"/>
    <w:pPr>
      <w:keepNext/>
      <w:keepLines/>
      <w:spacing w:before="360" w:after="360"/>
      <w:ind w:firstLine="0"/>
      <w:outlineLvl w:val="2"/>
    </w:pPr>
    <w:rPr>
      <w:rFonts w:eastAsiaTheme="majorEastAsia" w:cstheme="majorBidi"/>
      <w:bCs/>
      <w:i/>
      <w:color w:val="4472C4" w:themeColor="accent1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C18FC"/>
    <w:rPr>
      <w:rFonts w:ascii="Palatino Linotype" w:eastAsiaTheme="majorEastAsia" w:hAnsi="Palatino Linotype" w:cstheme="majorBidi"/>
      <w:bCs/>
      <w:i/>
      <w:color w:val="4472C4" w:themeColor="accent1"/>
      <w:szCs w:val="28"/>
    </w:rPr>
  </w:style>
  <w:style w:type="paragraph" w:styleId="BodyText">
    <w:name w:val="Body Text"/>
    <w:basedOn w:val="Normal"/>
    <w:link w:val="BodyTextChar"/>
    <w:qFormat/>
    <w:rsid w:val="000C18FC"/>
    <w:pPr>
      <w:spacing w:before="180" w:after="180"/>
      <w:ind w:firstLine="720"/>
    </w:pPr>
    <w:rPr>
      <w:rFonts w:asciiTheme="minorHAnsi" w:hAnsiTheme="minorHAnsi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C18FC"/>
    <w:rPr>
      <w:sz w:val="24"/>
      <w:szCs w:val="24"/>
    </w:rPr>
  </w:style>
  <w:style w:type="table" w:styleId="TableGrid">
    <w:name w:val="Table Grid"/>
    <w:basedOn w:val="TableNormal"/>
    <w:uiPriority w:val="39"/>
    <w:rsid w:val="000C18F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Zawada</dc:creator>
  <cp:keywords/>
  <dc:description/>
  <cp:lastModifiedBy>Kyle Zawada</cp:lastModifiedBy>
  <cp:revision>4</cp:revision>
  <dcterms:created xsi:type="dcterms:W3CDTF">2019-04-25T04:38:00Z</dcterms:created>
  <dcterms:modified xsi:type="dcterms:W3CDTF">2019-05-20T01:42:00Z</dcterms:modified>
</cp:coreProperties>
</file>