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B0E38" w14:textId="77777777" w:rsidR="004142F3" w:rsidRPr="00784892" w:rsidRDefault="004142F3" w:rsidP="004142F3">
      <w:pPr>
        <w:spacing w:line="276" w:lineRule="auto"/>
        <w:jc w:val="both"/>
        <w:rPr>
          <w:rFonts w:ascii="Times New Roman" w:hAnsi="Times New Roman" w:cs="Times New Roman"/>
          <w:b/>
          <w:sz w:val="20"/>
          <w:szCs w:val="22"/>
          <w:lang w:val="en-US"/>
        </w:rPr>
      </w:pPr>
      <w:r w:rsidRPr="00784892">
        <w:rPr>
          <w:rFonts w:ascii="Times New Roman" w:hAnsi="Times New Roman" w:cs="Times New Roman"/>
          <w:b/>
          <w:sz w:val="20"/>
          <w:szCs w:val="22"/>
          <w:lang w:val="en-US"/>
        </w:rPr>
        <w:t>SUPPLEMENTARY FIGURES</w:t>
      </w:r>
    </w:p>
    <w:p w14:paraId="0D6D5217" w14:textId="77777777" w:rsidR="004142F3" w:rsidRPr="00784892" w:rsidRDefault="004142F3" w:rsidP="004142F3">
      <w:pPr>
        <w:spacing w:line="276" w:lineRule="auto"/>
        <w:jc w:val="both"/>
        <w:rPr>
          <w:rFonts w:ascii="Times New Roman" w:hAnsi="Times New Roman" w:cs="Times New Roman"/>
          <w:b/>
          <w:sz w:val="20"/>
          <w:szCs w:val="22"/>
          <w:lang w:val="en-US"/>
        </w:rPr>
      </w:pPr>
    </w:p>
    <w:p w14:paraId="64E69696" w14:textId="77777777" w:rsidR="00B20A16" w:rsidRDefault="00B20A16" w:rsidP="004142F3">
      <w:pPr>
        <w:spacing w:line="276" w:lineRule="auto"/>
        <w:jc w:val="both"/>
        <w:rPr>
          <w:sz w:val="20"/>
          <w:lang w:val="en-US"/>
        </w:rPr>
      </w:pPr>
    </w:p>
    <w:p w14:paraId="422FC3D6" w14:textId="3971FC3E" w:rsidR="004142F3" w:rsidRPr="00784892" w:rsidRDefault="004142F3" w:rsidP="004142F3">
      <w:pPr>
        <w:spacing w:line="276" w:lineRule="auto"/>
        <w:jc w:val="both"/>
        <w:rPr>
          <w:sz w:val="20"/>
          <w:lang w:val="en-US"/>
        </w:rPr>
      </w:pPr>
      <w:r w:rsidRPr="00784892">
        <w:rPr>
          <w:noProof/>
          <w:sz w:val="20"/>
          <w:lang w:val="en-US"/>
        </w:rPr>
        <w:drawing>
          <wp:inline distT="0" distB="0" distL="0" distR="0" wp14:anchorId="0E16B2BA" wp14:editId="1CFC8277">
            <wp:extent cx="6184466" cy="2234533"/>
            <wp:effectExtent l="0" t="0" r="698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6184466" cy="2234533"/>
                    </a:xfrm>
                    <a:prstGeom prst="rect">
                      <a:avLst/>
                    </a:prstGeom>
                    <a:ln>
                      <a:noFill/>
                    </a:ln>
                    <a:extLst>
                      <a:ext uri="{53640926-AAD7-44D8-BBD7-CCE9431645EC}">
                        <a14:shadowObscured xmlns:a14="http://schemas.microsoft.com/office/drawing/2010/main"/>
                      </a:ext>
                    </a:extLst>
                  </pic:spPr>
                </pic:pic>
              </a:graphicData>
            </a:graphic>
          </wp:inline>
        </w:drawing>
      </w:r>
    </w:p>
    <w:p w14:paraId="3D78D2D7" w14:textId="77777777" w:rsidR="004142F3" w:rsidRPr="00784892" w:rsidRDefault="004142F3" w:rsidP="004142F3">
      <w:pPr>
        <w:spacing w:line="276" w:lineRule="auto"/>
        <w:jc w:val="both"/>
        <w:rPr>
          <w:rFonts w:ascii="Times New Roman" w:hAnsi="Times New Roman" w:cs="Times New Roman"/>
          <w:sz w:val="20"/>
          <w:szCs w:val="20"/>
          <w:lang w:val="en-US"/>
        </w:rPr>
      </w:pPr>
      <w:bookmarkStart w:id="0" w:name="_Hlk186183562"/>
      <w:r w:rsidRPr="00784892">
        <w:rPr>
          <w:rFonts w:ascii="Times New Roman" w:hAnsi="Times New Roman" w:cs="Times New Roman"/>
          <w:b/>
          <w:sz w:val="20"/>
          <w:lang w:val="en-US"/>
        </w:rPr>
        <w:t>Figure S1.</w:t>
      </w:r>
      <w:r w:rsidRPr="00784892">
        <w:rPr>
          <w:rFonts w:ascii="Times New Roman" w:hAnsi="Times New Roman" w:cs="Times New Roman"/>
          <w:sz w:val="20"/>
          <w:lang w:val="en-US"/>
        </w:rPr>
        <w:t xml:space="preserve"> </w:t>
      </w:r>
      <w:r w:rsidRPr="00784892">
        <w:rPr>
          <w:rFonts w:ascii="Times New Roman" w:hAnsi="Times New Roman" w:cs="Times New Roman"/>
          <w:sz w:val="20"/>
          <w:szCs w:val="20"/>
          <w:lang w:val="en-US"/>
        </w:rPr>
        <w:t xml:space="preserve">Overview of Site B, located outside the Portofino MPA in close proximity to a cliff that is frequently visited by people engaged in recreational activities such as swimming, sunbathing, and snorkeling: </w:t>
      </w:r>
      <w:r w:rsidRPr="00784892">
        <w:rPr>
          <w:rFonts w:ascii="Times New Roman" w:hAnsi="Times New Roman" w:cs="Times New Roman"/>
          <w:b/>
          <w:sz w:val="20"/>
          <w:szCs w:val="20"/>
          <w:lang w:val="en-US"/>
        </w:rPr>
        <w:t>a)</w:t>
      </w:r>
      <w:r w:rsidRPr="00784892">
        <w:rPr>
          <w:rFonts w:ascii="Times New Roman" w:hAnsi="Times New Roman" w:cs="Times New Roman"/>
          <w:sz w:val="20"/>
          <w:szCs w:val="20"/>
          <w:lang w:val="en-US"/>
        </w:rPr>
        <w:t xml:space="preserve"> </w:t>
      </w:r>
      <w:r w:rsidR="0075560F" w:rsidRPr="00784892">
        <w:rPr>
          <w:rFonts w:ascii="Times New Roman" w:hAnsi="Times New Roman" w:cs="Times New Roman"/>
          <w:sz w:val="20"/>
          <w:szCs w:val="20"/>
          <w:lang w:val="en-US"/>
        </w:rPr>
        <w:t>detail</w:t>
      </w:r>
      <w:r w:rsidRPr="00784892">
        <w:rPr>
          <w:rFonts w:ascii="Times New Roman" w:hAnsi="Times New Roman" w:cs="Times New Roman"/>
          <w:sz w:val="20"/>
          <w:szCs w:val="20"/>
          <w:lang w:val="en-US"/>
        </w:rPr>
        <w:t xml:space="preserve"> of people sunbathing on the cliff and swimming </w:t>
      </w:r>
      <w:r w:rsidR="0075560F" w:rsidRPr="00784892">
        <w:rPr>
          <w:rFonts w:ascii="Times New Roman" w:hAnsi="Times New Roman" w:cs="Times New Roman"/>
          <w:sz w:val="20"/>
          <w:szCs w:val="20"/>
          <w:lang w:val="en-US"/>
        </w:rPr>
        <w:t xml:space="preserve">above </w:t>
      </w:r>
      <w:r w:rsidRPr="00784892">
        <w:rPr>
          <w:rFonts w:ascii="Times New Roman" w:hAnsi="Times New Roman" w:cs="Times New Roman"/>
          <w:sz w:val="20"/>
          <w:szCs w:val="20"/>
          <w:lang w:val="en-US"/>
        </w:rPr>
        <w:t xml:space="preserve">the sampling site; </w:t>
      </w:r>
      <w:r w:rsidRPr="00784892">
        <w:rPr>
          <w:rFonts w:ascii="Times New Roman" w:hAnsi="Times New Roman" w:cs="Times New Roman"/>
          <w:b/>
          <w:sz w:val="20"/>
          <w:szCs w:val="20"/>
          <w:lang w:val="en-US"/>
        </w:rPr>
        <w:t>b)</w:t>
      </w:r>
      <w:r w:rsidRPr="00784892">
        <w:rPr>
          <w:rFonts w:ascii="Times New Roman" w:hAnsi="Times New Roman" w:cs="Times New Roman"/>
          <w:sz w:val="20"/>
          <w:szCs w:val="20"/>
          <w:lang w:val="en-US"/>
        </w:rPr>
        <w:t xml:space="preserve"> </w:t>
      </w:r>
      <w:r w:rsidR="0075560F" w:rsidRPr="00784892">
        <w:rPr>
          <w:rFonts w:ascii="Times New Roman" w:hAnsi="Times New Roman" w:cs="Times New Roman"/>
          <w:sz w:val="20"/>
          <w:szCs w:val="20"/>
          <w:lang w:val="en-US"/>
        </w:rPr>
        <w:t>detail</w:t>
      </w:r>
      <w:r w:rsidRPr="00784892">
        <w:rPr>
          <w:rFonts w:ascii="Times New Roman" w:hAnsi="Times New Roman" w:cs="Times New Roman"/>
          <w:sz w:val="20"/>
          <w:szCs w:val="20"/>
          <w:lang w:val="en-US"/>
        </w:rPr>
        <w:t xml:space="preserve"> of the patch of </w:t>
      </w:r>
      <w:r w:rsidRPr="00784892">
        <w:rPr>
          <w:rFonts w:ascii="Times New Roman" w:hAnsi="Times New Roman" w:cs="Times New Roman"/>
          <w:i/>
          <w:sz w:val="20"/>
          <w:szCs w:val="20"/>
          <w:lang w:val="en-US"/>
        </w:rPr>
        <w:t xml:space="preserve">P. clavata </w:t>
      </w:r>
      <w:r w:rsidRPr="00784892">
        <w:rPr>
          <w:rFonts w:ascii="Times New Roman" w:hAnsi="Times New Roman" w:cs="Times New Roman"/>
          <w:sz w:val="20"/>
          <w:szCs w:val="20"/>
          <w:lang w:val="en-US"/>
        </w:rPr>
        <w:t xml:space="preserve">from which the samples were collected. </w:t>
      </w:r>
    </w:p>
    <w:bookmarkEnd w:id="0"/>
    <w:p w14:paraId="5F3D63BC" w14:textId="77777777" w:rsidR="004142F3" w:rsidRPr="00784892" w:rsidRDefault="004142F3" w:rsidP="004142F3">
      <w:pPr>
        <w:spacing w:line="276" w:lineRule="auto"/>
        <w:jc w:val="both"/>
        <w:rPr>
          <w:rFonts w:ascii="Times New Roman" w:hAnsi="Times New Roman" w:cs="Times New Roman"/>
          <w:sz w:val="20"/>
          <w:szCs w:val="20"/>
          <w:lang w:val="en-US"/>
        </w:rPr>
      </w:pPr>
    </w:p>
    <w:p w14:paraId="51281723" w14:textId="77777777" w:rsidR="004142F3" w:rsidRPr="00784892" w:rsidRDefault="004142F3" w:rsidP="004142F3">
      <w:pPr>
        <w:spacing w:line="276" w:lineRule="auto"/>
        <w:jc w:val="both"/>
        <w:rPr>
          <w:rFonts w:ascii="Times New Roman" w:hAnsi="Times New Roman" w:cs="Times New Roman"/>
          <w:sz w:val="20"/>
          <w:szCs w:val="20"/>
          <w:lang w:val="en-US"/>
        </w:rPr>
      </w:pPr>
    </w:p>
    <w:p w14:paraId="0A0C6C84" w14:textId="77777777" w:rsidR="004142F3" w:rsidRPr="00784892" w:rsidRDefault="004142F3" w:rsidP="004142F3">
      <w:pPr>
        <w:spacing w:line="276" w:lineRule="auto"/>
        <w:jc w:val="both"/>
        <w:rPr>
          <w:rFonts w:ascii="Times New Roman" w:hAnsi="Times New Roman" w:cs="Times New Roman"/>
          <w:sz w:val="20"/>
          <w:szCs w:val="20"/>
          <w:lang w:val="en-US"/>
        </w:rPr>
      </w:pPr>
    </w:p>
    <w:p w14:paraId="19ABAC6B" w14:textId="77777777" w:rsidR="004142F3" w:rsidRPr="00784892" w:rsidRDefault="004142F3" w:rsidP="004142F3">
      <w:pPr>
        <w:spacing w:line="276" w:lineRule="auto"/>
        <w:jc w:val="both"/>
        <w:rPr>
          <w:rFonts w:ascii="Times New Roman" w:hAnsi="Times New Roman" w:cs="Times New Roman"/>
          <w:sz w:val="20"/>
          <w:szCs w:val="20"/>
          <w:lang w:val="en-US"/>
        </w:rPr>
      </w:pPr>
      <w:r w:rsidRPr="00784892">
        <w:rPr>
          <w:rFonts w:ascii="Times New Roman" w:hAnsi="Times New Roman" w:cs="Times New Roman"/>
          <w:noProof/>
          <w:sz w:val="20"/>
          <w:szCs w:val="20"/>
          <w:lang w:val="en-US"/>
        </w:rPr>
        <w:drawing>
          <wp:inline distT="0" distB="0" distL="0" distR="0" wp14:anchorId="210FE20C" wp14:editId="5D97A0B1">
            <wp:extent cx="6178752" cy="3006892"/>
            <wp:effectExtent l="0" t="0" r="0" b="317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78752" cy="3006892"/>
                    </a:xfrm>
                    <a:prstGeom prst="rect">
                      <a:avLst/>
                    </a:prstGeom>
                    <a:ln>
                      <a:noFill/>
                    </a:ln>
                    <a:extLst>
                      <a:ext uri="{53640926-AAD7-44D8-BBD7-CCE9431645EC}">
                        <a14:shadowObscured xmlns:a14="http://schemas.microsoft.com/office/drawing/2010/main"/>
                      </a:ext>
                    </a:extLst>
                  </pic:spPr>
                </pic:pic>
              </a:graphicData>
            </a:graphic>
          </wp:inline>
        </w:drawing>
      </w:r>
    </w:p>
    <w:p w14:paraId="6A023BA4" w14:textId="77777777" w:rsidR="004142F3" w:rsidRPr="00784892" w:rsidRDefault="004142F3" w:rsidP="004142F3">
      <w:pPr>
        <w:spacing w:line="276" w:lineRule="auto"/>
        <w:jc w:val="both"/>
        <w:rPr>
          <w:rFonts w:ascii="Times New Roman" w:hAnsi="Times New Roman" w:cs="Times New Roman"/>
          <w:sz w:val="20"/>
          <w:szCs w:val="20"/>
          <w:lang w:val="en-US"/>
        </w:rPr>
      </w:pPr>
    </w:p>
    <w:p w14:paraId="72B6FA50" w14:textId="77777777" w:rsidR="004142F3" w:rsidRPr="00784892" w:rsidRDefault="004142F3" w:rsidP="004142F3">
      <w:pPr>
        <w:spacing w:line="276" w:lineRule="auto"/>
        <w:jc w:val="both"/>
        <w:rPr>
          <w:rFonts w:ascii="Times New Roman" w:hAnsi="Times New Roman" w:cs="Times New Roman"/>
          <w:sz w:val="20"/>
          <w:szCs w:val="20"/>
          <w:lang w:val="en-US"/>
        </w:rPr>
      </w:pPr>
      <w:bookmarkStart w:id="1" w:name="_Hlk186183574"/>
      <w:r w:rsidRPr="00784892">
        <w:rPr>
          <w:rFonts w:ascii="Times New Roman" w:hAnsi="Times New Roman" w:cs="Times New Roman"/>
          <w:b/>
          <w:sz w:val="20"/>
          <w:lang w:val="en-US"/>
        </w:rPr>
        <w:t>Figure S2.</w:t>
      </w:r>
      <w:r w:rsidRPr="00784892">
        <w:rPr>
          <w:rFonts w:ascii="Times New Roman" w:hAnsi="Times New Roman" w:cs="Times New Roman"/>
          <w:sz w:val="20"/>
          <w:lang w:val="en-US"/>
        </w:rPr>
        <w:t xml:space="preserve"> </w:t>
      </w:r>
      <w:r w:rsidRPr="00784892">
        <w:rPr>
          <w:rFonts w:ascii="Times New Roman" w:hAnsi="Times New Roman" w:cs="Times New Roman"/>
          <w:sz w:val="20"/>
          <w:szCs w:val="20"/>
          <w:lang w:val="en-US"/>
        </w:rPr>
        <w:t xml:space="preserve">Overview of Site A, located inside the Portofino MPA further offshore where only regulated scuba diving activities are permitted to limit the direct human impact on the area: </w:t>
      </w:r>
      <w:r w:rsidRPr="00784892">
        <w:rPr>
          <w:rFonts w:ascii="Times New Roman" w:hAnsi="Times New Roman" w:cs="Times New Roman"/>
          <w:b/>
          <w:sz w:val="20"/>
          <w:szCs w:val="20"/>
          <w:lang w:val="en-US"/>
        </w:rPr>
        <w:t>a)</w:t>
      </w:r>
      <w:r w:rsidRPr="00784892">
        <w:rPr>
          <w:rFonts w:ascii="Times New Roman" w:hAnsi="Times New Roman" w:cs="Times New Roman"/>
          <w:sz w:val="20"/>
          <w:szCs w:val="20"/>
          <w:lang w:val="en-US"/>
        </w:rPr>
        <w:t xml:space="preserve"> </w:t>
      </w:r>
      <w:r w:rsidR="0075560F" w:rsidRPr="00784892">
        <w:rPr>
          <w:rFonts w:ascii="Times New Roman" w:hAnsi="Times New Roman" w:cs="Times New Roman"/>
          <w:sz w:val="20"/>
          <w:szCs w:val="20"/>
          <w:lang w:val="en-US"/>
        </w:rPr>
        <w:t>detail</w:t>
      </w:r>
      <w:r w:rsidRPr="00784892">
        <w:rPr>
          <w:rFonts w:ascii="Times New Roman" w:hAnsi="Times New Roman" w:cs="Times New Roman"/>
          <w:sz w:val="20"/>
          <w:szCs w:val="20"/>
          <w:lang w:val="en-US"/>
        </w:rPr>
        <w:t xml:space="preserve"> of </w:t>
      </w:r>
      <w:r w:rsidR="0075560F" w:rsidRPr="00784892">
        <w:rPr>
          <w:rFonts w:ascii="Times New Roman" w:hAnsi="Times New Roman" w:cs="Times New Roman"/>
          <w:sz w:val="20"/>
          <w:szCs w:val="20"/>
          <w:lang w:val="en-US"/>
        </w:rPr>
        <w:t>the</w:t>
      </w:r>
      <w:r w:rsidRPr="00784892">
        <w:rPr>
          <w:rFonts w:ascii="Times New Roman" w:hAnsi="Times New Roman" w:cs="Times New Roman"/>
          <w:sz w:val="20"/>
          <w:szCs w:val="20"/>
          <w:lang w:val="en-US"/>
        </w:rPr>
        <w:t xml:space="preserve"> diving boat in navigation toward the site; </w:t>
      </w:r>
      <w:r w:rsidRPr="00784892">
        <w:rPr>
          <w:rFonts w:ascii="Times New Roman" w:hAnsi="Times New Roman" w:cs="Times New Roman"/>
          <w:b/>
          <w:sz w:val="20"/>
          <w:szCs w:val="20"/>
          <w:lang w:val="en-US"/>
        </w:rPr>
        <w:t>b)</w:t>
      </w:r>
      <w:r w:rsidRPr="00784892">
        <w:rPr>
          <w:rFonts w:ascii="Times New Roman" w:hAnsi="Times New Roman" w:cs="Times New Roman"/>
          <w:sz w:val="20"/>
          <w:szCs w:val="20"/>
          <w:lang w:val="en-US"/>
        </w:rPr>
        <w:t xml:space="preserve"> </w:t>
      </w:r>
      <w:r w:rsidR="0075560F" w:rsidRPr="00784892">
        <w:rPr>
          <w:rFonts w:ascii="Times New Roman" w:hAnsi="Times New Roman" w:cs="Times New Roman"/>
          <w:sz w:val="20"/>
          <w:szCs w:val="20"/>
          <w:lang w:val="en-US"/>
        </w:rPr>
        <w:t>detail</w:t>
      </w:r>
      <w:r w:rsidRPr="00784892">
        <w:rPr>
          <w:rFonts w:ascii="Times New Roman" w:hAnsi="Times New Roman" w:cs="Times New Roman"/>
          <w:sz w:val="20"/>
          <w:szCs w:val="20"/>
          <w:lang w:val="en-US"/>
        </w:rPr>
        <w:t xml:space="preserve"> of the rich </w:t>
      </w:r>
      <w:r w:rsidRPr="00784892">
        <w:rPr>
          <w:rFonts w:ascii="Times New Roman" w:hAnsi="Times New Roman" w:cs="Times New Roman"/>
          <w:i/>
          <w:sz w:val="20"/>
          <w:szCs w:val="20"/>
          <w:lang w:val="en-US"/>
        </w:rPr>
        <w:t xml:space="preserve">P. clavata </w:t>
      </w:r>
      <w:r w:rsidRPr="00784892">
        <w:rPr>
          <w:rFonts w:ascii="Times New Roman" w:hAnsi="Times New Roman" w:cs="Times New Roman"/>
          <w:sz w:val="20"/>
          <w:szCs w:val="20"/>
          <w:lang w:val="en-US"/>
        </w:rPr>
        <w:t xml:space="preserve">forest present, from which the samples were collected. </w:t>
      </w:r>
    </w:p>
    <w:bookmarkEnd w:id="1"/>
    <w:p w14:paraId="70ADB2F0" w14:textId="77777777" w:rsidR="004142F3" w:rsidRPr="00784892" w:rsidRDefault="004142F3" w:rsidP="004142F3">
      <w:pPr>
        <w:spacing w:line="276" w:lineRule="auto"/>
        <w:jc w:val="both"/>
        <w:rPr>
          <w:rFonts w:ascii="Times New Roman" w:hAnsi="Times New Roman" w:cs="Times New Roman"/>
          <w:sz w:val="20"/>
          <w:szCs w:val="20"/>
          <w:lang w:val="en-US"/>
        </w:rPr>
      </w:pPr>
    </w:p>
    <w:p w14:paraId="52B6A656" w14:textId="77777777" w:rsidR="004142F3" w:rsidRPr="00784892" w:rsidRDefault="004142F3" w:rsidP="004142F3">
      <w:pPr>
        <w:spacing w:line="276" w:lineRule="auto"/>
        <w:jc w:val="both"/>
        <w:rPr>
          <w:rFonts w:ascii="Times New Roman" w:hAnsi="Times New Roman" w:cs="Times New Roman"/>
          <w:sz w:val="20"/>
          <w:szCs w:val="20"/>
          <w:lang w:val="en-US"/>
        </w:rPr>
      </w:pPr>
    </w:p>
    <w:p w14:paraId="4418028A" w14:textId="77777777" w:rsidR="004142F3" w:rsidRPr="00784892" w:rsidRDefault="004142F3" w:rsidP="004142F3">
      <w:pPr>
        <w:spacing w:line="276" w:lineRule="auto"/>
        <w:jc w:val="both"/>
        <w:rPr>
          <w:rFonts w:ascii="Times New Roman" w:hAnsi="Times New Roman" w:cs="Times New Roman"/>
          <w:sz w:val="20"/>
          <w:szCs w:val="20"/>
          <w:lang w:val="en-US"/>
        </w:rPr>
      </w:pPr>
    </w:p>
    <w:p w14:paraId="6826450B" w14:textId="77777777" w:rsidR="004142F3" w:rsidRPr="00784892" w:rsidRDefault="004142F3" w:rsidP="004142F3">
      <w:pPr>
        <w:spacing w:line="276" w:lineRule="auto"/>
        <w:jc w:val="both"/>
        <w:rPr>
          <w:rFonts w:ascii="Times New Roman" w:hAnsi="Times New Roman" w:cs="Times New Roman"/>
          <w:sz w:val="20"/>
          <w:szCs w:val="20"/>
          <w:lang w:val="en-US"/>
        </w:rPr>
      </w:pPr>
    </w:p>
    <w:p w14:paraId="1F3399D4" w14:textId="77777777" w:rsidR="004142F3" w:rsidRDefault="004142F3" w:rsidP="004142F3">
      <w:pPr>
        <w:spacing w:line="276" w:lineRule="auto"/>
        <w:jc w:val="both"/>
        <w:rPr>
          <w:rFonts w:ascii="Times New Roman" w:hAnsi="Times New Roman" w:cs="Times New Roman"/>
          <w:sz w:val="20"/>
          <w:szCs w:val="20"/>
          <w:lang w:val="en-US"/>
        </w:rPr>
      </w:pPr>
    </w:p>
    <w:p w14:paraId="19A123E6" w14:textId="77777777" w:rsidR="00784892" w:rsidRDefault="00784892" w:rsidP="004142F3">
      <w:pPr>
        <w:spacing w:line="276" w:lineRule="auto"/>
        <w:jc w:val="both"/>
        <w:rPr>
          <w:rFonts w:ascii="Times New Roman" w:hAnsi="Times New Roman" w:cs="Times New Roman"/>
          <w:sz w:val="20"/>
          <w:szCs w:val="20"/>
          <w:lang w:val="en-US"/>
        </w:rPr>
      </w:pPr>
    </w:p>
    <w:p w14:paraId="55EAE5C7" w14:textId="77777777" w:rsidR="00784892" w:rsidRDefault="00784892" w:rsidP="004142F3">
      <w:pPr>
        <w:spacing w:line="276" w:lineRule="auto"/>
        <w:jc w:val="both"/>
        <w:rPr>
          <w:rFonts w:ascii="Times New Roman" w:hAnsi="Times New Roman" w:cs="Times New Roman"/>
          <w:sz w:val="20"/>
          <w:szCs w:val="20"/>
          <w:lang w:val="en-US"/>
        </w:rPr>
      </w:pPr>
    </w:p>
    <w:p w14:paraId="2F7DD81D" w14:textId="77777777" w:rsidR="00784892" w:rsidRPr="00784892" w:rsidRDefault="00784892" w:rsidP="004142F3">
      <w:pPr>
        <w:spacing w:line="276" w:lineRule="auto"/>
        <w:jc w:val="both"/>
        <w:rPr>
          <w:rFonts w:ascii="Times New Roman" w:hAnsi="Times New Roman" w:cs="Times New Roman"/>
          <w:sz w:val="20"/>
          <w:szCs w:val="20"/>
          <w:lang w:val="en-US"/>
        </w:rPr>
      </w:pPr>
    </w:p>
    <w:p w14:paraId="55D98FE5" w14:textId="77777777" w:rsidR="00855077" w:rsidRPr="00784892" w:rsidRDefault="00855077" w:rsidP="00B20A16">
      <w:pPr>
        <w:spacing w:line="276" w:lineRule="auto"/>
        <w:jc w:val="both"/>
        <w:rPr>
          <w:rFonts w:ascii="Times New Roman" w:hAnsi="Times New Roman" w:cs="Times New Roman"/>
          <w:b/>
          <w:color w:val="000000" w:themeColor="text1"/>
          <w:sz w:val="20"/>
          <w:szCs w:val="22"/>
          <w:lang w:val="en-US"/>
        </w:rPr>
      </w:pPr>
      <w:r w:rsidRPr="00784892">
        <w:rPr>
          <w:rFonts w:ascii="Times New Roman" w:hAnsi="Times New Roman" w:cs="Times New Roman"/>
          <w:b/>
          <w:color w:val="000000" w:themeColor="text1"/>
          <w:sz w:val="20"/>
          <w:szCs w:val="22"/>
          <w:lang w:val="en-US"/>
        </w:rPr>
        <w:lastRenderedPageBreak/>
        <w:t>SUPPLEMENTARY INFORMATION</w:t>
      </w:r>
    </w:p>
    <w:p w14:paraId="16721FAF" w14:textId="77777777" w:rsidR="00855077" w:rsidRPr="00784892" w:rsidRDefault="00855077" w:rsidP="00B20A16">
      <w:pPr>
        <w:spacing w:line="276" w:lineRule="auto"/>
        <w:jc w:val="both"/>
        <w:rPr>
          <w:rFonts w:ascii="Times New Roman" w:hAnsi="Times New Roman" w:cs="Times New Roman"/>
          <w:sz w:val="20"/>
          <w:szCs w:val="22"/>
          <w:lang w:val="en-US"/>
        </w:rPr>
      </w:pPr>
    </w:p>
    <w:p w14:paraId="2598DAC4" w14:textId="1EE14259" w:rsidR="00821E1C" w:rsidRPr="00784892" w:rsidRDefault="00821E1C" w:rsidP="00B20A16">
      <w:pPr>
        <w:spacing w:line="276" w:lineRule="auto"/>
        <w:jc w:val="both"/>
        <w:rPr>
          <w:rFonts w:ascii="Times New Roman" w:hAnsi="Times New Roman" w:cs="Times New Roman"/>
          <w:b/>
          <w:sz w:val="20"/>
          <w:szCs w:val="22"/>
          <w:lang w:val="en-US"/>
        </w:rPr>
      </w:pPr>
      <w:r w:rsidRPr="00784892">
        <w:rPr>
          <w:rFonts w:ascii="Times New Roman" w:hAnsi="Times New Roman" w:cs="Times New Roman"/>
          <w:b/>
          <w:sz w:val="20"/>
          <w:szCs w:val="22"/>
          <w:lang w:val="en-US"/>
        </w:rPr>
        <w:t>S</w:t>
      </w:r>
      <w:r>
        <w:rPr>
          <w:rFonts w:ascii="Times New Roman" w:hAnsi="Times New Roman" w:cs="Times New Roman"/>
          <w:b/>
          <w:sz w:val="20"/>
          <w:szCs w:val="22"/>
          <w:lang w:val="en-US"/>
        </w:rPr>
        <w:t>1</w:t>
      </w:r>
      <w:r w:rsidRPr="00784892">
        <w:rPr>
          <w:rFonts w:ascii="Times New Roman" w:hAnsi="Times New Roman" w:cs="Times New Roman"/>
          <w:b/>
          <w:sz w:val="20"/>
          <w:szCs w:val="22"/>
          <w:lang w:val="en-US"/>
        </w:rPr>
        <w:t>. Chemicals and materials</w:t>
      </w:r>
    </w:p>
    <w:p w14:paraId="740D46A0" w14:textId="3C5B5585" w:rsidR="00821E1C" w:rsidRDefault="00821E1C" w:rsidP="00B20A16">
      <w:pPr>
        <w:spacing w:line="276" w:lineRule="auto"/>
        <w:jc w:val="both"/>
        <w:rPr>
          <w:rFonts w:ascii="Times New Roman" w:hAnsi="Times New Roman" w:cs="Times New Roman"/>
          <w:sz w:val="20"/>
          <w:szCs w:val="22"/>
          <w:lang w:val="en-US"/>
        </w:rPr>
      </w:pPr>
      <w:r w:rsidRPr="00784892">
        <w:rPr>
          <w:rFonts w:ascii="Times New Roman" w:hAnsi="Times New Roman" w:cs="Times New Roman"/>
          <w:sz w:val="20"/>
          <w:szCs w:val="22"/>
          <w:lang w:val="en-US"/>
        </w:rPr>
        <w:t xml:space="preserve">C18 SPME fiber probes (45 </w:t>
      </w:r>
      <w:proofErr w:type="spellStart"/>
      <w:r w:rsidRPr="00784892">
        <w:rPr>
          <w:rFonts w:ascii="Times New Roman" w:hAnsi="Times New Roman" w:cs="Times New Roman"/>
          <w:sz w:val="20"/>
          <w:szCs w:val="22"/>
          <w:lang w:val="en-US"/>
        </w:rPr>
        <w:t>μm</w:t>
      </w:r>
      <w:proofErr w:type="spellEnd"/>
      <w:r w:rsidRPr="00784892">
        <w:rPr>
          <w:rFonts w:ascii="Times New Roman" w:hAnsi="Times New Roman" w:cs="Times New Roman"/>
          <w:sz w:val="20"/>
          <w:szCs w:val="22"/>
          <w:lang w:val="en-US"/>
        </w:rPr>
        <w:t>, 1.5 cm coating length) were purchased from Sigma Aldrich (Milano, Italy</w:t>
      </w:r>
      <w:r>
        <w:rPr>
          <w:rFonts w:ascii="Times New Roman" w:hAnsi="Times New Roman" w:cs="Times New Roman"/>
          <w:sz w:val="20"/>
          <w:szCs w:val="22"/>
          <w:lang w:val="en-US"/>
        </w:rPr>
        <w:t>)</w:t>
      </w:r>
      <w:r w:rsidRPr="00784892">
        <w:rPr>
          <w:rFonts w:ascii="Times New Roman" w:hAnsi="Times New Roman" w:cs="Times New Roman"/>
          <w:sz w:val="20"/>
          <w:szCs w:val="22"/>
          <w:lang w:val="en-US"/>
        </w:rPr>
        <w:t>. The fibers were conditioned according to instructions provided by the supplier. UV filter chemicals (oxybenzone (2-hydroxy-4-methoxybenzophenone)</w:t>
      </w:r>
      <w:r>
        <w:rPr>
          <w:rFonts w:ascii="Times New Roman" w:hAnsi="Times New Roman" w:cs="Times New Roman"/>
          <w:sz w:val="20"/>
          <w:szCs w:val="22"/>
          <w:lang w:val="en-US"/>
        </w:rPr>
        <w:t xml:space="preserve">, </w:t>
      </w:r>
      <w:r w:rsidRPr="00784892">
        <w:rPr>
          <w:rFonts w:ascii="Times New Roman" w:hAnsi="Times New Roman" w:cs="Times New Roman"/>
          <w:sz w:val="20"/>
          <w:szCs w:val="22"/>
          <w:lang w:val="en-US"/>
        </w:rPr>
        <w:t>octinoxate (</w:t>
      </w:r>
      <w:proofErr w:type="spellStart"/>
      <w:r w:rsidRPr="00784892">
        <w:rPr>
          <w:rFonts w:ascii="Times New Roman" w:hAnsi="Times New Roman" w:cs="Times New Roman"/>
          <w:sz w:val="20"/>
          <w:szCs w:val="22"/>
          <w:lang w:val="en-US"/>
        </w:rPr>
        <w:t>ethylhexyl</w:t>
      </w:r>
      <w:proofErr w:type="spellEnd"/>
      <w:r w:rsidRPr="00784892">
        <w:rPr>
          <w:rFonts w:ascii="Times New Roman" w:hAnsi="Times New Roman" w:cs="Times New Roman"/>
          <w:sz w:val="20"/>
          <w:szCs w:val="22"/>
          <w:lang w:val="en-US"/>
        </w:rPr>
        <w:t xml:space="preserve"> methoxycinnamate), Oxybenzone-(phenyl-d5), N-Methyl-N-(trimethylsilyl) trifluoroacetamide (MSTFA), hydrochloric acid (37%) sodium chloride, HPLC-grade methanol</w:t>
      </w:r>
      <w:r>
        <w:rPr>
          <w:rFonts w:ascii="Times New Roman" w:hAnsi="Times New Roman" w:cs="Times New Roman"/>
          <w:sz w:val="20"/>
          <w:szCs w:val="22"/>
          <w:lang w:val="en-US"/>
        </w:rPr>
        <w:t>,</w:t>
      </w:r>
      <w:r w:rsidRPr="00784892">
        <w:rPr>
          <w:rFonts w:ascii="Times New Roman" w:hAnsi="Times New Roman" w:cs="Times New Roman"/>
          <w:sz w:val="20"/>
          <w:szCs w:val="22"/>
          <w:lang w:val="en-US"/>
        </w:rPr>
        <w:t xml:space="preserve"> and acetonitrile were purchased from Merck Chemicals S.P.A (Milano, Italy, www.sigmaaldrich.it). UV filter stock solutions were prepared in methanol at 10 mg/mL and stored at 4ºC. Working standard solutions were prepared by dilution of stock solutions in Ultra-pure water. Agarose gel spiked at 0.5, 1, 2, 10, 25, 50, and 100 ng/g was used as a reference for the matrix-matched calibration.</w:t>
      </w:r>
    </w:p>
    <w:p w14:paraId="16ECB0A7" w14:textId="11ACF200" w:rsidR="00821E1C" w:rsidRDefault="00821E1C" w:rsidP="00B20A16">
      <w:pPr>
        <w:spacing w:line="276" w:lineRule="auto"/>
        <w:jc w:val="both"/>
        <w:rPr>
          <w:rFonts w:ascii="Times New Roman" w:hAnsi="Times New Roman" w:cs="Times New Roman"/>
          <w:sz w:val="18"/>
          <w:szCs w:val="20"/>
          <w:lang w:val="en-US"/>
        </w:rPr>
      </w:pPr>
    </w:p>
    <w:p w14:paraId="401468DB" w14:textId="3D1088A3" w:rsidR="00821E1C" w:rsidRPr="00821E1C" w:rsidRDefault="00821E1C" w:rsidP="00B20A16">
      <w:pPr>
        <w:spacing w:line="276" w:lineRule="auto"/>
        <w:jc w:val="both"/>
        <w:rPr>
          <w:rFonts w:ascii="Times New Roman" w:hAnsi="Times New Roman" w:cs="Times New Roman"/>
          <w:b/>
          <w:sz w:val="20"/>
          <w:szCs w:val="22"/>
          <w:lang w:val="en-US"/>
        </w:rPr>
      </w:pPr>
      <w:r w:rsidRPr="00784892">
        <w:rPr>
          <w:rFonts w:ascii="Times New Roman" w:hAnsi="Times New Roman" w:cs="Times New Roman"/>
          <w:b/>
          <w:sz w:val="20"/>
          <w:szCs w:val="22"/>
          <w:lang w:val="en-US"/>
        </w:rPr>
        <w:t>S2. SPME sampling</w:t>
      </w:r>
    </w:p>
    <w:p w14:paraId="6A0781EE" w14:textId="493816E6" w:rsidR="00821E1C" w:rsidRPr="00784892" w:rsidRDefault="00821E1C" w:rsidP="00B20A16">
      <w:pPr>
        <w:spacing w:line="276" w:lineRule="auto"/>
        <w:jc w:val="both"/>
        <w:rPr>
          <w:rFonts w:ascii="Times New Roman" w:hAnsi="Times New Roman" w:cs="Times New Roman"/>
          <w:sz w:val="20"/>
          <w:szCs w:val="22"/>
          <w:lang w:val="en-US"/>
        </w:rPr>
      </w:pPr>
      <w:r w:rsidRPr="00784892">
        <w:rPr>
          <w:rFonts w:ascii="Times New Roman" w:hAnsi="Times New Roman" w:cs="Times New Roman"/>
          <w:sz w:val="20"/>
          <w:szCs w:val="22"/>
          <w:lang w:val="en-US"/>
        </w:rPr>
        <w:t xml:space="preserve">SPME sampling was performed in direct immersion mode (DI) following an adaptation of the method described by Ocaña-Rios (Ocaña-Rios et al. 2019). Briefly, </w:t>
      </w:r>
      <w:r>
        <w:rPr>
          <w:rFonts w:ascii="Times New Roman" w:hAnsi="Times New Roman" w:cs="Times New Roman"/>
          <w:sz w:val="20"/>
          <w:szCs w:val="22"/>
          <w:lang w:val="en-US"/>
        </w:rPr>
        <w:t xml:space="preserve">the fiber was inserted in the coral tissues (or in the seawater sample), and </w:t>
      </w:r>
      <w:r w:rsidRPr="00784892">
        <w:rPr>
          <w:rFonts w:ascii="Times New Roman" w:hAnsi="Times New Roman" w:cs="Times New Roman"/>
          <w:sz w:val="20"/>
          <w:szCs w:val="22"/>
          <w:lang w:val="en-US"/>
        </w:rPr>
        <w:t xml:space="preserve">extraction time was set up at 30 min at 25 °C. After sampling, the fiber was withdrawn, rinsed with deionized water, and then desorbed with 250 </w:t>
      </w:r>
      <w:proofErr w:type="spellStart"/>
      <w:r w:rsidRPr="00784892">
        <w:rPr>
          <w:rFonts w:ascii="Times New Roman" w:hAnsi="Times New Roman" w:cs="Times New Roman"/>
          <w:sz w:val="20"/>
          <w:szCs w:val="22"/>
          <w:lang w:val="en-US"/>
        </w:rPr>
        <w:t>μL</w:t>
      </w:r>
      <w:proofErr w:type="spellEnd"/>
      <w:r w:rsidRPr="00784892">
        <w:rPr>
          <w:rFonts w:ascii="Times New Roman" w:hAnsi="Times New Roman" w:cs="Times New Roman"/>
          <w:sz w:val="20"/>
          <w:szCs w:val="22"/>
          <w:lang w:val="en-US"/>
        </w:rPr>
        <w:t xml:space="preserve"> of acetonitrile </w:t>
      </w:r>
      <w:r>
        <w:rPr>
          <w:rFonts w:ascii="Times New Roman" w:hAnsi="Times New Roman" w:cs="Times New Roman"/>
          <w:sz w:val="20"/>
          <w:szCs w:val="22"/>
          <w:lang w:val="en-US"/>
        </w:rPr>
        <w:t xml:space="preserve">under stirring </w:t>
      </w:r>
      <w:r w:rsidRPr="00784892">
        <w:rPr>
          <w:rFonts w:ascii="Times New Roman" w:hAnsi="Times New Roman" w:cs="Times New Roman"/>
          <w:sz w:val="20"/>
          <w:szCs w:val="22"/>
          <w:lang w:val="en-US"/>
        </w:rPr>
        <w:t xml:space="preserve">(500 rpm, </w:t>
      </w:r>
      <w:r>
        <w:rPr>
          <w:rFonts w:ascii="Times New Roman" w:hAnsi="Times New Roman" w:cs="Times New Roman"/>
          <w:sz w:val="20"/>
          <w:szCs w:val="22"/>
          <w:lang w:val="en-US"/>
        </w:rPr>
        <w:t>40 min</w:t>
      </w:r>
      <w:r w:rsidRPr="00784892">
        <w:rPr>
          <w:rFonts w:ascii="Times New Roman" w:hAnsi="Times New Roman" w:cs="Times New Roman"/>
          <w:sz w:val="20"/>
          <w:szCs w:val="22"/>
          <w:lang w:val="en-US"/>
        </w:rPr>
        <w:t>). The extract w</w:t>
      </w:r>
      <w:r>
        <w:rPr>
          <w:rFonts w:ascii="Times New Roman" w:hAnsi="Times New Roman" w:cs="Times New Roman"/>
          <w:sz w:val="20"/>
          <w:szCs w:val="22"/>
          <w:lang w:val="en-US"/>
        </w:rPr>
        <w:t>as then</w:t>
      </w:r>
      <w:r w:rsidRPr="00784892">
        <w:rPr>
          <w:rFonts w:ascii="Times New Roman" w:hAnsi="Times New Roman" w:cs="Times New Roman"/>
          <w:sz w:val="20"/>
          <w:szCs w:val="22"/>
          <w:lang w:val="en-US"/>
        </w:rPr>
        <w:t xml:space="preserve"> evaporated to dryness with a gentle flow of nitrogen and derivatized with 40 </w:t>
      </w:r>
      <w:proofErr w:type="spellStart"/>
      <w:r w:rsidRPr="00784892">
        <w:rPr>
          <w:rFonts w:ascii="Times New Roman" w:hAnsi="Times New Roman" w:cs="Times New Roman"/>
          <w:sz w:val="20"/>
          <w:szCs w:val="22"/>
          <w:lang w:val="en-US"/>
        </w:rPr>
        <w:t>μL</w:t>
      </w:r>
      <w:proofErr w:type="spellEnd"/>
      <w:r w:rsidRPr="00784892">
        <w:rPr>
          <w:rFonts w:ascii="Times New Roman" w:hAnsi="Times New Roman" w:cs="Times New Roman"/>
          <w:sz w:val="20"/>
          <w:szCs w:val="22"/>
          <w:lang w:val="en-US"/>
        </w:rPr>
        <w:t xml:space="preserve"> of MSTFA (60°C for 30 min); after cooling, 10 ng of internal standard was added and analyzed by GC-MS. Under the optimized conditions, the SPME-GC/MS method showed a linear response in the concentration range of 0.5–100 ng/g with correlation coefficients of 0.990–0.999. The LOQ calculated from the matrix-matched calibration curves resulted in 0.012 µg/g </w:t>
      </w:r>
      <w:proofErr w:type="spellStart"/>
      <w:r w:rsidRPr="00784892">
        <w:rPr>
          <w:rFonts w:ascii="Times New Roman" w:hAnsi="Times New Roman" w:cs="Times New Roman"/>
          <w:sz w:val="20"/>
          <w:szCs w:val="22"/>
          <w:lang w:val="en-US"/>
        </w:rPr>
        <w:t>d.w</w:t>
      </w:r>
      <w:proofErr w:type="spellEnd"/>
      <w:r w:rsidRPr="00784892">
        <w:rPr>
          <w:rFonts w:ascii="Times New Roman" w:hAnsi="Times New Roman" w:cs="Times New Roman"/>
          <w:sz w:val="20"/>
          <w:szCs w:val="22"/>
          <w:lang w:val="en-US"/>
        </w:rPr>
        <w:t xml:space="preserve">. for oxybenzone and 0.005 µg/g for octinoxate. Surface water samples were filtered through a 1.2-μm glass-fiber filter and acidified with 0.1% (v/v) 3M HCl, and the analysis was conducted using the protocol reported by </w:t>
      </w:r>
      <w:proofErr w:type="spellStart"/>
      <w:r w:rsidRPr="00784892">
        <w:rPr>
          <w:rFonts w:ascii="Times New Roman" w:hAnsi="Times New Roman" w:cs="Times New Roman"/>
          <w:sz w:val="20"/>
          <w:szCs w:val="22"/>
          <w:lang w:val="en-US"/>
        </w:rPr>
        <w:t>Yılmazcan</w:t>
      </w:r>
      <w:proofErr w:type="spellEnd"/>
      <w:r w:rsidRPr="00784892">
        <w:rPr>
          <w:rFonts w:ascii="Times New Roman" w:hAnsi="Times New Roman" w:cs="Times New Roman"/>
          <w:sz w:val="20"/>
          <w:szCs w:val="22"/>
          <w:lang w:val="en-US"/>
        </w:rPr>
        <w:t xml:space="preserve"> Ö et al. 2015.</w:t>
      </w:r>
    </w:p>
    <w:p w14:paraId="32CCAA5D" w14:textId="77777777" w:rsidR="00821E1C" w:rsidRPr="00784892" w:rsidRDefault="00821E1C" w:rsidP="00B20A16">
      <w:pPr>
        <w:spacing w:line="276" w:lineRule="auto"/>
        <w:jc w:val="both"/>
        <w:rPr>
          <w:rFonts w:ascii="Times New Roman" w:hAnsi="Times New Roman" w:cs="Times New Roman"/>
          <w:sz w:val="18"/>
          <w:szCs w:val="20"/>
          <w:lang w:val="en-US"/>
        </w:rPr>
      </w:pPr>
    </w:p>
    <w:p w14:paraId="333627BC" w14:textId="2C93D397" w:rsidR="00855077" w:rsidRPr="00784892" w:rsidRDefault="00855077" w:rsidP="00B20A16">
      <w:pPr>
        <w:spacing w:line="276" w:lineRule="auto"/>
        <w:jc w:val="both"/>
        <w:rPr>
          <w:rFonts w:ascii="Times New Roman" w:hAnsi="Times New Roman" w:cs="Times New Roman"/>
          <w:b/>
          <w:sz w:val="20"/>
          <w:szCs w:val="22"/>
          <w:lang w:val="en-US"/>
        </w:rPr>
      </w:pPr>
      <w:r w:rsidRPr="00784892">
        <w:rPr>
          <w:rFonts w:ascii="Times New Roman" w:hAnsi="Times New Roman" w:cs="Times New Roman"/>
          <w:b/>
          <w:sz w:val="20"/>
          <w:szCs w:val="22"/>
          <w:lang w:val="en-US"/>
        </w:rPr>
        <w:t>S</w:t>
      </w:r>
      <w:r w:rsidR="00821E1C">
        <w:rPr>
          <w:rFonts w:ascii="Times New Roman" w:hAnsi="Times New Roman" w:cs="Times New Roman"/>
          <w:b/>
          <w:sz w:val="20"/>
          <w:szCs w:val="22"/>
          <w:lang w:val="en-US"/>
        </w:rPr>
        <w:t>3</w:t>
      </w:r>
      <w:r w:rsidR="00E3231A" w:rsidRPr="00784892">
        <w:rPr>
          <w:rFonts w:ascii="Times New Roman" w:hAnsi="Times New Roman" w:cs="Times New Roman"/>
          <w:b/>
          <w:sz w:val="20"/>
          <w:szCs w:val="22"/>
          <w:lang w:val="en-US"/>
        </w:rPr>
        <w:t>.</w:t>
      </w:r>
      <w:r w:rsidRPr="00784892">
        <w:rPr>
          <w:rFonts w:ascii="Times New Roman" w:hAnsi="Times New Roman" w:cs="Times New Roman"/>
          <w:b/>
          <w:sz w:val="20"/>
          <w:szCs w:val="22"/>
          <w:lang w:val="en-US"/>
        </w:rPr>
        <w:t xml:space="preserve"> </w:t>
      </w:r>
      <w:r w:rsidR="00821E1C">
        <w:rPr>
          <w:rFonts w:ascii="Times New Roman" w:hAnsi="Times New Roman" w:cs="Times New Roman"/>
          <w:b/>
          <w:sz w:val="20"/>
          <w:szCs w:val="22"/>
          <w:lang w:val="en-US"/>
        </w:rPr>
        <w:t>GC-MS a</w:t>
      </w:r>
      <w:r w:rsidRPr="00784892">
        <w:rPr>
          <w:rFonts w:ascii="Times New Roman" w:hAnsi="Times New Roman" w:cs="Times New Roman"/>
          <w:b/>
          <w:sz w:val="20"/>
          <w:szCs w:val="22"/>
          <w:lang w:val="en-US"/>
        </w:rPr>
        <w:t>naly</w:t>
      </w:r>
      <w:r w:rsidR="00821E1C">
        <w:rPr>
          <w:rFonts w:ascii="Times New Roman" w:hAnsi="Times New Roman" w:cs="Times New Roman"/>
          <w:b/>
          <w:sz w:val="20"/>
          <w:szCs w:val="22"/>
          <w:lang w:val="en-US"/>
        </w:rPr>
        <w:t>sis</w:t>
      </w:r>
    </w:p>
    <w:p w14:paraId="3F9F22C0" w14:textId="07D34522" w:rsidR="00855077" w:rsidRPr="00784892" w:rsidRDefault="00855077" w:rsidP="00B20A16">
      <w:pPr>
        <w:spacing w:line="276" w:lineRule="auto"/>
        <w:jc w:val="both"/>
        <w:rPr>
          <w:rFonts w:ascii="Times New Roman" w:hAnsi="Times New Roman" w:cs="Times New Roman"/>
          <w:sz w:val="20"/>
          <w:szCs w:val="22"/>
          <w:lang w:val="en-US"/>
        </w:rPr>
      </w:pPr>
      <w:r w:rsidRPr="00784892">
        <w:rPr>
          <w:rFonts w:ascii="Times New Roman" w:hAnsi="Times New Roman" w:cs="Times New Roman"/>
          <w:sz w:val="20"/>
          <w:szCs w:val="22"/>
          <w:lang w:val="en-US"/>
        </w:rPr>
        <w:t xml:space="preserve">GC-MS analyses were carried out using an Agilent 8860 instrument equipped with a 5977B single quadrupole detector. The GC injector was operated in </w:t>
      </w:r>
      <w:proofErr w:type="spellStart"/>
      <w:r w:rsidRPr="00784892">
        <w:rPr>
          <w:rFonts w:ascii="Times New Roman" w:hAnsi="Times New Roman" w:cs="Times New Roman"/>
          <w:sz w:val="20"/>
          <w:szCs w:val="22"/>
          <w:lang w:val="en-US"/>
        </w:rPr>
        <w:t>splitless</w:t>
      </w:r>
      <w:proofErr w:type="spellEnd"/>
      <w:r w:rsidRPr="00784892">
        <w:rPr>
          <w:rFonts w:ascii="Times New Roman" w:hAnsi="Times New Roman" w:cs="Times New Roman"/>
          <w:sz w:val="20"/>
          <w:szCs w:val="22"/>
          <w:lang w:val="en-US"/>
        </w:rPr>
        <w:t xml:space="preserve"> mode at 260°C. The injection volume was 1 µL. Analytes were separated with a non-polar HP-5MS UI (Agilent Technologies, USA) capillary column with 5% phenyl/95% dimethyl polysiloxane and dimensions of 30 m × 0.250 mm, film thickness 0.25 </w:t>
      </w:r>
      <w:proofErr w:type="spellStart"/>
      <w:r w:rsidRPr="00784892">
        <w:rPr>
          <w:rFonts w:ascii="Times New Roman" w:hAnsi="Times New Roman" w:cs="Times New Roman"/>
          <w:sz w:val="20"/>
          <w:szCs w:val="22"/>
          <w:lang w:val="en-US"/>
        </w:rPr>
        <w:t>μm</w:t>
      </w:r>
      <w:proofErr w:type="spellEnd"/>
      <w:r w:rsidRPr="00784892">
        <w:rPr>
          <w:rFonts w:ascii="Times New Roman" w:hAnsi="Times New Roman" w:cs="Times New Roman"/>
          <w:sz w:val="20"/>
          <w:szCs w:val="22"/>
          <w:lang w:val="en-US"/>
        </w:rPr>
        <w:t xml:space="preserve">. Helium (purity &gt; 99.999%, Sapio, Italy) was used as carrier gas at </w:t>
      </w:r>
      <w:r w:rsidR="00E3231A" w:rsidRPr="00784892">
        <w:rPr>
          <w:rFonts w:ascii="Times New Roman" w:hAnsi="Times New Roman" w:cs="Times New Roman"/>
          <w:sz w:val="20"/>
          <w:szCs w:val="22"/>
          <w:lang w:val="en-US"/>
        </w:rPr>
        <w:t xml:space="preserve">a </w:t>
      </w:r>
      <w:r w:rsidRPr="00784892">
        <w:rPr>
          <w:rFonts w:ascii="Times New Roman" w:hAnsi="Times New Roman" w:cs="Times New Roman"/>
          <w:sz w:val="20"/>
          <w:szCs w:val="22"/>
          <w:lang w:val="en-US"/>
        </w:rPr>
        <w:t xml:space="preserve">constant low rate of 1 mL/min. The oven temperature was programmed for a total analysis time of 20 min per sample as follows: 2 min at 50°C, then increased to 110 °C at 20°C/min, then further increased to 300°C at 50 C/min, which was held for 5 min. </w:t>
      </w:r>
    </w:p>
    <w:p w14:paraId="5704F637" w14:textId="77777777" w:rsidR="00855077" w:rsidRPr="00784892" w:rsidRDefault="00855077" w:rsidP="00B20A16">
      <w:pPr>
        <w:spacing w:line="276" w:lineRule="auto"/>
        <w:jc w:val="both"/>
        <w:rPr>
          <w:rFonts w:ascii="Times New Roman" w:hAnsi="Times New Roman" w:cs="Times New Roman"/>
          <w:sz w:val="20"/>
          <w:szCs w:val="22"/>
          <w:lang w:val="en-US"/>
        </w:rPr>
      </w:pPr>
      <w:r w:rsidRPr="00784892">
        <w:rPr>
          <w:rFonts w:ascii="Times New Roman" w:hAnsi="Times New Roman" w:cs="Times New Roman"/>
          <w:sz w:val="20"/>
          <w:szCs w:val="22"/>
          <w:lang w:val="en-US"/>
        </w:rPr>
        <w:t xml:space="preserve">Mass spectrometric detection was performed </w:t>
      </w:r>
      <w:r w:rsidR="00E3231A" w:rsidRPr="00784892">
        <w:rPr>
          <w:rFonts w:ascii="Times New Roman" w:hAnsi="Times New Roman" w:cs="Times New Roman"/>
          <w:sz w:val="20"/>
          <w:szCs w:val="22"/>
          <w:lang w:val="en-US"/>
        </w:rPr>
        <w:t xml:space="preserve">by </w:t>
      </w:r>
      <w:r w:rsidRPr="00784892">
        <w:rPr>
          <w:rFonts w:ascii="Times New Roman" w:hAnsi="Times New Roman" w:cs="Times New Roman"/>
          <w:sz w:val="20"/>
          <w:szCs w:val="22"/>
          <w:lang w:val="en-US"/>
        </w:rPr>
        <w:t>applying a Scan Speed of 0.1 amu sec-1 and a Scan rate of 40-450 amu. The detector was set at a transfer line temperature of 230 °C and the ion source to 200°C, using a positive ion detection mode. Mass spectra were acquired in the electron impact mode at 70 eV</w:t>
      </w:r>
      <w:r w:rsidR="00B30BD7" w:rsidRPr="00784892">
        <w:rPr>
          <w:rFonts w:ascii="Times New Roman" w:hAnsi="Times New Roman" w:cs="Times New Roman"/>
          <w:sz w:val="20"/>
          <w:szCs w:val="22"/>
          <w:lang w:val="en-US"/>
        </w:rPr>
        <w:t xml:space="preserve">, and the </w:t>
      </w:r>
      <w:r w:rsidRPr="00784892">
        <w:rPr>
          <w:rFonts w:ascii="Times New Roman" w:hAnsi="Times New Roman" w:cs="Times New Roman"/>
          <w:sz w:val="20"/>
          <w:szCs w:val="22"/>
          <w:lang w:val="en-US"/>
        </w:rPr>
        <w:t xml:space="preserve">following measurements were performed in SCAN/SIM acquisition. Retention times and the identification and quantification of ions selected for the target compounds are shown in Table </w:t>
      </w:r>
      <w:r w:rsidR="00E3231A" w:rsidRPr="00784892">
        <w:rPr>
          <w:rFonts w:ascii="Times New Roman" w:hAnsi="Times New Roman" w:cs="Times New Roman"/>
          <w:sz w:val="20"/>
          <w:szCs w:val="22"/>
          <w:lang w:val="en-US"/>
        </w:rPr>
        <w:t>S</w:t>
      </w:r>
      <w:r w:rsidRPr="00784892">
        <w:rPr>
          <w:rFonts w:ascii="Times New Roman" w:hAnsi="Times New Roman" w:cs="Times New Roman"/>
          <w:sz w:val="20"/>
          <w:szCs w:val="22"/>
          <w:lang w:val="en-US"/>
        </w:rPr>
        <w:t>1.</w:t>
      </w:r>
    </w:p>
    <w:p w14:paraId="74668D58" w14:textId="77777777" w:rsidR="00855077" w:rsidRPr="00784892" w:rsidRDefault="00855077" w:rsidP="00B20A16">
      <w:pPr>
        <w:spacing w:line="276" w:lineRule="auto"/>
        <w:jc w:val="both"/>
        <w:rPr>
          <w:rFonts w:ascii="Times New Roman" w:hAnsi="Times New Roman" w:cs="Times New Roman"/>
          <w:sz w:val="20"/>
          <w:szCs w:val="22"/>
          <w:lang w:val="en-US"/>
        </w:rPr>
      </w:pPr>
      <w:r w:rsidRPr="00784892">
        <w:rPr>
          <w:rFonts w:ascii="Times New Roman" w:hAnsi="Times New Roman" w:cs="Times New Roman"/>
          <w:sz w:val="20"/>
          <w:szCs w:val="22"/>
          <w:lang w:val="en-US"/>
        </w:rPr>
        <w:t>The samples were analyzed in triplicate</w:t>
      </w:r>
      <w:r w:rsidR="00B30BD7" w:rsidRPr="00784892">
        <w:rPr>
          <w:rFonts w:ascii="Times New Roman" w:hAnsi="Times New Roman" w:cs="Times New Roman"/>
          <w:sz w:val="20"/>
          <w:szCs w:val="22"/>
          <w:lang w:val="en-US"/>
        </w:rPr>
        <w:t>, and blank runs were performed</w:t>
      </w:r>
      <w:r w:rsidRPr="00784892">
        <w:rPr>
          <w:rFonts w:ascii="Times New Roman" w:hAnsi="Times New Roman" w:cs="Times New Roman"/>
          <w:sz w:val="20"/>
          <w:szCs w:val="22"/>
          <w:lang w:val="en-US"/>
        </w:rPr>
        <w:t xml:space="preserve"> before and after each analysis. </w:t>
      </w:r>
    </w:p>
    <w:p w14:paraId="1D49625B" w14:textId="77777777" w:rsidR="00855077" w:rsidRPr="00784892" w:rsidRDefault="00855077" w:rsidP="00B20A16">
      <w:pPr>
        <w:spacing w:line="276" w:lineRule="auto"/>
        <w:jc w:val="both"/>
        <w:rPr>
          <w:rFonts w:ascii="Times New Roman" w:hAnsi="Times New Roman" w:cs="Times New Roman"/>
          <w:sz w:val="20"/>
          <w:szCs w:val="22"/>
          <w:lang w:val="en-US"/>
        </w:rPr>
      </w:pPr>
    </w:p>
    <w:p w14:paraId="234EFA6D" w14:textId="13D6819B" w:rsidR="00855077" w:rsidRPr="00784892" w:rsidRDefault="00855077" w:rsidP="00B20A16">
      <w:pPr>
        <w:spacing w:line="276" w:lineRule="auto"/>
        <w:jc w:val="both"/>
        <w:rPr>
          <w:rFonts w:ascii="Times New Roman" w:hAnsi="Times New Roman" w:cs="Times New Roman"/>
          <w:sz w:val="20"/>
          <w:szCs w:val="22"/>
          <w:lang w:val="en-US"/>
        </w:rPr>
      </w:pPr>
      <w:r w:rsidRPr="00784892">
        <w:rPr>
          <w:rFonts w:ascii="Times New Roman" w:hAnsi="Times New Roman" w:cs="Times New Roman"/>
          <w:b/>
          <w:sz w:val="20"/>
          <w:szCs w:val="22"/>
          <w:lang w:val="en-US"/>
        </w:rPr>
        <w:t xml:space="preserve">Table </w:t>
      </w:r>
      <w:r w:rsidR="00E3231A" w:rsidRPr="00784892">
        <w:rPr>
          <w:rFonts w:ascii="Times New Roman" w:hAnsi="Times New Roman" w:cs="Times New Roman"/>
          <w:b/>
          <w:sz w:val="20"/>
          <w:szCs w:val="22"/>
          <w:lang w:val="en-US"/>
        </w:rPr>
        <w:t>S</w:t>
      </w:r>
      <w:r w:rsidR="00821E1C">
        <w:rPr>
          <w:rFonts w:ascii="Times New Roman" w:hAnsi="Times New Roman" w:cs="Times New Roman"/>
          <w:b/>
          <w:sz w:val="20"/>
          <w:szCs w:val="22"/>
          <w:lang w:val="en-US"/>
        </w:rPr>
        <w:t>3.1</w:t>
      </w:r>
      <w:r w:rsidRPr="00784892">
        <w:rPr>
          <w:rFonts w:ascii="Times New Roman" w:hAnsi="Times New Roman" w:cs="Times New Roman"/>
          <w:sz w:val="20"/>
          <w:szCs w:val="22"/>
          <w:lang w:val="en-US"/>
        </w:rPr>
        <w:t>. Retention times and selected ions for the analysis of the target compounds by DI-SPME-GC-MS</w:t>
      </w:r>
    </w:p>
    <w:p w14:paraId="27E9F85F" w14:textId="77777777" w:rsidR="00855077" w:rsidRPr="00784892" w:rsidRDefault="00855077" w:rsidP="00B20A16">
      <w:pPr>
        <w:spacing w:line="276" w:lineRule="auto"/>
        <w:jc w:val="both"/>
        <w:rPr>
          <w:rFonts w:ascii="Times New Roman" w:hAnsi="Times New Roman" w:cs="Times New Roman"/>
          <w:sz w:val="20"/>
          <w:szCs w:val="22"/>
          <w:lang w:val="en-US"/>
        </w:rPr>
      </w:pPr>
    </w:p>
    <w:tbl>
      <w:tblPr>
        <w:tblStyle w:val="Grigliatabella"/>
        <w:tblW w:w="9724" w:type="dxa"/>
        <w:jc w:val="center"/>
        <w:tblLook w:val="04A0" w:firstRow="1" w:lastRow="0" w:firstColumn="1" w:lastColumn="0" w:noHBand="0" w:noVBand="1"/>
      </w:tblPr>
      <w:tblGrid>
        <w:gridCol w:w="1911"/>
        <w:gridCol w:w="2116"/>
        <w:gridCol w:w="3595"/>
        <w:gridCol w:w="2102"/>
      </w:tblGrid>
      <w:tr w:rsidR="00855077" w:rsidRPr="00784892" w14:paraId="5BD7EA03" w14:textId="77777777" w:rsidTr="00B20A16">
        <w:trPr>
          <w:trHeight w:val="418"/>
          <w:jc w:val="center"/>
        </w:trPr>
        <w:tc>
          <w:tcPr>
            <w:tcW w:w="1911" w:type="dxa"/>
            <w:shd w:val="clear" w:color="auto" w:fill="auto"/>
          </w:tcPr>
          <w:p w14:paraId="55EA2702" w14:textId="77777777" w:rsidR="00855077" w:rsidRPr="00784892" w:rsidRDefault="00855077" w:rsidP="00B20A16">
            <w:pPr>
              <w:autoSpaceDE w:val="0"/>
              <w:autoSpaceDN w:val="0"/>
              <w:adjustRightInd w:val="0"/>
              <w:spacing w:line="276" w:lineRule="auto"/>
              <w:jc w:val="center"/>
              <w:rPr>
                <w:rFonts w:ascii="Times New Roman" w:hAnsi="Times New Roman" w:cs="Times New Roman"/>
                <w:b/>
                <w:bCs/>
                <w:sz w:val="20"/>
                <w:szCs w:val="22"/>
              </w:rPr>
            </w:pPr>
            <w:r w:rsidRPr="00784892">
              <w:rPr>
                <w:rFonts w:ascii="Times New Roman" w:hAnsi="Times New Roman" w:cs="Times New Roman"/>
                <w:b/>
                <w:bCs/>
                <w:sz w:val="20"/>
                <w:szCs w:val="22"/>
              </w:rPr>
              <w:t>Compound</w:t>
            </w:r>
          </w:p>
        </w:tc>
        <w:tc>
          <w:tcPr>
            <w:tcW w:w="2116" w:type="dxa"/>
            <w:shd w:val="clear" w:color="auto" w:fill="auto"/>
          </w:tcPr>
          <w:p w14:paraId="12E7510B" w14:textId="77777777" w:rsidR="00855077" w:rsidRPr="00784892" w:rsidRDefault="00855077" w:rsidP="00B20A16">
            <w:pPr>
              <w:autoSpaceDE w:val="0"/>
              <w:autoSpaceDN w:val="0"/>
              <w:adjustRightInd w:val="0"/>
              <w:spacing w:line="276" w:lineRule="auto"/>
              <w:jc w:val="center"/>
              <w:rPr>
                <w:rFonts w:ascii="Times New Roman" w:hAnsi="Times New Roman" w:cs="Times New Roman"/>
                <w:b/>
                <w:bCs/>
                <w:sz w:val="20"/>
                <w:szCs w:val="22"/>
              </w:rPr>
            </w:pPr>
            <w:proofErr w:type="spellStart"/>
            <w:r w:rsidRPr="00784892">
              <w:rPr>
                <w:rFonts w:ascii="Times New Roman" w:hAnsi="Times New Roman" w:cs="Times New Roman"/>
                <w:b/>
                <w:bCs/>
                <w:sz w:val="20"/>
                <w:szCs w:val="22"/>
              </w:rPr>
              <w:t>Retention</w:t>
            </w:r>
            <w:proofErr w:type="spellEnd"/>
            <w:r w:rsidRPr="00784892">
              <w:rPr>
                <w:rFonts w:ascii="Times New Roman" w:hAnsi="Times New Roman" w:cs="Times New Roman"/>
                <w:b/>
                <w:bCs/>
                <w:sz w:val="20"/>
                <w:szCs w:val="22"/>
              </w:rPr>
              <w:t xml:space="preserve"> time</w:t>
            </w:r>
          </w:p>
        </w:tc>
        <w:tc>
          <w:tcPr>
            <w:tcW w:w="3595" w:type="dxa"/>
            <w:shd w:val="clear" w:color="auto" w:fill="auto"/>
          </w:tcPr>
          <w:p w14:paraId="4F1CDA41" w14:textId="77777777" w:rsidR="00855077" w:rsidRPr="00784892" w:rsidRDefault="00855077" w:rsidP="00B20A16">
            <w:pPr>
              <w:autoSpaceDE w:val="0"/>
              <w:autoSpaceDN w:val="0"/>
              <w:adjustRightInd w:val="0"/>
              <w:spacing w:line="276" w:lineRule="auto"/>
              <w:jc w:val="center"/>
              <w:rPr>
                <w:rFonts w:ascii="Times New Roman" w:hAnsi="Times New Roman" w:cs="Times New Roman"/>
                <w:b/>
                <w:bCs/>
                <w:sz w:val="20"/>
                <w:szCs w:val="22"/>
              </w:rPr>
            </w:pPr>
            <w:proofErr w:type="spellStart"/>
            <w:r w:rsidRPr="00784892">
              <w:rPr>
                <w:rFonts w:ascii="Times New Roman" w:hAnsi="Times New Roman" w:cs="Times New Roman"/>
                <w:b/>
                <w:bCs/>
                <w:sz w:val="20"/>
                <w:szCs w:val="22"/>
              </w:rPr>
              <w:t>Molecular</w:t>
            </w:r>
            <w:proofErr w:type="spellEnd"/>
            <w:r w:rsidRPr="00784892">
              <w:rPr>
                <w:rFonts w:ascii="Times New Roman" w:hAnsi="Times New Roman" w:cs="Times New Roman"/>
                <w:b/>
                <w:bCs/>
                <w:sz w:val="20"/>
                <w:szCs w:val="22"/>
              </w:rPr>
              <w:t xml:space="preserve"> Weight (g/</w:t>
            </w:r>
            <w:proofErr w:type="spellStart"/>
            <w:r w:rsidRPr="00784892">
              <w:rPr>
                <w:rFonts w:ascii="Times New Roman" w:hAnsi="Times New Roman" w:cs="Times New Roman"/>
                <w:b/>
                <w:bCs/>
                <w:sz w:val="20"/>
                <w:szCs w:val="22"/>
              </w:rPr>
              <w:t>mol</w:t>
            </w:r>
            <w:proofErr w:type="spellEnd"/>
            <w:r w:rsidRPr="00784892">
              <w:rPr>
                <w:rFonts w:ascii="Times New Roman" w:hAnsi="Times New Roman" w:cs="Times New Roman"/>
                <w:b/>
                <w:bCs/>
                <w:sz w:val="20"/>
                <w:szCs w:val="22"/>
              </w:rPr>
              <w:t>)</w:t>
            </w:r>
          </w:p>
        </w:tc>
        <w:tc>
          <w:tcPr>
            <w:tcW w:w="2102" w:type="dxa"/>
            <w:shd w:val="clear" w:color="auto" w:fill="auto"/>
          </w:tcPr>
          <w:p w14:paraId="20EDBF7D" w14:textId="77777777" w:rsidR="00855077" w:rsidRPr="00784892" w:rsidRDefault="00855077" w:rsidP="00B20A16">
            <w:pPr>
              <w:autoSpaceDE w:val="0"/>
              <w:autoSpaceDN w:val="0"/>
              <w:adjustRightInd w:val="0"/>
              <w:spacing w:line="276" w:lineRule="auto"/>
              <w:jc w:val="center"/>
              <w:rPr>
                <w:rFonts w:ascii="Times New Roman" w:hAnsi="Times New Roman" w:cs="Times New Roman"/>
                <w:b/>
                <w:bCs/>
                <w:sz w:val="20"/>
                <w:szCs w:val="22"/>
              </w:rPr>
            </w:pPr>
            <w:proofErr w:type="spellStart"/>
            <w:r w:rsidRPr="00784892">
              <w:rPr>
                <w:rFonts w:ascii="Times New Roman" w:hAnsi="Times New Roman" w:cs="Times New Roman"/>
                <w:b/>
                <w:bCs/>
                <w:sz w:val="20"/>
                <w:szCs w:val="22"/>
              </w:rPr>
              <w:t>Monitored</w:t>
            </w:r>
            <w:proofErr w:type="spellEnd"/>
            <w:r w:rsidRPr="00784892">
              <w:rPr>
                <w:rFonts w:ascii="Times New Roman" w:hAnsi="Times New Roman" w:cs="Times New Roman"/>
                <w:b/>
                <w:bCs/>
                <w:sz w:val="20"/>
                <w:szCs w:val="22"/>
              </w:rPr>
              <w:t xml:space="preserve"> m/z</w:t>
            </w:r>
          </w:p>
        </w:tc>
      </w:tr>
      <w:tr w:rsidR="00855077" w:rsidRPr="00784892" w14:paraId="3E362008" w14:textId="77777777" w:rsidTr="00B20A16">
        <w:trPr>
          <w:trHeight w:val="404"/>
          <w:jc w:val="center"/>
        </w:trPr>
        <w:tc>
          <w:tcPr>
            <w:tcW w:w="1911" w:type="dxa"/>
            <w:vAlign w:val="center"/>
          </w:tcPr>
          <w:p w14:paraId="0539597F"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Octinoxate</w:t>
            </w:r>
          </w:p>
        </w:tc>
        <w:tc>
          <w:tcPr>
            <w:tcW w:w="2116" w:type="dxa"/>
            <w:vAlign w:val="center"/>
          </w:tcPr>
          <w:p w14:paraId="042B1FE7"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11.3</w:t>
            </w:r>
          </w:p>
        </w:tc>
        <w:tc>
          <w:tcPr>
            <w:tcW w:w="3595" w:type="dxa"/>
            <w:vAlign w:val="center"/>
          </w:tcPr>
          <w:p w14:paraId="05738E54"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290.4</w:t>
            </w:r>
          </w:p>
        </w:tc>
        <w:tc>
          <w:tcPr>
            <w:tcW w:w="2102" w:type="dxa"/>
            <w:vAlign w:val="center"/>
          </w:tcPr>
          <w:p w14:paraId="3D27E2D7"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204, 249, 362</w:t>
            </w:r>
          </w:p>
        </w:tc>
      </w:tr>
      <w:tr w:rsidR="00855077" w:rsidRPr="00784892" w14:paraId="16C0CDEC" w14:textId="77777777" w:rsidTr="00B20A16">
        <w:trPr>
          <w:trHeight w:val="418"/>
          <w:jc w:val="center"/>
        </w:trPr>
        <w:tc>
          <w:tcPr>
            <w:tcW w:w="1911" w:type="dxa"/>
            <w:vAlign w:val="center"/>
          </w:tcPr>
          <w:p w14:paraId="3D77A926"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proofErr w:type="spellStart"/>
            <w:r w:rsidRPr="00821E1C">
              <w:rPr>
                <w:rFonts w:ascii="Times New Roman" w:hAnsi="Times New Roman" w:cs="Times New Roman"/>
                <w:sz w:val="20"/>
                <w:szCs w:val="22"/>
              </w:rPr>
              <w:t>Oxybenzone</w:t>
            </w:r>
            <w:proofErr w:type="spellEnd"/>
          </w:p>
        </w:tc>
        <w:tc>
          <w:tcPr>
            <w:tcW w:w="2116" w:type="dxa"/>
            <w:vAlign w:val="center"/>
          </w:tcPr>
          <w:p w14:paraId="32A0F344"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12.9</w:t>
            </w:r>
          </w:p>
        </w:tc>
        <w:tc>
          <w:tcPr>
            <w:tcW w:w="3595" w:type="dxa"/>
            <w:vAlign w:val="center"/>
          </w:tcPr>
          <w:p w14:paraId="63A15716"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228.2</w:t>
            </w:r>
          </w:p>
        </w:tc>
        <w:tc>
          <w:tcPr>
            <w:tcW w:w="2102" w:type="dxa"/>
            <w:vAlign w:val="center"/>
          </w:tcPr>
          <w:p w14:paraId="3F96C999" w14:textId="77777777" w:rsidR="00855077" w:rsidRPr="00821E1C" w:rsidRDefault="00855077"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242, 285, 300</w:t>
            </w:r>
          </w:p>
        </w:tc>
      </w:tr>
      <w:tr w:rsidR="00821E1C" w:rsidRPr="00784892" w14:paraId="7BF95F4A" w14:textId="77777777" w:rsidTr="00B20A16">
        <w:trPr>
          <w:trHeight w:val="404"/>
          <w:jc w:val="center"/>
        </w:trPr>
        <w:tc>
          <w:tcPr>
            <w:tcW w:w="1911" w:type="dxa"/>
            <w:vAlign w:val="center"/>
          </w:tcPr>
          <w:p w14:paraId="462B3278" w14:textId="0FD5BB2F" w:rsidR="00821E1C" w:rsidRPr="00821E1C" w:rsidRDefault="00821E1C"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Oxybenzone-d5</w:t>
            </w:r>
          </w:p>
        </w:tc>
        <w:tc>
          <w:tcPr>
            <w:tcW w:w="2116" w:type="dxa"/>
            <w:vAlign w:val="center"/>
          </w:tcPr>
          <w:p w14:paraId="023C0821" w14:textId="64D7A394" w:rsidR="00821E1C" w:rsidRPr="00821E1C" w:rsidRDefault="00821E1C"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12.8</w:t>
            </w:r>
          </w:p>
        </w:tc>
        <w:tc>
          <w:tcPr>
            <w:tcW w:w="3595" w:type="dxa"/>
            <w:vAlign w:val="center"/>
          </w:tcPr>
          <w:p w14:paraId="541087FE" w14:textId="78FF3EE2" w:rsidR="00821E1C" w:rsidRPr="00821E1C" w:rsidRDefault="00821E1C"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233.2</w:t>
            </w:r>
          </w:p>
        </w:tc>
        <w:tc>
          <w:tcPr>
            <w:tcW w:w="2102" w:type="dxa"/>
            <w:vAlign w:val="center"/>
          </w:tcPr>
          <w:p w14:paraId="193E0959" w14:textId="79ADD846" w:rsidR="00821E1C" w:rsidRPr="00821E1C" w:rsidRDefault="00821E1C" w:rsidP="00B20A16">
            <w:pPr>
              <w:autoSpaceDE w:val="0"/>
              <w:autoSpaceDN w:val="0"/>
              <w:adjustRightInd w:val="0"/>
              <w:spacing w:line="276" w:lineRule="auto"/>
              <w:jc w:val="center"/>
              <w:rPr>
                <w:rFonts w:ascii="Times New Roman" w:hAnsi="Times New Roman" w:cs="Times New Roman"/>
                <w:sz w:val="20"/>
                <w:szCs w:val="22"/>
              </w:rPr>
            </w:pPr>
            <w:r w:rsidRPr="00821E1C">
              <w:rPr>
                <w:rFonts w:ascii="Times New Roman" w:hAnsi="Times New Roman" w:cs="Times New Roman"/>
                <w:sz w:val="20"/>
                <w:szCs w:val="22"/>
              </w:rPr>
              <w:t>233, 156, 110</w:t>
            </w:r>
          </w:p>
        </w:tc>
      </w:tr>
    </w:tbl>
    <w:p w14:paraId="7DA89A51" w14:textId="5516FCFF" w:rsidR="00855077" w:rsidRDefault="00855077" w:rsidP="00B20A16">
      <w:pPr>
        <w:spacing w:line="276" w:lineRule="auto"/>
        <w:jc w:val="both"/>
        <w:rPr>
          <w:rFonts w:ascii="Times New Roman" w:hAnsi="Times New Roman" w:cs="Times New Roman"/>
          <w:sz w:val="20"/>
          <w:szCs w:val="22"/>
          <w:lang w:val="en-US"/>
        </w:rPr>
      </w:pPr>
    </w:p>
    <w:p w14:paraId="6A86F4C7" w14:textId="77777777" w:rsidR="00475494" w:rsidRDefault="00475494" w:rsidP="00475494">
      <w:pPr>
        <w:spacing w:line="276" w:lineRule="auto"/>
        <w:jc w:val="both"/>
        <w:rPr>
          <w:rFonts w:ascii="Times New Roman" w:hAnsi="Times New Roman" w:cs="Times New Roman"/>
          <w:sz w:val="20"/>
          <w:szCs w:val="22"/>
          <w:lang w:val="en-US"/>
        </w:rPr>
      </w:pPr>
    </w:p>
    <w:p w14:paraId="56696662" w14:textId="77777777" w:rsidR="00475494" w:rsidRPr="00475494" w:rsidRDefault="00475494" w:rsidP="00475494">
      <w:pPr>
        <w:spacing w:line="276" w:lineRule="auto"/>
        <w:jc w:val="both"/>
        <w:rPr>
          <w:rFonts w:ascii="Times New Roman" w:hAnsi="Times New Roman" w:cs="Times New Roman"/>
          <w:b/>
          <w:sz w:val="20"/>
          <w:szCs w:val="22"/>
          <w:lang w:val="en-US"/>
        </w:rPr>
      </w:pPr>
      <w:r w:rsidRPr="00475494">
        <w:rPr>
          <w:rFonts w:ascii="Times New Roman" w:hAnsi="Times New Roman" w:cs="Times New Roman"/>
          <w:b/>
          <w:sz w:val="20"/>
          <w:szCs w:val="22"/>
          <w:lang w:val="en-US"/>
        </w:rPr>
        <w:t>S4. Methodological considerations of SPME-GC-MS analysis for UV Filters in marine samples</w:t>
      </w:r>
    </w:p>
    <w:p w14:paraId="2489B39E" w14:textId="77777777" w:rsidR="00475494" w:rsidRPr="00475494" w:rsidRDefault="00475494" w:rsidP="00475494">
      <w:pPr>
        <w:spacing w:line="276" w:lineRule="auto"/>
        <w:jc w:val="both"/>
        <w:rPr>
          <w:rFonts w:ascii="Times New Roman" w:hAnsi="Times New Roman" w:cs="Times New Roman"/>
          <w:sz w:val="20"/>
          <w:szCs w:val="22"/>
          <w:lang w:val="en-US"/>
        </w:rPr>
      </w:pPr>
    </w:p>
    <w:p w14:paraId="51BC6B18" w14:textId="51D77A3F" w:rsidR="00475494" w:rsidRPr="00475494" w:rsidRDefault="00475494" w:rsidP="00475494">
      <w:pPr>
        <w:spacing w:line="276" w:lineRule="auto"/>
        <w:jc w:val="both"/>
        <w:rPr>
          <w:rFonts w:ascii="Times New Roman" w:hAnsi="Times New Roman" w:cs="Times New Roman"/>
          <w:sz w:val="20"/>
          <w:szCs w:val="22"/>
          <w:lang w:val="en-US"/>
        </w:rPr>
      </w:pPr>
      <w:r w:rsidRPr="00475494">
        <w:rPr>
          <w:rFonts w:ascii="Times New Roman" w:hAnsi="Times New Roman" w:cs="Times New Roman"/>
          <w:sz w:val="20"/>
          <w:szCs w:val="22"/>
          <w:lang w:val="en-US"/>
        </w:rPr>
        <w:t xml:space="preserve">The determination of UV filter compounds in marine matrices (seawater and marine biota tissues) through Solid Phase Microextraction (SPME) coupled with Gas Chromatography–Mass Spectrometry (GC-MS) presents several analytical </w:t>
      </w:r>
      <w:r w:rsidRPr="00475494">
        <w:rPr>
          <w:rFonts w:ascii="Times New Roman" w:hAnsi="Times New Roman" w:cs="Times New Roman"/>
          <w:sz w:val="20"/>
          <w:szCs w:val="22"/>
          <w:lang w:val="en-US"/>
        </w:rPr>
        <w:lastRenderedPageBreak/>
        <w:t xml:space="preserve">challenges. These challenges stem from the typically low environmental concentrations of the analytes, the complexity of the matrix (due to high salinity and organic content), and the risk of contamination or loss during sample handling and preparation. Nonetheless, SPME is an attractive alternative to traditional extraction methods, as it is solvent-free, environmentally friendly, and allows for both pre-concentration and direct extraction in a single step. Its simplicity and potential for automation make it particularly suitable for field-based environmental monitoring and rapid screening of targeted compounds, including UV filters. To develop a robust analytical method, it is fundamental to perform an initial optimization phase using a </w:t>
      </w:r>
      <w:r w:rsidR="0032062A" w:rsidRPr="00475494">
        <w:rPr>
          <w:rFonts w:ascii="Times New Roman" w:hAnsi="Times New Roman" w:cs="Times New Roman"/>
          <w:sz w:val="20"/>
          <w:szCs w:val="22"/>
          <w:lang w:val="en-US"/>
        </w:rPr>
        <w:t>reference substrate</w:t>
      </w:r>
      <w:r w:rsidRPr="00475494">
        <w:rPr>
          <w:rFonts w:ascii="Times New Roman" w:hAnsi="Times New Roman" w:cs="Times New Roman"/>
          <w:sz w:val="20"/>
          <w:szCs w:val="22"/>
          <w:lang w:val="en-US"/>
        </w:rPr>
        <w:t xml:space="preserve"> spiked with known concentrations of the analytes, in this case</w:t>
      </w:r>
      <w:r w:rsidR="0032062A">
        <w:rPr>
          <w:rFonts w:ascii="Times New Roman" w:hAnsi="Times New Roman" w:cs="Times New Roman"/>
          <w:sz w:val="20"/>
          <w:szCs w:val="22"/>
          <w:lang w:val="en-US"/>
        </w:rPr>
        <w:t>,</w:t>
      </w:r>
      <w:r w:rsidRPr="00475494">
        <w:rPr>
          <w:rFonts w:ascii="Times New Roman" w:hAnsi="Times New Roman" w:cs="Times New Roman"/>
          <w:sz w:val="20"/>
          <w:szCs w:val="22"/>
          <w:lang w:val="en-US"/>
        </w:rPr>
        <w:t xml:space="preserve"> Oxybenzone and Octinoxate. This phase enables the refinement of the extraction parameters</w:t>
      </w:r>
      <w:r w:rsidR="0032062A">
        <w:rPr>
          <w:rFonts w:ascii="Times New Roman" w:hAnsi="Times New Roman" w:cs="Times New Roman"/>
          <w:sz w:val="20"/>
          <w:szCs w:val="22"/>
          <w:lang w:val="en-US"/>
        </w:rPr>
        <w:t>,</w:t>
      </w:r>
      <w:r w:rsidRPr="00475494">
        <w:rPr>
          <w:rFonts w:ascii="Times New Roman" w:hAnsi="Times New Roman" w:cs="Times New Roman"/>
          <w:sz w:val="20"/>
          <w:szCs w:val="22"/>
          <w:lang w:val="en-US"/>
        </w:rPr>
        <w:t xml:space="preserve"> such as fiber type, extraction time, </w:t>
      </w:r>
      <w:r w:rsidR="0032062A">
        <w:rPr>
          <w:rFonts w:ascii="Times New Roman" w:hAnsi="Times New Roman" w:cs="Times New Roman"/>
          <w:sz w:val="20"/>
          <w:szCs w:val="22"/>
          <w:lang w:val="en-US"/>
        </w:rPr>
        <w:t xml:space="preserve">and </w:t>
      </w:r>
      <w:r w:rsidRPr="00475494">
        <w:rPr>
          <w:rFonts w:ascii="Times New Roman" w:hAnsi="Times New Roman" w:cs="Times New Roman"/>
          <w:sz w:val="20"/>
          <w:szCs w:val="22"/>
          <w:lang w:val="en-US"/>
        </w:rPr>
        <w:t>stirring rate</w:t>
      </w:r>
      <w:r w:rsidR="0032062A">
        <w:rPr>
          <w:rFonts w:ascii="Times New Roman" w:hAnsi="Times New Roman" w:cs="Times New Roman"/>
          <w:sz w:val="20"/>
          <w:szCs w:val="22"/>
          <w:lang w:val="en-US"/>
        </w:rPr>
        <w:t>,</w:t>
      </w:r>
      <w:r w:rsidRPr="00475494">
        <w:rPr>
          <w:rFonts w:ascii="Times New Roman" w:hAnsi="Times New Roman" w:cs="Times New Roman"/>
          <w:sz w:val="20"/>
          <w:szCs w:val="22"/>
          <w:lang w:val="en-US"/>
        </w:rPr>
        <w:t xml:space="preserve"> under controlled laboratory settings. Following this, </w:t>
      </w:r>
      <w:r w:rsidR="0032062A">
        <w:rPr>
          <w:rFonts w:ascii="Times New Roman" w:hAnsi="Times New Roman" w:cs="Times New Roman"/>
          <w:sz w:val="20"/>
          <w:szCs w:val="22"/>
          <w:lang w:val="en-US"/>
        </w:rPr>
        <w:t>the method can be applied</w:t>
      </w:r>
      <w:r w:rsidRPr="00475494">
        <w:rPr>
          <w:rFonts w:ascii="Times New Roman" w:hAnsi="Times New Roman" w:cs="Times New Roman"/>
          <w:sz w:val="20"/>
          <w:szCs w:val="22"/>
          <w:lang w:val="en-US"/>
        </w:rPr>
        <w:t xml:space="preserve"> to real environmental samples. To ensure analytical consistency, the use of multiple replicates and the inclusion of several types of procedural blanks in each analytical batch is also required (e.g. SPME fiber blanks, water blanks, and full procedural blanks that underwent the entire workflow without a sample). This approach is </w:t>
      </w:r>
      <w:r w:rsidR="0032062A">
        <w:rPr>
          <w:rFonts w:ascii="Times New Roman" w:hAnsi="Times New Roman" w:cs="Times New Roman"/>
          <w:sz w:val="20"/>
          <w:szCs w:val="22"/>
          <w:lang w:val="en-US"/>
        </w:rPr>
        <w:t xml:space="preserve">crucial for addressing the inherent variability </w:t>
      </w:r>
      <w:r w:rsidRPr="00475494">
        <w:rPr>
          <w:rFonts w:ascii="Times New Roman" w:hAnsi="Times New Roman" w:cs="Times New Roman"/>
          <w:sz w:val="20"/>
          <w:szCs w:val="22"/>
          <w:lang w:val="en-US"/>
        </w:rPr>
        <w:t xml:space="preserve">associated with marine matrices and low-concentration targets. The absence of target analytes in all blank types is important to </w:t>
      </w:r>
      <w:r w:rsidR="0032062A" w:rsidRPr="00475494">
        <w:rPr>
          <w:rFonts w:ascii="Times New Roman" w:hAnsi="Times New Roman" w:cs="Times New Roman"/>
          <w:sz w:val="20"/>
          <w:szCs w:val="22"/>
          <w:lang w:val="en-US"/>
        </w:rPr>
        <w:t>ensure</w:t>
      </w:r>
      <w:r w:rsidRPr="00475494">
        <w:rPr>
          <w:rFonts w:ascii="Times New Roman" w:hAnsi="Times New Roman" w:cs="Times New Roman"/>
          <w:sz w:val="20"/>
          <w:szCs w:val="22"/>
          <w:lang w:val="en-US"/>
        </w:rPr>
        <w:t xml:space="preserve"> the absence of cross-contamination during extraction, handling, or instrumental analysis.</w:t>
      </w:r>
    </w:p>
    <w:p w14:paraId="4465687C" w14:textId="13EB46AA" w:rsidR="00475494" w:rsidRPr="00475494" w:rsidRDefault="00475494" w:rsidP="00475494">
      <w:pPr>
        <w:spacing w:line="276" w:lineRule="auto"/>
        <w:jc w:val="both"/>
        <w:rPr>
          <w:rFonts w:ascii="Times New Roman" w:hAnsi="Times New Roman" w:cs="Times New Roman"/>
          <w:sz w:val="20"/>
          <w:szCs w:val="22"/>
          <w:lang w:val="en-US"/>
        </w:rPr>
      </w:pPr>
      <w:r w:rsidRPr="00475494">
        <w:rPr>
          <w:rFonts w:ascii="Times New Roman" w:hAnsi="Times New Roman" w:cs="Times New Roman"/>
          <w:sz w:val="20"/>
          <w:szCs w:val="22"/>
          <w:lang w:val="en-US"/>
        </w:rPr>
        <w:t xml:space="preserve">A crucial aspect of SPME performance lies in the careful control of the main operational parameters, such as extraction temperature, time, stirring speed, sample volume, and especially the condition and history of the fiber. Another particularly delicate variable is the ionic strength of the aqueous matrix. The addition of salt, typically sodium chloride, can increase extraction efficiency for neutral, non-polar compounds by enhancing the partitioning of analytes into the fiber coating (the so-called salting-out effect). However, this effect is not universally beneficial. For compounds that exist partially in their ionized form, such as in the case of Oxybenzone, it was shown that increasing the ionic strength without adjusting the sample pH can lead to a reduction in extraction efficiency, as the ionized form of the molecule partitions preferentially into the aqueous phase rather than the fiber. Adjusting the pH to at least two units below the </w:t>
      </w:r>
      <w:proofErr w:type="spellStart"/>
      <w:r w:rsidRPr="00475494">
        <w:rPr>
          <w:rFonts w:ascii="Times New Roman" w:hAnsi="Times New Roman" w:cs="Times New Roman"/>
          <w:sz w:val="20"/>
          <w:szCs w:val="22"/>
          <w:lang w:val="en-US"/>
        </w:rPr>
        <w:t>pKa</w:t>
      </w:r>
      <w:proofErr w:type="spellEnd"/>
      <w:r w:rsidRPr="00475494">
        <w:rPr>
          <w:rFonts w:ascii="Times New Roman" w:hAnsi="Times New Roman" w:cs="Times New Roman"/>
          <w:sz w:val="20"/>
          <w:szCs w:val="22"/>
          <w:lang w:val="en-US"/>
        </w:rPr>
        <w:t xml:space="preserve"> of the compound (e.g., pH ~3 for Oxybenzone) can reverse this effect and significantly improve extraction performance. Therefore</w:t>
      </w:r>
      <w:r w:rsidR="00C539F1">
        <w:rPr>
          <w:rFonts w:ascii="Times New Roman" w:hAnsi="Times New Roman" w:cs="Times New Roman"/>
          <w:sz w:val="20"/>
          <w:szCs w:val="22"/>
          <w:lang w:val="en-US"/>
        </w:rPr>
        <w:t>,</w:t>
      </w:r>
      <w:r w:rsidRPr="00475494">
        <w:rPr>
          <w:rFonts w:ascii="Times New Roman" w:hAnsi="Times New Roman" w:cs="Times New Roman"/>
          <w:sz w:val="20"/>
          <w:szCs w:val="22"/>
          <w:lang w:val="en-US"/>
        </w:rPr>
        <w:t xml:space="preserve"> the simultaneous adjustment of pH and salinity may provide the highest extraction yields. However, working under these conditions introduces practical limitations. Salt residues may accumulate in the GC inlet, and the fiber may require careful post-extraction washing to avoid degradation or shortened lifespan. In our case, considering the need for reproducibility and field operability, we opted not to include salt in the final extraction protocol. This decision simplified handling and minimized the risk of instrumental contamination, while still maintaining sufficient sensitivity and repeatability. Finally, a bottom-up estimation of analytical uncertainty may </w:t>
      </w:r>
      <w:r w:rsidR="00C539F1">
        <w:rPr>
          <w:rFonts w:ascii="Times New Roman" w:hAnsi="Times New Roman" w:cs="Times New Roman"/>
          <w:sz w:val="20"/>
          <w:szCs w:val="22"/>
          <w:lang w:val="en-US"/>
        </w:rPr>
        <w:t>reveal</w:t>
      </w:r>
      <w:r w:rsidRPr="00475494">
        <w:rPr>
          <w:rFonts w:ascii="Times New Roman" w:hAnsi="Times New Roman" w:cs="Times New Roman"/>
          <w:sz w:val="20"/>
          <w:szCs w:val="22"/>
          <w:lang w:val="en-US"/>
        </w:rPr>
        <w:t xml:space="preserve"> that the main contributor to the combined uncertainty is the statistical error, which is</w:t>
      </w:r>
      <w:r w:rsidR="00C539F1">
        <w:rPr>
          <w:rFonts w:ascii="Times New Roman" w:hAnsi="Times New Roman" w:cs="Times New Roman"/>
          <w:sz w:val="20"/>
          <w:szCs w:val="22"/>
          <w:lang w:val="en-US"/>
        </w:rPr>
        <w:t>, in general,</w:t>
      </w:r>
      <w:bookmarkStart w:id="2" w:name="_GoBack"/>
      <w:bookmarkEnd w:id="2"/>
      <w:r w:rsidRPr="00475494">
        <w:rPr>
          <w:rFonts w:ascii="Times New Roman" w:hAnsi="Times New Roman" w:cs="Times New Roman"/>
          <w:sz w:val="20"/>
          <w:szCs w:val="22"/>
          <w:lang w:val="en-US"/>
        </w:rPr>
        <w:t xml:space="preserve"> associated with the calibration curve (matrix matched calibration curve) due to the matrix effects. Despite this, the method can still display low limits of quantification (LOQs), good repeatability, and excellent selectivity. </w:t>
      </w:r>
    </w:p>
    <w:p w14:paraId="7EC78B2F" w14:textId="48338DCC" w:rsidR="006F1270" w:rsidRDefault="006F1270" w:rsidP="00B20A16">
      <w:pPr>
        <w:spacing w:line="276" w:lineRule="auto"/>
        <w:jc w:val="both"/>
        <w:rPr>
          <w:rFonts w:ascii="Times New Roman" w:hAnsi="Times New Roman" w:cs="Times New Roman"/>
          <w:sz w:val="20"/>
          <w:szCs w:val="22"/>
          <w:lang w:val="en-US"/>
        </w:rPr>
      </w:pPr>
    </w:p>
    <w:p w14:paraId="7CD3B188" w14:textId="604EBA39" w:rsidR="006F1270" w:rsidRDefault="006F1270" w:rsidP="00B20A16">
      <w:pPr>
        <w:spacing w:line="276" w:lineRule="auto"/>
        <w:jc w:val="both"/>
        <w:rPr>
          <w:rFonts w:ascii="Times New Roman" w:hAnsi="Times New Roman" w:cs="Times New Roman"/>
          <w:sz w:val="20"/>
          <w:szCs w:val="22"/>
          <w:lang w:val="en-US"/>
        </w:rPr>
      </w:pPr>
    </w:p>
    <w:p w14:paraId="474AF473" w14:textId="2190AE28" w:rsidR="006F1270" w:rsidRDefault="006F1270" w:rsidP="00B20A16">
      <w:pPr>
        <w:spacing w:line="276" w:lineRule="auto"/>
        <w:jc w:val="both"/>
        <w:rPr>
          <w:rFonts w:ascii="Times New Roman" w:hAnsi="Times New Roman" w:cs="Times New Roman"/>
          <w:sz w:val="20"/>
          <w:szCs w:val="22"/>
          <w:lang w:val="en-US"/>
        </w:rPr>
      </w:pPr>
    </w:p>
    <w:p w14:paraId="250CB81F" w14:textId="77777777" w:rsidR="006F1270" w:rsidRPr="00784892" w:rsidRDefault="006F1270" w:rsidP="00B20A16">
      <w:pPr>
        <w:spacing w:line="276" w:lineRule="auto"/>
        <w:jc w:val="both"/>
        <w:rPr>
          <w:rFonts w:ascii="Times New Roman" w:hAnsi="Times New Roman" w:cs="Times New Roman"/>
          <w:sz w:val="20"/>
          <w:szCs w:val="22"/>
          <w:lang w:val="en-US"/>
        </w:rPr>
      </w:pPr>
    </w:p>
    <w:sectPr w:rsidR="006F1270" w:rsidRPr="0078489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077"/>
    <w:rsid w:val="000C0474"/>
    <w:rsid w:val="00234143"/>
    <w:rsid w:val="002C6C3F"/>
    <w:rsid w:val="003140E2"/>
    <w:rsid w:val="00314914"/>
    <w:rsid w:val="0032062A"/>
    <w:rsid w:val="003646B1"/>
    <w:rsid w:val="004142F3"/>
    <w:rsid w:val="00430743"/>
    <w:rsid w:val="00475494"/>
    <w:rsid w:val="006F1270"/>
    <w:rsid w:val="006F724E"/>
    <w:rsid w:val="0075560F"/>
    <w:rsid w:val="00761F8A"/>
    <w:rsid w:val="00784892"/>
    <w:rsid w:val="00821E1C"/>
    <w:rsid w:val="00855077"/>
    <w:rsid w:val="00A636D5"/>
    <w:rsid w:val="00B20A16"/>
    <w:rsid w:val="00B30BD7"/>
    <w:rsid w:val="00C539F1"/>
    <w:rsid w:val="00E25F24"/>
    <w:rsid w:val="00E3231A"/>
    <w:rsid w:val="00EB05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CC818"/>
  <w15:chartTrackingRefBased/>
  <w15:docId w15:val="{D5AA27E0-D9DF-462B-AEF1-28A483BEE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55077"/>
    <w:pPr>
      <w:spacing w:after="0" w:line="240"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85507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F724E"/>
    <w:pPr>
      <w:spacing w:after="160" w:line="259" w:lineRule="auto"/>
      <w:ind w:left="720"/>
      <w:contextualSpacing/>
    </w:pPr>
    <w:rPr>
      <w:kern w:val="2"/>
      <w:sz w:val="22"/>
      <w:szCs w:val="2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1279</Words>
  <Characters>7217</Characters>
  <Application>Microsoft Office Word</Application>
  <DocSecurity>0</DocSecurity>
  <Lines>124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Jacopo Gobbato</dc:creator>
  <cp:keywords/>
  <dc:description/>
  <cp:lastModifiedBy>Jacopo Gobbato</cp:lastModifiedBy>
  <cp:revision>17</cp:revision>
  <dcterms:created xsi:type="dcterms:W3CDTF">2024-09-25T11:35:00Z</dcterms:created>
  <dcterms:modified xsi:type="dcterms:W3CDTF">2025-07-17T12:18:00Z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bbdeec02-d4a8-475b-a20d-e4c3068cf72a</vt:lpwstr>
  </property>
</Properties>
</file>