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AFCF29" w14:textId="53DDF008" w:rsidR="00635FE6" w:rsidRPr="00635FE6" w:rsidRDefault="00635FE6" w:rsidP="00635FE6">
      <w:pPr>
        <w:rPr>
          <w:rFonts w:ascii="Times New Roman" w:hAnsi="Times New Roman" w:cs="Times New Roman"/>
          <w:b/>
          <w:bCs/>
        </w:rPr>
      </w:pPr>
      <w:r w:rsidRPr="00635FE6">
        <w:rPr>
          <w:rFonts w:ascii="Times New Roman" w:hAnsi="Times New Roman" w:cs="Times New Roman"/>
          <w:b/>
          <w:bCs/>
        </w:rPr>
        <w:t xml:space="preserve">Supplementary </w:t>
      </w:r>
      <w:r w:rsidR="00A96998">
        <w:rPr>
          <w:rFonts w:ascii="Times New Roman" w:hAnsi="Times New Roman" w:cs="Times New Roman"/>
          <w:b/>
          <w:bCs/>
        </w:rPr>
        <w:t>Materials</w:t>
      </w:r>
    </w:p>
    <w:p w14:paraId="3C550842" w14:textId="33E2876B" w:rsidR="003046D9" w:rsidRPr="00635FE6" w:rsidRDefault="003046D9" w:rsidP="003046D9">
      <w:pPr>
        <w:jc w:val="both"/>
        <w:rPr>
          <w:rFonts w:ascii="Times New Roman" w:hAnsi="Times New Roman" w:cs="Times New Roman"/>
          <w:b/>
          <w:bCs/>
        </w:rPr>
      </w:pPr>
      <w:r w:rsidRPr="00EA2474">
        <w:rPr>
          <w:rFonts w:ascii="Times New Roman" w:hAnsi="Times New Roman" w:cs="Times New Roman"/>
          <w:b/>
          <w:bCs/>
        </w:rPr>
        <w:t>One</w:t>
      </w:r>
      <w:r w:rsidR="00FC22C2">
        <w:rPr>
          <w:rFonts w:ascii="Times New Roman" w:hAnsi="Times New Roman" w:cs="Times New Roman"/>
          <w:b/>
          <w:bCs/>
        </w:rPr>
        <w:t>-</w:t>
      </w:r>
      <w:r w:rsidRPr="00EA2474">
        <w:rPr>
          <w:rFonts w:ascii="Times New Roman" w:hAnsi="Times New Roman" w:cs="Times New Roman"/>
          <w:b/>
          <w:bCs/>
        </w:rPr>
        <w:t xml:space="preserve">time broadscale SCTLD intervention effectiveness on </w:t>
      </w:r>
      <w:r w:rsidRPr="00EA2474">
        <w:rPr>
          <w:rFonts w:ascii="Times New Roman" w:hAnsi="Times New Roman" w:cs="Times New Roman"/>
          <w:b/>
          <w:bCs/>
          <w:i/>
          <w:iCs/>
        </w:rPr>
        <w:t>Montastraea cavernosa</w:t>
      </w:r>
      <w:r w:rsidRPr="00EA2474">
        <w:rPr>
          <w:rFonts w:ascii="Times New Roman" w:hAnsi="Times New Roman" w:cs="Times New Roman"/>
          <w:b/>
          <w:bCs/>
        </w:rPr>
        <w:t xml:space="preserve"> in an </w:t>
      </w:r>
      <w:r w:rsidRPr="00635FE6">
        <w:rPr>
          <w:rFonts w:ascii="Times New Roman" w:hAnsi="Times New Roman" w:cs="Times New Roman"/>
          <w:b/>
          <w:bCs/>
        </w:rPr>
        <w:t>endemic zone</w:t>
      </w:r>
    </w:p>
    <w:p w14:paraId="252A9209" w14:textId="77777777" w:rsidR="003046D9" w:rsidRPr="00635FE6" w:rsidRDefault="003046D9" w:rsidP="003046D9">
      <w:pPr>
        <w:jc w:val="both"/>
        <w:rPr>
          <w:rFonts w:ascii="Times New Roman" w:hAnsi="Times New Roman" w:cs="Times New Roman"/>
          <w:vertAlign w:val="superscript"/>
        </w:rPr>
      </w:pPr>
      <w:r w:rsidRPr="00635FE6">
        <w:rPr>
          <w:rFonts w:ascii="Times New Roman" w:hAnsi="Times New Roman" w:cs="Times New Roman"/>
        </w:rPr>
        <w:t>Amanda Zummo</w:t>
      </w:r>
      <w:r w:rsidRPr="00635FE6">
        <w:rPr>
          <w:rFonts w:ascii="Times New Roman" w:hAnsi="Times New Roman" w:cs="Times New Roman"/>
          <w:vertAlign w:val="superscript"/>
        </w:rPr>
        <w:t>1</w:t>
      </w:r>
      <w:r w:rsidRPr="00635FE6">
        <w:rPr>
          <w:rFonts w:ascii="Times New Roman" w:hAnsi="Times New Roman" w:cs="Times New Roman"/>
        </w:rPr>
        <w:t>, Reagan Sharkey</w:t>
      </w:r>
      <w:r w:rsidRPr="00635FE6">
        <w:rPr>
          <w:rFonts w:ascii="Times New Roman" w:hAnsi="Times New Roman" w:cs="Times New Roman"/>
          <w:vertAlign w:val="superscript"/>
        </w:rPr>
        <w:t>1</w:t>
      </w:r>
      <w:r w:rsidRPr="00635FE6">
        <w:rPr>
          <w:rFonts w:ascii="Times New Roman" w:hAnsi="Times New Roman" w:cs="Times New Roman"/>
        </w:rPr>
        <w:t>, Samantha Buckley</w:t>
      </w:r>
      <w:r w:rsidRPr="00635FE6">
        <w:rPr>
          <w:rFonts w:ascii="Times New Roman" w:hAnsi="Times New Roman" w:cs="Times New Roman"/>
          <w:vertAlign w:val="superscript"/>
        </w:rPr>
        <w:t>1</w:t>
      </w:r>
      <w:r w:rsidRPr="00635FE6">
        <w:rPr>
          <w:rFonts w:ascii="Times New Roman" w:hAnsi="Times New Roman" w:cs="Times New Roman"/>
        </w:rPr>
        <w:t>, Karen Neely</w:t>
      </w:r>
      <w:r w:rsidRPr="00635FE6">
        <w:rPr>
          <w:rFonts w:ascii="Times New Roman" w:hAnsi="Times New Roman" w:cs="Times New Roman"/>
          <w:vertAlign w:val="superscript"/>
        </w:rPr>
        <w:t>2</w:t>
      </w:r>
      <w:r w:rsidRPr="00635FE6">
        <w:rPr>
          <w:rFonts w:ascii="Times New Roman" w:hAnsi="Times New Roman" w:cs="Times New Roman"/>
        </w:rPr>
        <w:t>, Greta Aeby</w:t>
      </w:r>
      <w:r w:rsidRPr="00635FE6">
        <w:rPr>
          <w:rFonts w:ascii="Times New Roman" w:hAnsi="Times New Roman" w:cs="Times New Roman"/>
          <w:vertAlign w:val="superscript"/>
        </w:rPr>
        <w:t>3</w:t>
      </w:r>
      <w:r w:rsidRPr="00635FE6">
        <w:rPr>
          <w:rFonts w:ascii="Times New Roman" w:hAnsi="Times New Roman" w:cs="Times New Roman"/>
        </w:rPr>
        <w:t>, and Brian Walker</w:t>
      </w:r>
      <w:r w:rsidRPr="00635FE6">
        <w:rPr>
          <w:rFonts w:ascii="Times New Roman" w:hAnsi="Times New Roman" w:cs="Times New Roman"/>
          <w:vertAlign w:val="superscript"/>
        </w:rPr>
        <w:t>1</w:t>
      </w:r>
    </w:p>
    <w:p w14:paraId="0C70F37C" w14:textId="11C07E51" w:rsidR="00DF6951" w:rsidRDefault="00DF6951" w:rsidP="00DF6951">
      <w:pPr>
        <w:spacing w:line="259" w:lineRule="auto"/>
        <w:rPr>
          <w:rFonts w:ascii="Times New Roman" w:hAnsi="Times New Roman" w:cs="Times New Roman"/>
        </w:rPr>
      </w:pPr>
      <w:r w:rsidRPr="00CA754F">
        <w:rPr>
          <w:rFonts w:ascii="Times New Roman" w:hAnsi="Times New Roman" w:cs="Times New Roman"/>
          <w:vertAlign w:val="superscript"/>
        </w:rPr>
        <w:t xml:space="preserve">1 </w:t>
      </w:r>
      <w:r w:rsidRPr="00CA754F">
        <w:rPr>
          <w:rFonts w:ascii="Times New Roman" w:hAnsi="Times New Roman" w:cs="Times New Roman"/>
        </w:rPr>
        <w:t xml:space="preserve">Geographic Information Systems (GIS) and Spatial Ecology Laboratory, </w:t>
      </w:r>
      <w:r w:rsidR="00FC22C2">
        <w:rPr>
          <w:rFonts w:ascii="Times New Roman" w:hAnsi="Times New Roman" w:cs="Times New Roman"/>
        </w:rPr>
        <w:t>National Coral Reef Institute</w:t>
      </w:r>
      <w:r w:rsidRPr="00CA754F">
        <w:rPr>
          <w:rFonts w:ascii="Times New Roman" w:hAnsi="Times New Roman" w:cs="Times New Roman"/>
        </w:rPr>
        <w:t xml:space="preserve">, Nova Southeastern University, Dania Beach, FL, United States </w:t>
      </w:r>
      <w:r w:rsidRPr="00CA754F">
        <w:rPr>
          <w:rFonts w:ascii="Times New Roman" w:hAnsi="Times New Roman" w:cs="Times New Roman"/>
        </w:rPr>
        <w:br/>
      </w:r>
      <w:r w:rsidRPr="00CA754F">
        <w:rPr>
          <w:rFonts w:ascii="Times New Roman" w:hAnsi="Times New Roman" w:cs="Times New Roman"/>
          <w:vertAlign w:val="superscript"/>
        </w:rPr>
        <w:t xml:space="preserve">2 </w:t>
      </w:r>
      <w:r>
        <w:rPr>
          <w:rFonts w:ascii="Times New Roman" w:hAnsi="Times New Roman" w:cs="Times New Roman"/>
        </w:rPr>
        <w:t>National Coral Reef Institute</w:t>
      </w:r>
      <w:r w:rsidRPr="00CA754F">
        <w:rPr>
          <w:rFonts w:ascii="Times New Roman" w:hAnsi="Times New Roman" w:cs="Times New Roman"/>
        </w:rPr>
        <w:t>, Nova Southeastern University, Dania Beach, FL, United States</w:t>
      </w:r>
      <w:r w:rsidRPr="00CA754F">
        <w:rPr>
          <w:rFonts w:ascii="Times New Roman" w:hAnsi="Times New Roman" w:cs="Times New Roman"/>
        </w:rPr>
        <w:br/>
      </w:r>
      <w:r w:rsidRPr="00CA754F">
        <w:rPr>
          <w:rFonts w:ascii="Times New Roman" w:hAnsi="Times New Roman" w:cs="Times New Roman"/>
          <w:vertAlign w:val="superscript"/>
        </w:rPr>
        <w:t xml:space="preserve">3 </w:t>
      </w:r>
      <w:r>
        <w:rPr>
          <w:rFonts w:ascii="Times New Roman" w:hAnsi="Times New Roman" w:cs="Times New Roman"/>
        </w:rPr>
        <w:t>Department of Biological and Environmental Sciences, Qatar University, Doha, Qatar</w:t>
      </w:r>
      <w:r w:rsidRPr="00CA754F">
        <w:rPr>
          <w:rFonts w:ascii="Times New Roman" w:hAnsi="Times New Roman" w:cs="Times New Roman"/>
        </w:rPr>
        <w:t xml:space="preserve"> </w:t>
      </w:r>
    </w:p>
    <w:p w14:paraId="7BB33210" w14:textId="565D34B9" w:rsidR="003046D9" w:rsidRPr="00635FE6" w:rsidRDefault="00635FE6" w:rsidP="00635FE6">
      <w:pPr>
        <w:rPr>
          <w:rFonts w:ascii="Times New Roman" w:hAnsi="Times New Roman" w:cs="Times New Roman"/>
        </w:rPr>
      </w:pPr>
      <w:r>
        <w:rPr>
          <w:rFonts w:ascii="Times New Roman" w:hAnsi="Times New Roman" w:cs="Times New Roman"/>
        </w:rPr>
        <w:t xml:space="preserve">*Correspondence: Amanda Zummo, </w:t>
      </w:r>
      <w:r w:rsidR="003046D9" w:rsidRPr="00635FE6">
        <w:rPr>
          <w:rFonts w:ascii="Times New Roman" w:hAnsi="Times New Roman" w:cs="Times New Roman"/>
        </w:rPr>
        <w:t>zummoamanda@aol.com</w:t>
      </w:r>
    </w:p>
    <w:p w14:paraId="397BF197" w14:textId="4816989C" w:rsidR="009136D6" w:rsidRPr="00635FE6" w:rsidRDefault="009136D6" w:rsidP="004F6C00">
      <w:pPr>
        <w:jc w:val="both"/>
        <w:rPr>
          <w:rFonts w:ascii="Times New Roman" w:hAnsi="Times New Roman" w:cs="Times New Roman"/>
        </w:rPr>
      </w:pPr>
      <w:r w:rsidRPr="008D465E">
        <w:rPr>
          <w:rFonts w:ascii="Times New Roman" w:hAnsi="Times New Roman" w:cs="Times New Roman"/>
          <w:b/>
          <w:bCs/>
        </w:rPr>
        <w:t>S1</w:t>
      </w:r>
      <w:r w:rsidRPr="00635FE6">
        <w:rPr>
          <w:rFonts w:ascii="Times New Roman" w:hAnsi="Times New Roman" w:cs="Times New Roman"/>
        </w:rPr>
        <w:t xml:space="preserve"> Distribution of days elapsed between initial treatment and revisit per colony color coded by their K-means cluster month groups. Revisited corals were categorized with three clusters into 13-21 months (n=55), 24-34 months (n=61), and 35-41 months (n=62) post-treatment and are referred to as month groups</w:t>
      </w:r>
    </w:p>
    <w:p w14:paraId="12E4C574" w14:textId="6D77B35A" w:rsidR="009136D6" w:rsidRDefault="009136D6" w:rsidP="004F6C00">
      <w:pPr>
        <w:jc w:val="center"/>
        <w:rPr>
          <w:rFonts w:ascii="Times New Roman" w:hAnsi="Times New Roman" w:cs="Times New Roman"/>
        </w:rPr>
      </w:pPr>
      <w:r w:rsidRPr="00635FE6">
        <w:rPr>
          <w:rFonts w:ascii="Times New Roman" w:hAnsi="Times New Roman" w:cs="Times New Roman"/>
          <w:noProof/>
        </w:rPr>
        <w:drawing>
          <wp:inline distT="0" distB="0" distL="0" distR="0" wp14:anchorId="24287716" wp14:editId="353DB360">
            <wp:extent cx="4288536" cy="3566919"/>
            <wp:effectExtent l="0" t="0" r="0" b="0"/>
            <wp:docPr id="77461415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614157" name="Picture 5"/>
                    <pic:cNvPicPr>
                      <a:picLocks noChangeAspect="1" noChangeArrowheads="1"/>
                    </pic:cNvPicPr>
                  </pic:nvPicPr>
                  <pic:blipFill>
                    <a:blip r:embed="rId5"/>
                    <a:stretch>
                      <a:fillRect/>
                    </a:stretch>
                  </pic:blipFill>
                  <pic:spPr bwMode="auto">
                    <a:xfrm>
                      <a:off x="0" y="0"/>
                      <a:ext cx="4288536" cy="3566919"/>
                    </a:xfrm>
                    <a:prstGeom prst="rect">
                      <a:avLst/>
                    </a:prstGeom>
                    <a:noFill/>
                  </pic:spPr>
                </pic:pic>
              </a:graphicData>
            </a:graphic>
          </wp:inline>
        </w:drawing>
      </w:r>
    </w:p>
    <w:p w14:paraId="27918BFD" w14:textId="77777777" w:rsidR="001147BA" w:rsidRDefault="001147BA" w:rsidP="004F6C00">
      <w:pPr>
        <w:jc w:val="center"/>
        <w:rPr>
          <w:rFonts w:ascii="Times New Roman" w:hAnsi="Times New Roman" w:cs="Times New Roman"/>
        </w:rPr>
      </w:pPr>
    </w:p>
    <w:p w14:paraId="3EDC1826" w14:textId="18F218F9" w:rsidR="001147BA" w:rsidRDefault="001147BA" w:rsidP="001147BA">
      <w:pPr>
        <w:rPr>
          <w:rFonts w:ascii="Times New Roman" w:hAnsi="Times New Roman" w:cs="Times New Roman"/>
        </w:rPr>
      </w:pPr>
      <w:r w:rsidRPr="001147BA">
        <w:rPr>
          <w:rFonts w:ascii="Times New Roman" w:hAnsi="Times New Roman" w:cs="Times New Roman"/>
          <w:b/>
          <w:bCs/>
        </w:rPr>
        <w:t>S</w:t>
      </w:r>
      <w:r>
        <w:rPr>
          <w:rFonts w:ascii="Times New Roman" w:hAnsi="Times New Roman" w:cs="Times New Roman"/>
          <w:b/>
          <w:bCs/>
        </w:rPr>
        <w:t xml:space="preserve">2 </w:t>
      </w:r>
      <w:r>
        <w:rPr>
          <w:rFonts w:ascii="Times New Roman" w:hAnsi="Times New Roman" w:cs="Times New Roman"/>
        </w:rPr>
        <w:t xml:space="preserve">Percent change </w:t>
      </w:r>
      <w:r w:rsidR="00442EFA">
        <w:rPr>
          <w:rFonts w:ascii="Times New Roman" w:hAnsi="Times New Roman" w:cs="Times New Roman"/>
        </w:rPr>
        <w:t>of</w:t>
      </w:r>
      <w:r>
        <w:rPr>
          <w:rFonts w:ascii="Times New Roman" w:hAnsi="Times New Roman" w:cs="Times New Roman"/>
        </w:rPr>
        <w:t xml:space="preserve"> live tissue for each colony was calculated to standardize </w:t>
      </w:r>
      <w:r w:rsidR="00442EFA">
        <w:rPr>
          <w:rFonts w:ascii="Times New Roman" w:hAnsi="Times New Roman" w:cs="Times New Roman"/>
        </w:rPr>
        <w:t>for</w:t>
      </w:r>
      <w:r>
        <w:rPr>
          <w:rFonts w:ascii="Times New Roman" w:hAnsi="Times New Roman" w:cs="Times New Roman"/>
        </w:rPr>
        <w:t xml:space="preserve"> variations in </w:t>
      </w:r>
      <w:r w:rsidR="00AC7454">
        <w:rPr>
          <w:rFonts w:ascii="Times New Roman" w:hAnsi="Times New Roman" w:cs="Times New Roman"/>
        </w:rPr>
        <w:t xml:space="preserve">surface area </w:t>
      </w:r>
      <w:r w:rsidR="00AC7454" w:rsidRPr="00C4171A">
        <w:rPr>
          <w:rFonts w:ascii="Times New Roman" w:hAnsi="Times New Roman" w:cs="Times New Roman"/>
        </w:rPr>
        <w:t>(m²)</w:t>
      </w:r>
      <w:r w:rsidR="00AC7454">
        <w:rPr>
          <w:rFonts w:ascii="Times New Roman" w:hAnsi="Times New Roman" w:cs="Times New Roman"/>
        </w:rPr>
        <w:t xml:space="preserve"> </w:t>
      </w:r>
      <w:r w:rsidR="00442EFA">
        <w:rPr>
          <w:rFonts w:ascii="Times New Roman" w:hAnsi="Times New Roman" w:cs="Times New Roman"/>
        </w:rPr>
        <w:t xml:space="preserve">and starting live tissue area </w:t>
      </w:r>
      <w:r w:rsidR="00AC7454" w:rsidRPr="00C4171A">
        <w:rPr>
          <w:rFonts w:ascii="Times New Roman" w:hAnsi="Times New Roman" w:cs="Times New Roman"/>
        </w:rPr>
        <w:t>(m²)</w:t>
      </w:r>
    </w:p>
    <w:p w14:paraId="492D0F91" w14:textId="2820F4ED" w:rsidR="001147BA" w:rsidRPr="001147BA" w:rsidRDefault="00B376BE" w:rsidP="001147BA">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1360EE89" wp14:editId="081A3B3F">
            <wp:extent cx="4288292" cy="561231"/>
            <wp:effectExtent l="0" t="0" r="0" b="0"/>
            <wp:docPr id="20817410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741075" name="Picture 1"/>
                    <pic:cNvPicPr/>
                  </pic:nvPicPr>
                  <pic:blipFill>
                    <a:blip r:embed="rId6"/>
                    <a:stretch>
                      <a:fillRect/>
                    </a:stretch>
                  </pic:blipFill>
                  <pic:spPr>
                    <a:xfrm>
                      <a:off x="0" y="0"/>
                      <a:ext cx="4288292" cy="561231"/>
                    </a:xfrm>
                    <a:prstGeom prst="rect">
                      <a:avLst/>
                    </a:prstGeom>
                  </pic:spPr>
                </pic:pic>
              </a:graphicData>
            </a:graphic>
          </wp:inline>
        </w:drawing>
      </w:r>
    </w:p>
    <w:p w14:paraId="4F184F3E" w14:textId="22C8917F" w:rsidR="009136D6" w:rsidRPr="00635FE6" w:rsidRDefault="009136D6" w:rsidP="006821C2">
      <w:pPr>
        <w:jc w:val="both"/>
        <w:rPr>
          <w:rFonts w:ascii="Times New Roman" w:hAnsi="Times New Roman" w:cs="Times New Roman"/>
        </w:rPr>
      </w:pPr>
      <w:r w:rsidRPr="008D465E">
        <w:rPr>
          <w:rFonts w:ascii="Times New Roman" w:hAnsi="Times New Roman" w:cs="Times New Roman"/>
          <w:b/>
          <w:bCs/>
        </w:rPr>
        <w:t>S</w:t>
      </w:r>
      <w:r w:rsidR="008E7138">
        <w:rPr>
          <w:rFonts w:ascii="Times New Roman" w:hAnsi="Times New Roman" w:cs="Times New Roman"/>
          <w:b/>
          <w:bCs/>
        </w:rPr>
        <w:t>3</w:t>
      </w:r>
      <w:r w:rsidRPr="008D465E">
        <w:rPr>
          <w:rFonts w:ascii="Times New Roman" w:hAnsi="Times New Roman" w:cs="Times New Roman"/>
          <w:b/>
          <w:bCs/>
        </w:rPr>
        <w:t xml:space="preserve"> </w:t>
      </w:r>
      <w:r w:rsidRPr="00635FE6">
        <w:rPr>
          <w:rFonts w:ascii="Times New Roman" w:hAnsi="Times New Roman" w:cs="Times New Roman"/>
        </w:rPr>
        <w:t>The coral surface area</w:t>
      </w:r>
      <w:r w:rsidR="00A76E8C" w:rsidRPr="00C4171A">
        <w:rPr>
          <w:rFonts w:ascii="Times New Roman" w:hAnsi="Times New Roman" w:cs="Times New Roman"/>
        </w:rPr>
        <w:t xml:space="preserve"> </w:t>
      </w:r>
      <w:r w:rsidRPr="00635FE6">
        <w:rPr>
          <w:rFonts w:ascii="Times New Roman" w:hAnsi="Times New Roman" w:cs="Times New Roman"/>
        </w:rPr>
        <w:t xml:space="preserve">equation includes l = maximum colony length * ½, w = maximum colony width * ½, and h = maximum colony height. The surface area of an ellipsoid is multiplied by ½ to account for the </w:t>
      </w:r>
      <w:r w:rsidR="00BE4490">
        <w:rPr>
          <w:rFonts w:ascii="Times New Roman" w:hAnsi="Times New Roman" w:cs="Times New Roman"/>
        </w:rPr>
        <w:t xml:space="preserve">hemispherical </w:t>
      </w:r>
      <w:r w:rsidRPr="00635FE6">
        <w:rPr>
          <w:rFonts w:ascii="Times New Roman" w:hAnsi="Times New Roman" w:cs="Times New Roman"/>
        </w:rPr>
        <w:t xml:space="preserve">shape of the </w:t>
      </w:r>
      <w:r w:rsidRPr="00140C9D">
        <w:rPr>
          <w:rFonts w:ascii="Times New Roman" w:hAnsi="Times New Roman" w:cs="Times New Roman"/>
          <w:i/>
          <w:iCs/>
        </w:rPr>
        <w:t>M. cavernosa</w:t>
      </w:r>
      <w:r w:rsidRPr="00635FE6">
        <w:rPr>
          <w:rFonts w:ascii="Times New Roman" w:hAnsi="Times New Roman" w:cs="Times New Roman"/>
        </w:rPr>
        <w:t xml:space="preserve"> colony</w:t>
      </w:r>
    </w:p>
    <w:p w14:paraId="3F9C5112" w14:textId="6ADEE4FF" w:rsidR="009136D6" w:rsidRPr="00635FE6" w:rsidRDefault="009136D6" w:rsidP="004F6C00">
      <w:pPr>
        <w:jc w:val="center"/>
        <w:rPr>
          <w:rFonts w:ascii="Times New Roman" w:hAnsi="Times New Roman" w:cs="Times New Roman"/>
        </w:rPr>
      </w:pPr>
      <w:r w:rsidRPr="00635FE6">
        <w:rPr>
          <w:rFonts w:ascii="Times New Roman" w:hAnsi="Times New Roman" w:cs="Times New Roman"/>
          <w:noProof/>
        </w:rPr>
        <w:drawing>
          <wp:inline distT="0" distB="0" distL="0" distR="0" wp14:anchorId="0403F317" wp14:editId="7A908A74">
            <wp:extent cx="4288536" cy="850302"/>
            <wp:effectExtent l="0" t="0" r="0" b="6985"/>
            <wp:docPr id="179143227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432277" name="Picture 6"/>
                    <pic:cNvPicPr>
                      <a:picLocks noChangeAspect="1" noChangeArrowheads="1"/>
                    </pic:cNvPicPr>
                  </pic:nvPicPr>
                  <pic:blipFill>
                    <a:blip r:embed="rId7"/>
                    <a:stretch>
                      <a:fillRect/>
                    </a:stretch>
                  </pic:blipFill>
                  <pic:spPr bwMode="auto">
                    <a:xfrm>
                      <a:off x="0" y="0"/>
                      <a:ext cx="4288536" cy="850302"/>
                    </a:xfrm>
                    <a:prstGeom prst="rect">
                      <a:avLst/>
                    </a:prstGeom>
                    <a:noFill/>
                  </pic:spPr>
                </pic:pic>
              </a:graphicData>
            </a:graphic>
          </wp:inline>
        </w:drawing>
      </w:r>
    </w:p>
    <w:p w14:paraId="68D2B771" w14:textId="6D4CA3BE" w:rsidR="009136D6" w:rsidRPr="00635FE6" w:rsidRDefault="009136D6" w:rsidP="006821C2">
      <w:pPr>
        <w:jc w:val="both"/>
        <w:rPr>
          <w:rFonts w:ascii="Times New Roman" w:hAnsi="Times New Roman" w:cs="Times New Roman"/>
        </w:rPr>
      </w:pPr>
      <w:r w:rsidRPr="008D465E">
        <w:rPr>
          <w:rFonts w:ascii="Times New Roman" w:hAnsi="Times New Roman" w:cs="Times New Roman"/>
          <w:b/>
          <w:bCs/>
        </w:rPr>
        <w:t>S</w:t>
      </w:r>
      <w:r w:rsidR="008E7138">
        <w:rPr>
          <w:rFonts w:ascii="Times New Roman" w:hAnsi="Times New Roman" w:cs="Times New Roman"/>
          <w:b/>
          <w:bCs/>
        </w:rPr>
        <w:t>4</w:t>
      </w:r>
      <w:r w:rsidRPr="00635FE6">
        <w:rPr>
          <w:rFonts w:ascii="Times New Roman" w:hAnsi="Times New Roman" w:cs="Times New Roman"/>
        </w:rPr>
        <w:t xml:space="preserve"> </w:t>
      </w:r>
      <w:r w:rsidR="00BE4490">
        <w:rPr>
          <w:rFonts w:ascii="Times New Roman" w:hAnsi="Times New Roman" w:cs="Times New Roman"/>
        </w:rPr>
        <w:t xml:space="preserve">The </w:t>
      </w:r>
      <w:r w:rsidR="008D465E">
        <w:rPr>
          <w:rFonts w:ascii="Times New Roman" w:hAnsi="Times New Roman" w:cs="Times New Roman"/>
        </w:rPr>
        <w:t xml:space="preserve">live tissue area equation uses the </w:t>
      </w:r>
      <w:r w:rsidR="00BE4490">
        <w:rPr>
          <w:rFonts w:ascii="Times New Roman" w:hAnsi="Times New Roman" w:cs="Times New Roman"/>
        </w:rPr>
        <w:t>p</w:t>
      </w:r>
      <w:r w:rsidRPr="00635FE6">
        <w:rPr>
          <w:rFonts w:ascii="Times New Roman" w:hAnsi="Times New Roman" w:cs="Times New Roman"/>
        </w:rPr>
        <w:t>ercentage of live tissue coverage</w:t>
      </w:r>
      <w:r w:rsidR="008D465E">
        <w:rPr>
          <w:rFonts w:ascii="Times New Roman" w:hAnsi="Times New Roman" w:cs="Times New Roman"/>
        </w:rPr>
        <w:t xml:space="preserve"> that was</w:t>
      </w:r>
      <w:r w:rsidR="00BE4490" w:rsidRPr="00635FE6">
        <w:rPr>
          <w:rFonts w:ascii="Times New Roman" w:hAnsi="Times New Roman" w:cs="Times New Roman"/>
        </w:rPr>
        <w:t xml:space="preserve"> </w:t>
      </w:r>
      <w:r w:rsidRPr="00635FE6">
        <w:rPr>
          <w:rFonts w:ascii="Times New Roman" w:hAnsi="Times New Roman" w:cs="Times New Roman"/>
        </w:rPr>
        <w:t xml:space="preserve">recorded during </w:t>
      </w:r>
      <w:r w:rsidR="008D465E">
        <w:rPr>
          <w:rFonts w:ascii="Times New Roman" w:hAnsi="Times New Roman" w:cs="Times New Roman"/>
        </w:rPr>
        <w:t>broadscale disease intervention and revisit</w:t>
      </w:r>
      <w:r w:rsidRPr="00635FE6">
        <w:rPr>
          <w:rFonts w:ascii="Times New Roman" w:hAnsi="Times New Roman" w:cs="Times New Roman"/>
        </w:rPr>
        <w:t xml:space="preserve"> dives. T</w:t>
      </w:r>
      <w:r w:rsidR="008D465E">
        <w:rPr>
          <w:rFonts w:ascii="Times New Roman" w:hAnsi="Times New Roman" w:cs="Times New Roman"/>
        </w:rPr>
        <w:t xml:space="preserve">his percentage </w:t>
      </w:r>
      <w:r w:rsidR="00BE4490">
        <w:rPr>
          <w:rFonts w:ascii="Times New Roman" w:hAnsi="Times New Roman" w:cs="Times New Roman"/>
        </w:rPr>
        <w:t>was</w:t>
      </w:r>
      <w:r w:rsidR="00BE4490" w:rsidRPr="00635FE6">
        <w:rPr>
          <w:rFonts w:ascii="Times New Roman" w:hAnsi="Times New Roman" w:cs="Times New Roman"/>
        </w:rPr>
        <w:t xml:space="preserve"> </w:t>
      </w:r>
      <w:r w:rsidRPr="00635FE6">
        <w:rPr>
          <w:rFonts w:ascii="Times New Roman" w:hAnsi="Times New Roman" w:cs="Times New Roman"/>
        </w:rPr>
        <w:t>divided by 100 to change the percentage to</w:t>
      </w:r>
      <w:r w:rsidR="00FC22C2">
        <w:rPr>
          <w:rFonts w:ascii="Times New Roman" w:hAnsi="Times New Roman" w:cs="Times New Roman"/>
        </w:rPr>
        <w:t xml:space="preserve"> a</w:t>
      </w:r>
      <w:r w:rsidRPr="00635FE6">
        <w:rPr>
          <w:rFonts w:ascii="Times New Roman" w:hAnsi="Times New Roman" w:cs="Times New Roman"/>
        </w:rPr>
        <w:t xml:space="preserve"> </w:t>
      </w:r>
      <w:r w:rsidR="00B9005B" w:rsidRPr="00635FE6">
        <w:rPr>
          <w:rFonts w:ascii="Times New Roman" w:hAnsi="Times New Roman" w:cs="Times New Roman"/>
        </w:rPr>
        <w:t>decimal</w:t>
      </w:r>
      <w:r w:rsidRPr="00635FE6">
        <w:rPr>
          <w:rFonts w:ascii="Times New Roman" w:hAnsi="Times New Roman" w:cs="Times New Roman"/>
        </w:rPr>
        <w:t xml:space="preserve">. The decimal </w:t>
      </w:r>
      <w:r w:rsidR="00BE4490">
        <w:rPr>
          <w:rFonts w:ascii="Times New Roman" w:hAnsi="Times New Roman" w:cs="Times New Roman"/>
        </w:rPr>
        <w:t>was</w:t>
      </w:r>
      <w:r w:rsidR="00BE4490" w:rsidRPr="00635FE6">
        <w:rPr>
          <w:rFonts w:ascii="Times New Roman" w:hAnsi="Times New Roman" w:cs="Times New Roman"/>
        </w:rPr>
        <w:t xml:space="preserve"> </w:t>
      </w:r>
      <w:r w:rsidRPr="00635FE6">
        <w:rPr>
          <w:rFonts w:ascii="Times New Roman" w:hAnsi="Times New Roman" w:cs="Times New Roman"/>
        </w:rPr>
        <w:t xml:space="preserve">multiplied by the surface area of that colony </w:t>
      </w:r>
      <w:r w:rsidR="00BE4490">
        <w:rPr>
          <w:rFonts w:ascii="Times New Roman" w:hAnsi="Times New Roman" w:cs="Times New Roman"/>
        </w:rPr>
        <w:t xml:space="preserve">(CSA) </w:t>
      </w:r>
      <w:r w:rsidRPr="00635FE6">
        <w:rPr>
          <w:rFonts w:ascii="Times New Roman" w:hAnsi="Times New Roman" w:cs="Times New Roman"/>
        </w:rPr>
        <w:t>to find the live tissue area (m</w:t>
      </w:r>
      <w:r w:rsidRPr="00635FE6">
        <w:rPr>
          <w:rFonts w:ascii="Times New Roman" w:hAnsi="Times New Roman" w:cs="Times New Roman"/>
          <w:vertAlign w:val="superscript"/>
        </w:rPr>
        <w:t>2</w:t>
      </w:r>
      <w:r w:rsidRPr="00635FE6">
        <w:rPr>
          <w:rFonts w:ascii="Times New Roman" w:hAnsi="Times New Roman" w:cs="Times New Roman"/>
        </w:rPr>
        <w:t>)</w:t>
      </w:r>
      <w:r w:rsidR="00BE4490">
        <w:rPr>
          <w:rFonts w:ascii="Times New Roman" w:hAnsi="Times New Roman" w:cs="Times New Roman"/>
        </w:rPr>
        <w:t xml:space="preserve"> (LTA)</w:t>
      </w:r>
    </w:p>
    <w:p w14:paraId="4B8A3EE6" w14:textId="77777777" w:rsidR="004F6C00" w:rsidRDefault="009136D6" w:rsidP="004F6C00">
      <w:pPr>
        <w:jc w:val="center"/>
        <w:rPr>
          <w:rFonts w:ascii="Times New Roman" w:hAnsi="Times New Roman" w:cs="Times New Roman"/>
        </w:rPr>
      </w:pPr>
      <w:r w:rsidRPr="00635FE6">
        <w:rPr>
          <w:rFonts w:ascii="Times New Roman" w:hAnsi="Times New Roman" w:cs="Times New Roman"/>
          <w:noProof/>
        </w:rPr>
        <w:drawing>
          <wp:inline distT="0" distB="0" distL="0" distR="0" wp14:anchorId="05EFA1DB" wp14:editId="5E981B17">
            <wp:extent cx="4288536" cy="650274"/>
            <wp:effectExtent l="0" t="0" r="0" b="0"/>
            <wp:docPr id="128266944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669442" name="Picture 7"/>
                    <pic:cNvPicPr>
                      <a:picLocks noChangeAspect="1" noChangeArrowheads="1"/>
                    </pic:cNvPicPr>
                  </pic:nvPicPr>
                  <pic:blipFill>
                    <a:blip r:embed="rId8"/>
                    <a:stretch>
                      <a:fillRect/>
                    </a:stretch>
                  </pic:blipFill>
                  <pic:spPr bwMode="auto">
                    <a:xfrm>
                      <a:off x="0" y="0"/>
                      <a:ext cx="4288536" cy="650274"/>
                    </a:xfrm>
                    <a:prstGeom prst="rect">
                      <a:avLst/>
                    </a:prstGeom>
                    <a:noFill/>
                  </pic:spPr>
                </pic:pic>
              </a:graphicData>
            </a:graphic>
          </wp:inline>
        </w:drawing>
      </w:r>
    </w:p>
    <w:p w14:paraId="13402111" w14:textId="5552FE21" w:rsidR="00AC7454" w:rsidRPr="00AC7454" w:rsidRDefault="00121341" w:rsidP="004F6C00">
      <w:pPr>
        <w:jc w:val="both"/>
        <w:rPr>
          <w:rFonts w:ascii="Times New Roman" w:hAnsi="Times New Roman" w:cs="Times New Roman"/>
        </w:rPr>
      </w:pPr>
      <w:r>
        <w:rPr>
          <w:rFonts w:ascii="Times New Roman" w:hAnsi="Times New Roman" w:cs="Times New Roman"/>
          <w:b/>
          <w:bCs/>
        </w:rPr>
        <w:t>S5</w:t>
      </w:r>
      <w:r w:rsidR="00AC7454">
        <w:rPr>
          <w:rFonts w:ascii="Times New Roman" w:hAnsi="Times New Roman" w:cs="Times New Roman"/>
          <w:b/>
          <w:bCs/>
        </w:rPr>
        <w:t xml:space="preserve"> </w:t>
      </w:r>
      <w:r w:rsidR="00AC7454">
        <w:rPr>
          <w:rFonts w:ascii="Times New Roman" w:hAnsi="Times New Roman" w:cs="Times New Roman"/>
        </w:rPr>
        <w:t xml:space="preserve">The total live tissue area </w:t>
      </w:r>
      <w:r w:rsidR="00191351" w:rsidRPr="00C4171A">
        <w:rPr>
          <w:rFonts w:ascii="Times New Roman" w:hAnsi="Times New Roman" w:cs="Times New Roman"/>
        </w:rPr>
        <w:t xml:space="preserve">(cm²) </w:t>
      </w:r>
      <w:r w:rsidR="00AC7454">
        <w:rPr>
          <w:rFonts w:ascii="Times New Roman" w:hAnsi="Times New Roman" w:cs="Times New Roman"/>
        </w:rPr>
        <w:t xml:space="preserve">was calculated as the sum of the ending live tissue area for all revisited colonies. The hypothetical live tissue area </w:t>
      </w:r>
      <w:r w:rsidR="00191351" w:rsidRPr="00C4171A">
        <w:rPr>
          <w:rFonts w:ascii="Times New Roman" w:hAnsi="Times New Roman" w:cs="Times New Roman"/>
        </w:rPr>
        <w:t xml:space="preserve">(cm²) </w:t>
      </w:r>
      <w:r w:rsidR="00AC7454">
        <w:rPr>
          <w:rFonts w:ascii="Times New Roman" w:hAnsi="Times New Roman" w:cs="Times New Roman"/>
        </w:rPr>
        <w:t xml:space="preserve">(Hyp. LTA) was calculated as the sum of the starting live tissue area and the observed 34% decline in live tissue on untreated </w:t>
      </w:r>
      <w:r w:rsidR="00AC7454" w:rsidRPr="00B50180">
        <w:rPr>
          <w:rFonts w:ascii="Times New Roman" w:hAnsi="Times New Roman" w:cs="Times New Roman"/>
          <w:i/>
          <w:iCs/>
        </w:rPr>
        <w:t>M. cavernosa</w:t>
      </w:r>
      <w:r w:rsidR="00AC7454">
        <w:rPr>
          <w:rFonts w:ascii="Times New Roman" w:hAnsi="Times New Roman" w:cs="Times New Roman"/>
        </w:rPr>
        <w:t xml:space="preserve"> colonies (Aeby et al. 2019) for all revisited colonies. The amount of live tissue saved from broadscale disease intervention activities was calculated from the total live tissue area</w:t>
      </w:r>
      <w:r w:rsidR="00191351">
        <w:rPr>
          <w:rFonts w:ascii="Times New Roman" w:hAnsi="Times New Roman" w:cs="Times New Roman"/>
        </w:rPr>
        <w:t xml:space="preserve"> </w:t>
      </w:r>
      <w:r w:rsidR="00191351" w:rsidRPr="00C4171A">
        <w:rPr>
          <w:rFonts w:ascii="Times New Roman" w:hAnsi="Times New Roman" w:cs="Times New Roman"/>
        </w:rPr>
        <w:t>(cm²)</w:t>
      </w:r>
      <w:r w:rsidR="00AC7454">
        <w:rPr>
          <w:rFonts w:ascii="Times New Roman" w:hAnsi="Times New Roman" w:cs="Times New Roman"/>
        </w:rPr>
        <w:t xml:space="preserve"> and the hypothetical live tissue area</w:t>
      </w:r>
      <w:r w:rsidR="00191351">
        <w:rPr>
          <w:rFonts w:ascii="Times New Roman" w:hAnsi="Times New Roman" w:cs="Times New Roman"/>
        </w:rPr>
        <w:t xml:space="preserve"> </w:t>
      </w:r>
      <w:r w:rsidR="00191351" w:rsidRPr="00C4171A">
        <w:rPr>
          <w:rFonts w:ascii="Times New Roman" w:hAnsi="Times New Roman" w:cs="Times New Roman"/>
        </w:rPr>
        <w:t>(cm²)</w:t>
      </w:r>
      <w:r w:rsidR="00AC7454">
        <w:rPr>
          <w:rFonts w:ascii="Times New Roman" w:hAnsi="Times New Roman" w:cs="Times New Roman"/>
        </w:rPr>
        <w:t>. Using the average size microfragment</w:t>
      </w:r>
      <w:r w:rsidR="00191351">
        <w:rPr>
          <w:rFonts w:ascii="Times New Roman" w:hAnsi="Times New Roman" w:cs="Times New Roman"/>
        </w:rPr>
        <w:t xml:space="preserve"> </w:t>
      </w:r>
      <w:r w:rsidR="00191351" w:rsidRPr="00C4171A">
        <w:rPr>
          <w:rFonts w:ascii="Times New Roman" w:hAnsi="Times New Roman" w:cs="Times New Roman"/>
        </w:rPr>
        <w:t>(cm²)</w:t>
      </w:r>
      <w:r w:rsidR="00AC7454">
        <w:rPr>
          <w:rFonts w:ascii="Times New Roman" w:hAnsi="Times New Roman" w:cs="Times New Roman"/>
        </w:rPr>
        <w:t xml:space="preserve"> and number of microfragments produced per year by Mote Marine Laboratory and Aquarium (Page et al. 2018), the total amount of live tissue area saved from broadscale disease intervention activities can be converted to the equivalent number of microfragments and years it would take to produce.</w:t>
      </w:r>
    </w:p>
    <w:p w14:paraId="28CA5767" w14:textId="744F0089" w:rsidR="00121341" w:rsidRDefault="00121341" w:rsidP="00D27D87">
      <w:pPr>
        <w:jc w:val="center"/>
        <w:rPr>
          <w:rFonts w:ascii="Times New Roman" w:hAnsi="Times New Roman" w:cs="Times New Roman"/>
          <w:b/>
          <w:bCs/>
        </w:rPr>
      </w:pPr>
      <w:r>
        <w:rPr>
          <w:rFonts w:ascii="Times New Roman" w:hAnsi="Times New Roman" w:cs="Times New Roman"/>
          <w:b/>
          <w:bCs/>
          <w:noProof/>
        </w:rPr>
        <w:drawing>
          <wp:inline distT="0" distB="0" distL="0" distR="0" wp14:anchorId="34943F5D" wp14:editId="5AC63B4C">
            <wp:extent cx="4288536" cy="2426244"/>
            <wp:effectExtent l="0" t="0" r="0" b="0"/>
            <wp:docPr id="9436416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641651" name="Picture 1"/>
                    <pic:cNvPicPr/>
                  </pic:nvPicPr>
                  <pic:blipFill>
                    <a:blip r:embed="rId9"/>
                    <a:stretch>
                      <a:fillRect/>
                    </a:stretch>
                  </pic:blipFill>
                  <pic:spPr>
                    <a:xfrm>
                      <a:off x="0" y="0"/>
                      <a:ext cx="4288536" cy="2426244"/>
                    </a:xfrm>
                    <a:prstGeom prst="rect">
                      <a:avLst/>
                    </a:prstGeom>
                  </pic:spPr>
                </pic:pic>
              </a:graphicData>
            </a:graphic>
          </wp:inline>
        </w:drawing>
      </w:r>
    </w:p>
    <w:p w14:paraId="76446C90" w14:textId="39624BEA" w:rsidR="00121341" w:rsidRPr="00AC7454" w:rsidRDefault="00121341" w:rsidP="004F6C00">
      <w:pPr>
        <w:jc w:val="both"/>
        <w:rPr>
          <w:rFonts w:ascii="Times New Roman" w:hAnsi="Times New Roman" w:cs="Times New Roman"/>
        </w:rPr>
      </w:pPr>
      <w:r>
        <w:rPr>
          <w:rFonts w:ascii="Times New Roman" w:hAnsi="Times New Roman" w:cs="Times New Roman"/>
          <w:b/>
          <w:bCs/>
        </w:rPr>
        <w:t xml:space="preserve">S6 </w:t>
      </w:r>
      <w:r w:rsidR="00AC7454" w:rsidRPr="00AC7454">
        <w:rPr>
          <w:rFonts w:ascii="Times New Roman" w:hAnsi="Times New Roman" w:cs="Times New Roman"/>
        </w:rPr>
        <w:t xml:space="preserve">The best fitted binomial generalized linear model </w:t>
      </w:r>
      <w:r w:rsidR="00430AC8">
        <w:rPr>
          <w:rFonts w:ascii="Times New Roman" w:hAnsi="Times New Roman" w:cs="Times New Roman"/>
        </w:rPr>
        <w:t>to explain</w:t>
      </w:r>
      <w:r w:rsidR="00AC7454" w:rsidRPr="00AC7454">
        <w:rPr>
          <w:rFonts w:ascii="Times New Roman" w:hAnsi="Times New Roman" w:cs="Times New Roman"/>
        </w:rPr>
        <w:t xml:space="preserve"> the influence month groups and treatment type have on colony condition</w:t>
      </w:r>
      <w:r w:rsidR="00AC7454">
        <w:rPr>
          <w:rFonts w:ascii="Times New Roman" w:hAnsi="Times New Roman" w:cs="Times New Roman"/>
          <w:b/>
          <w:bCs/>
        </w:rPr>
        <w:t xml:space="preserve"> </w:t>
      </w:r>
    </w:p>
    <w:p w14:paraId="728A04A5" w14:textId="5D41EF92" w:rsidR="00121341" w:rsidRDefault="00121341" w:rsidP="00121341">
      <w:pPr>
        <w:jc w:val="center"/>
        <w:rPr>
          <w:rFonts w:ascii="Times New Roman" w:hAnsi="Times New Roman" w:cs="Times New Roman"/>
          <w:b/>
          <w:bCs/>
        </w:rPr>
      </w:pPr>
      <w:r>
        <w:rPr>
          <w:rFonts w:ascii="Times New Roman" w:hAnsi="Times New Roman" w:cs="Times New Roman"/>
          <w:b/>
          <w:bCs/>
          <w:noProof/>
        </w:rPr>
        <w:drawing>
          <wp:inline distT="0" distB="0" distL="0" distR="0" wp14:anchorId="5F855F2C" wp14:editId="3E870A2C">
            <wp:extent cx="4288536" cy="534694"/>
            <wp:effectExtent l="0" t="0" r="0" b="0"/>
            <wp:docPr id="125546518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465181" name="Picture 2"/>
                    <pic:cNvPicPr/>
                  </pic:nvPicPr>
                  <pic:blipFill>
                    <a:blip r:embed="rId10"/>
                    <a:stretch>
                      <a:fillRect/>
                    </a:stretch>
                  </pic:blipFill>
                  <pic:spPr>
                    <a:xfrm>
                      <a:off x="0" y="0"/>
                      <a:ext cx="4288536" cy="534694"/>
                    </a:xfrm>
                    <a:prstGeom prst="rect">
                      <a:avLst/>
                    </a:prstGeom>
                  </pic:spPr>
                </pic:pic>
              </a:graphicData>
            </a:graphic>
          </wp:inline>
        </w:drawing>
      </w:r>
      <w:r w:rsidR="000A5451">
        <w:rPr>
          <w:rFonts w:ascii="Times New Roman" w:hAnsi="Times New Roman" w:cs="Times New Roman"/>
          <w:b/>
          <w:bCs/>
        </w:rPr>
        <w:t xml:space="preserve"> </w:t>
      </w:r>
    </w:p>
    <w:p w14:paraId="195A92AF" w14:textId="06A8ED72" w:rsidR="009901AF" w:rsidRPr="00635FE6" w:rsidRDefault="009901AF" w:rsidP="004F6C00">
      <w:pPr>
        <w:jc w:val="both"/>
        <w:rPr>
          <w:rFonts w:ascii="Times New Roman" w:hAnsi="Times New Roman" w:cs="Times New Roman"/>
        </w:rPr>
      </w:pPr>
      <w:r w:rsidRPr="008D465E">
        <w:rPr>
          <w:rFonts w:ascii="Times New Roman" w:hAnsi="Times New Roman" w:cs="Times New Roman"/>
          <w:b/>
          <w:bCs/>
        </w:rPr>
        <w:t>S</w:t>
      </w:r>
      <w:r w:rsidR="00121341">
        <w:rPr>
          <w:rFonts w:ascii="Times New Roman" w:hAnsi="Times New Roman" w:cs="Times New Roman"/>
          <w:b/>
          <w:bCs/>
        </w:rPr>
        <w:t>7</w:t>
      </w:r>
      <w:r w:rsidRPr="00635FE6">
        <w:rPr>
          <w:rFonts w:ascii="Times New Roman" w:hAnsi="Times New Roman" w:cs="Times New Roman"/>
        </w:rPr>
        <w:t xml:space="preserve"> Mean </w:t>
      </w:r>
      <w:r w:rsidR="00BE4490">
        <w:rPr>
          <w:rFonts w:ascii="Times New Roman" w:hAnsi="Times New Roman" w:cs="Times New Roman"/>
        </w:rPr>
        <w:t xml:space="preserve">colony </w:t>
      </w:r>
      <w:r w:rsidRPr="00635FE6">
        <w:rPr>
          <w:rFonts w:ascii="Times New Roman" w:hAnsi="Times New Roman" w:cs="Times New Roman"/>
        </w:rPr>
        <w:t>surface area (m²) was significantly higher for corals in the 13-21 month group</w:t>
      </w:r>
      <w:r w:rsidR="00BE4490">
        <w:rPr>
          <w:rFonts w:ascii="Times New Roman" w:hAnsi="Times New Roman" w:cs="Times New Roman"/>
        </w:rPr>
        <w:t xml:space="preserve"> compared to the other two groups</w:t>
      </w:r>
      <w:r w:rsidRPr="00635FE6">
        <w:rPr>
          <w:rFonts w:ascii="Times New Roman" w:hAnsi="Times New Roman" w:cs="Times New Roman"/>
        </w:rPr>
        <w:t>. Dashed line in the boxplots represent the mean surface area (m²) for each month group.</w:t>
      </w:r>
      <w:r w:rsidR="00B622AE" w:rsidRPr="00635FE6">
        <w:rPr>
          <w:rFonts w:ascii="Times New Roman" w:hAnsi="Times New Roman" w:cs="Times New Roman"/>
        </w:rPr>
        <w:t xml:space="preserve"> Solid lines in the boxplots represent the median surface area (m²) for each month group. </w:t>
      </w:r>
      <w:r w:rsidRPr="00635FE6">
        <w:rPr>
          <w:rFonts w:ascii="Times New Roman" w:hAnsi="Times New Roman" w:cs="Times New Roman"/>
        </w:rPr>
        <w:t xml:space="preserve"> Asterisks indicate significance</w:t>
      </w:r>
    </w:p>
    <w:p w14:paraId="316F1C79" w14:textId="0EA42E51" w:rsidR="009901AF" w:rsidRPr="00635FE6" w:rsidRDefault="009901AF" w:rsidP="004F6C00">
      <w:pPr>
        <w:jc w:val="center"/>
        <w:rPr>
          <w:rFonts w:ascii="Times New Roman" w:hAnsi="Times New Roman" w:cs="Times New Roman"/>
        </w:rPr>
      </w:pPr>
      <w:r w:rsidRPr="00635FE6">
        <w:rPr>
          <w:rFonts w:ascii="Times New Roman" w:hAnsi="Times New Roman" w:cs="Times New Roman"/>
          <w:noProof/>
        </w:rPr>
        <w:drawing>
          <wp:inline distT="0" distB="0" distL="0" distR="0" wp14:anchorId="4B91A388" wp14:editId="04C3FFEA">
            <wp:extent cx="4288536" cy="3403899"/>
            <wp:effectExtent l="0" t="0" r="0" b="6350"/>
            <wp:docPr id="61727500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275004" name="Picture 10"/>
                    <pic:cNvPicPr>
                      <a:picLocks noChangeAspect="1" noChangeArrowheads="1"/>
                    </pic:cNvPicPr>
                  </pic:nvPicPr>
                  <pic:blipFill>
                    <a:blip r:embed="rId11"/>
                    <a:stretch>
                      <a:fillRect/>
                    </a:stretch>
                  </pic:blipFill>
                  <pic:spPr bwMode="auto">
                    <a:xfrm>
                      <a:off x="0" y="0"/>
                      <a:ext cx="4288536" cy="3403899"/>
                    </a:xfrm>
                    <a:prstGeom prst="rect">
                      <a:avLst/>
                    </a:prstGeom>
                    <a:noFill/>
                  </pic:spPr>
                </pic:pic>
              </a:graphicData>
            </a:graphic>
          </wp:inline>
        </w:drawing>
      </w:r>
    </w:p>
    <w:p w14:paraId="2FE959D2" w14:textId="648DEE22" w:rsidR="00B54D04" w:rsidRDefault="00B54D04" w:rsidP="006821C2">
      <w:pPr>
        <w:jc w:val="both"/>
        <w:rPr>
          <w:rFonts w:ascii="Times New Roman" w:hAnsi="Times New Roman" w:cs="Times New Roman"/>
        </w:rPr>
      </w:pPr>
      <w:r w:rsidRPr="008D465E">
        <w:rPr>
          <w:rFonts w:ascii="Times New Roman" w:hAnsi="Times New Roman" w:cs="Times New Roman"/>
          <w:b/>
          <w:bCs/>
        </w:rPr>
        <w:t>S</w:t>
      </w:r>
      <w:r w:rsidR="00B9005B">
        <w:rPr>
          <w:rFonts w:ascii="Times New Roman" w:hAnsi="Times New Roman" w:cs="Times New Roman"/>
          <w:b/>
          <w:bCs/>
        </w:rPr>
        <w:t>8</w:t>
      </w:r>
      <w:r w:rsidRPr="00635FE6">
        <w:rPr>
          <w:rFonts w:ascii="Times New Roman" w:hAnsi="Times New Roman" w:cs="Times New Roman"/>
        </w:rPr>
        <w:t xml:space="preserve"> </w:t>
      </w:r>
      <w:r w:rsidR="004F6C00" w:rsidRPr="00635FE6">
        <w:rPr>
          <w:rFonts w:ascii="Times New Roman" w:hAnsi="Times New Roman" w:cs="Times New Roman"/>
        </w:rPr>
        <w:t>The percentage</w:t>
      </w:r>
      <w:r w:rsidRPr="00635FE6">
        <w:rPr>
          <w:rFonts w:ascii="Times New Roman" w:hAnsi="Times New Roman" w:cs="Times New Roman"/>
        </w:rPr>
        <w:t xml:space="preserve"> change </w:t>
      </w:r>
      <w:r w:rsidR="00F24F28">
        <w:rPr>
          <w:rFonts w:ascii="Times New Roman" w:hAnsi="Times New Roman" w:cs="Times New Roman"/>
        </w:rPr>
        <w:t>of</w:t>
      </w:r>
      <w:r w:rsidRPr="00635FE6">
        <w:rPr>
          <w:rFonts w:ascii="Times New Roman" w:hAnsi="Times New Roman" w:cs="Times New Roman"/>
        </w:rPr>
        <w:t xml:space="preserve"> live tissue coverage for each month group</w:t>
      </w:r>
      <w:r w:rsidR="00DF6951">
        <w:rPr>
          <w:rFonts w:ascii="Times New Roman" w:hAnsi="Times New Roman" w:cs="Times New Roman"/>
        </w:rPr>
        <w:t>s did not differ significantly</w:t>
      </w:r>
      <w:r w:rsidRPr="00635FE6">
        <w:rPr>
          <w:rFonts w:ascii="Times New Roman" w:hAnsi="Times New Roman" w:cs="Times New Roman"/>
        </w:rPr>
        <w:t>. Dashed lines are the mean percent change in live tissue coverage.</w:t>
      </w:r>
      <w:r w:rsidR="00B622AE" w:rsidRPr="00635FE6">
        <w:rPr>
          <w:rFonts w:ascii="Times New Roman" w:hAnsi="Times New Roman" w:cs="Times New Roman"/>
        </w:rPr>
        <w:t xml:space="preserve"> Solid lines are the median percent change in live tissue coverage</w:t>
      </w:r>
      <w:r w:rsidR="00B622AE">
        <w:rPr>
          <w:rFonts w:ascii="Times New Roman" w:hAnsi="Times New Roman" w:cs="Times New Roman"/>
        </w:rPr>
        <w:t xml:space="preserve"> </w:t>
      </w:r>
    </w:p>
    <w:p w14:paraId="3945E578" w14:textId="15A1BC53" w:rsidR="00B54D04" w:rsidRDefault="00B54D04" w:rsidP="004F6C00">
      <w:pPr>
        <w:jc w:val="center"/>
        <w:rPr>
          <w:rFonts w:ascii="Times New Roman" w:hAnsi="Times New Roman" w:cs="Times New Roman"/>
        </w:rPr>
      </w:pPr>
      <w:r w:rsidRPr="00734095">
        <w:rPr>
          <w:noProof/>
        </w:rPr>
        <w:drawing>
          <wp:inline distT="0" distB="0" distL="0" distR="0" wp14:anchorId="78C28162" wp14:editId="07A4120D">
            <wp:extent cx="4288536" cy="3475310"/>
            <wp:effectExtent l="0" t="0" r="0" b="0"/>
            <wp:docPr id="117185620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856204" name="Picture 2"/>
                    <pic:cNvPicPr/>
                  </pic:nvPicPr>
                  <pic:blipFill>
                    <a:blip r:embed="rId12"/>
                    <a:stretch>
                      <a:fillRect/>
                    </a:stretch>
                  </pic:blipFill>
                  <pic:spPr>
                    <a:xfrm>
                      <a:off x="0" y="0"/>
                      <a:ext cx="4288536" cy="3475310"/>
                    </a:xfrm>
                    <a:prstGeom prst="rect">
                      <a:avLst/>
                    </a:prstGeom>
                  </pic:spPr>
                </pic:pic>
              </a:graphicData>
            </a:graphic>
          </wp:inline>
        </w:drawing>
      </w:r>
    </w:p>
    <w:p w14:paraId="63CFA492" w14:textId="77777777" w:rsidR="00B54D04" w:rsidRDefault="00B54D04" w:rsidP="009901AF"/>
    <w:sectPr w:rsidR="00B54D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481E3B"/>
    <w:multiLevelType w:val="hybridMultilevel"/>
    <w:tmpl w:val="F4C61BA0"/>
    <w:lvl w:ilvl="0" w:tplc="29EE11E6">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47085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6C7"/>
    <w:rsid w:val="000A5451"/>
    <w:rsid w:val="000C5E15"/>
    <w:rsid w:val="0010589A"/>
    <w:rsid w:val="001147BA"/>
    <w:rsid w:val="00121341"/>
    <w:rsid w:val="001318B2"/>
    <w:rsid w:val="00140C9D"/>
    <w:rsid w:val="00155707"/>
    <w:rsid w:val="00161444"/>
    <w:rsid w:val="00191351"/>
    <w:rsid w:val="001E0AB9"/>
    <w:rsid w:val="00235C2E"/>
    <w:rsid w:val="002A49B6"/>
    <w:rsid w:val="002C0DA4"/>
    <w:rsid w:val="003046D9"/>
    <w:rsid w:val="00383AF7"/>
    <w:rsid w:val="00430AC8"/>
    <w:rsid w:val="00442EFA"/>
    <w:rsid w:val="004726C7"/>
    <w:rsid w:val="00476DD6"/>
    <w:rsid w:val="00483F76"/>
    <w:rsid w:val="004872FE"/>
    <w:rsid w:val="004D07CA"/>
    <w:rsid w:val="004F6C00"/>
    <w:rsid w:val="005311B5"/>
    <w:rsid w:val="00537216"/>
    <w:rsid w:val="005F118E"/>
    <w:rsid w:val="005F4388"/>
    <w:rsid w:val="0063148B"/>
    <w:rsid w:val="00635FE6"/>
    <w:rsid w:val="006655E1"/>
    <w:rsid w:val="006821C2"/>
    <w:rsid w:val="00753ED5"/>
    <w:rsid w:val="00776D0C"/>
    <w:rsid w:val="00840F4F"/>
    <w:rsid w:val="00852AE1"/>
    <w:rsid w:val="008A4153"/>
    <w:rsid w:val="008D465E"/>
    <w:rsid w:val="008D62BD"/>
    <w:rsid w:val="008E7138"/>
    <w:rsid w:val="009136D6"/>
    <w:rsid w:val="009901AF"/>
    <w:rsid w:val="00A76E8C"/>
    <w:rsid w:val="00A96998"/>
    <w:rsid w:val="00AC7454"/>
    <w:rsid w:val="00AD38FD"/>
    <w:rsid w:val="00B376BE"/>
    <w:rsid w:val="00B50180"/>
    <w:rsid w:val="00B54D04"/>
    <w:rsid w:val="00B622AE"/>
    <w:rsid w:val="00B87D96"/>
    <w:rsid w:val="00B9005B"/>
    <w:rsid w:val="00BE4490"/>
    <w:rsid w:val="00BF7757"/>
    <w:rsid w:val="00C537E7"/>
    <w:rsid w:val="00CA5BF0"/>
    <w:rsid w:val="00CF1B83"/>
    <w:rsid w:val="00D0774E"/>
    <w:rsid w:val="00D27D87"/>
    <w:rsid w:val="00DE6411"/>
    <w:rsid w:val="00DF6951"/>
    <w:rsid w:val="00E32E1D"/>
    <w:rsid w:val="00E46A6C"/>
    <w:rsid w:val="00EC48ED"/>
    <w:rsid w:val="00F24F28"/>
    <w:rsid w:val="00F47A10"/>
    <w:rsid w:val="00FC22C2"/>
    <w:rsid w:val="00FC60D3"/>
    <w:rsid w:val="00FF34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5856F9F"/>
  <w14:defaultImageDpi w14:val="32767"/>
  <w15:chartTrackingRefBased/>
  <w15:docId w15:val="{DE0F5873-6A7C-4643-A0EA-489C2F2DB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726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726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726C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726C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726C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726C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726C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26C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26C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26C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726C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726C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726C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726C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726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26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26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26C7"/>
    <w:rPr>
      <w:rFonts w:eastAsiaTheme="majorEastAsia" w:cstheme="majorBidi"/>
      <w:color w:val="272727" w:themeColor="text1" w:themeTint="D8"/>
    </w:rPr>
  </w:style>
  <w:style w:type="paragraph" w:styleId="Title">
    <w:name w:val="Title"/>
    <w:basedOn w:val="Normal"/>
    <w:next w:val="Normal"/>
    <w:link w:val="TitleChar"/>
    <w:uiPriority w:val="10"/>
    <w:qFormat/>
    <w:rsid w:val="004726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26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26C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26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26C7"/>
    <w:pPr>
      <w:spacing w:before="160"/>
      <w:jc w:val="center"/>
    </w:pPr>
    <w:rPr>
      <w:i/>
      <w:iCs/>
      <w:color w:val="404040" w:themeColor="text1" w:themeTint="BF"/>
    </w:rPr>
  </w:style>
  <w:style w:type="character" w:customStyle="1" w:styleId="QuoteChar">
    <w:name w:val="Quote Char"/>
    <w:basedOn w:val="DefaultParagraphFont"/>
    <w:link w:val="Quote"/>
    <w:uiPriority w:val="29"/>
    <w:rsid w:val="004726C7"/>
    <w:rPr>
      <w:i/>
      <w:iCs/>
      <w:color w:val="404040" w:themeColor="text1" w:themeTint="BF"/>
    </w:rPr>
  </w:style>
  <w:style w:type="paragraph" w:styleId="ListParagraph">
    <w:name w:val="List Paragraph"/>
    <w:basedOn w:val="Normal"/>
    <w:uiPriority w:val="34"/>
    <w:qFormat/>
    <w:rsid w:val="004726C7"/>
    <w:pPr>
      <w:ind w:left="720"/>
      <w:contextualSpacing/>
    </w:pPr>
  </w:style>
  <w:style w:type="character" w:styleId="IntenseEmphasis">
    <w:name w:val="Intense Emphasis"/>
    <w:basedOn w:val="DefaultParagraphFont"/>
    <w:uiPriority w:val="21"/>
    <w:qFormat/>
    <w:rsid w:val="004726C7"/>
    <w:rPr>
      <w:i/>
      <w:iCs/>
      <w:color w:val="0F4761" w:themeColor="accent1" w:themeShade="BF"/>
    </w:rPr>
  </w:style>
  <w:style w:type="paragraph" w:styleId="IntenseQuote">
    <w:name w:val="Intense Quote"/>
    <w:basedOn w:val="Normal"/>
    <w:next w:val="Normal"/>
    <w:link w:val="IntenseQuoteChar"/>
    <w:uiPriority w:val="30"/>
    <w:qFormat/>
    <w:rsid w:val="004726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726C7"/>
    <w:rPr>
      <w:i/>
      <w:iCs/>
      <w:color w:val="0F4761" w:themeColor="accent1" w:themeShade="BF"/>
    </w:rPr>
  </w:style>
  <w:style w:type="character" w:styleId="IntenseReference">
    <w:name w:val="Intense Reference"/>
    <w:basedOn w:val="DefaultParagraphFont"/>
    <w:uiPriority w:val="32"/>
    <w:qFormat/>
    <w:rsid w:val="004726C7"/>
    <w:rPr>
      <w:b/>
      <w:bCs/>
      <w:smallCaps/>
      <w:color w:val="0F4761" w:themeColor="accent1" w:themeShade="BF"/>
      <w:spacing w:val="5"/>
    </w:rPr>
  </w:style>
  <w:style w:type="table" w:styleId="TableGrid">
    <w:name w:val="Table Grid"/>
    <w:basedOn w:val="TableNormal"/>
    <w:uiPriority w:val="39"/>
    <w:rsid w:val="001318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54D04"/>
    <w:rPr>
      <w:sz w:val="16"/>
      <w:szCs w:val="16"/>
    </w:rPr>
  </w:style>
  <w:style w:type="paragraph" w:styleId="CommentText">
    <w:name w:val="annotation text"/>
    <w:basedOn w:val="Normal"/>
    <w:link w:val="CommentTextChar"/>
    <w:uiPriority w:val="99"/>
    <w:unhideWhenUsed/>
    <w:rsid w:val="00B54D04"/>
    <w:pPr>
      <w:spacing w:line="240" w:lineRule="auto"/>
    </w:pPr>
    <w:rPr>
      <w:sz w:val="20"/>
      <w:szCs w:val="20"/>
    </w:rPr>
  </w:style>
  <w:style w:type="character" w:customStyle="1" w:styleId="CommentTextChar">
    <w:name w:val="Comment Text Char"/>
    <w:basedOn w:val="DefaultParagraphFont"/>
    <w:link w:val="CommentText"/>
    <w:uiPriority w:val="99"/>
    <w:rsid w:val="00B54D04"/>
    <w:rPr>
      <w:sz w:val="20"/>
      <w:szCs w:val="20"/>
    </w:rPr>
  </w:style>
  <w:style w:type="paragraph" w:styleId="CommentSubject">
    <w:name w:val="annotation subject"/>
    <w:basedOn w:val="CommentText"/>
    <w:next w:val="CommentText"/>
    <w:link w:val="CommentSubjectChar"/>
    <w:uiPriority w:val="99"/>
    <w:semiHidden/>
    <w:unhideWhenUsed/>
    <w:rsid w:val="00BE4490"/>
    <w:rPr>
      <w:b/>
      <w:bCs/>
    </w:rPr>
  </w:style>
  <w:style w:type="character" w:customStyle="1" w:styleId="CommentSubjectChar">
    <w:name w:val="Comment Subject Char"/>
    <w:basedOn w:val="CommentTextChar"/>
    <w:link w:val="CommentSubject"/>
    <w:uiPriority w:val="99"/>
    <w:semiHidden/>
    <w:rsid w:val="00BE4490"/>
    <w:rPr>
      <w:b/>
      <w:bCs/>
      <w:sz w:val="20"/>
      <w:szCs w:val="20"/>
    </w:rPr>
  </w:style>
  <w:style w:type="paragraph" w:styleId="Revision">
    <w:name w:val="Revision"/>
    <w:hidden/>
    <w:uiPriority w:val="99"/>
    <w:semiHidden/>
    <w:rsid w:val="00BE449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g"/><Relationship Id="rId12" Type="http://schemas.openxmlformats.org/officeDocument/2006/relationships/image" Target="media/image8.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7.jpg"/><Relationship Id="rId5" Type="http://schemas.openxmlformats.org/officeDocument/2006/relationships/image" Target="media/image1.jpg"/><Relationship Id="rId10" Type="http://schemas.openxmlformats.org/officeDocument/2006/relationships/image" Target="media/image6.jpg"/><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485</Words>
  <Characters>2771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Zummo</dc:creator>
  <cp:keywords/>
  <dc:description/>
  <cp:lastModifiedBy>Zummo, Amanda</cp:lastModifiedBy>
  <cp:revision>3</cp:revision>
  <cp:lastPrinted>2025-04-09T13:27:00Z</cp:lastPrinted>
  <dcterms:created xsi:type="dcterms:W3CDTF">2026-01-09T17:49:00Z</dcterms:created>
  <dcterms:modified xsi:type="dcterms:W3CDTF">2026-01-09T18:41:00Z</dcterms:modified>
</cp:coreProperties>
</file>