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6FEBF5" w14:textId="77777777" w:rsidR="002F0F99" w:rsidRDefault="002F0F99">
      <w:r>
        <w:t xml:space="preserve">Balancing the benefits and risks of population connectivity to coral restoration in the age of emergent disease </w:t>
      </w:r>
    </w:p>
    <w:p w14:paraId="2D8E52EB" w14:textId="77777777" w:rsidR="002F0F99" w:rsidRDefault="002F0F99"/>
    <w:p w14:paraId="758FBD62" w14:textId="58968AB3" w:rsidR="002F0F99" w:rsidRDefault="002F0F99">
      <w:pPr>
        <w:rPr>
          <w:vertAlign w:val="superscript"/>
        </w:rPr>
      </w:pPr>
      <w:r w:rsidRPr="007C54E6">
        <w:t xml:space="preserve">Daniel M. Holstein, Thomas </w:t>
      </w:r>
      <w:proofErr w:type="spellStart"/>
      <w:r w:rsidRPr="007C54E6">
        <w:t>Dobbelaere</w:t>
      </w:r>
      <w:proofErr w:type="spellEnd"/>
      <w:r w:rsidRPr="007C54E6">
        <w:t xml:space="preserve">, Lew </w:t>
      </w:r>
      <w:proofErr w:type="spellStart"/>
      <w:r w:rsidRPr="007C54E6">
        <w:t>Gramer</w:t>
      </w:r>
      <w:proofErr w:type="spellEnd"/>
      <w:r w:rsidRPr="007C54E6">
        <w:t xml:space="preserve">, </w:t>
      </w:r>
      <w:r>
        <w:t>Lucas</w:t>
      </w:r>
      <w:r w:rsidRPr="007C54E6">
        <w:t xml:space="preserve"> </w:t>
      </w:r>
      <w:proofErr w:type="spellStart"/>
      <w:r w:rsidRPr="007C54E6">
        <w:t>McEachron</w:t>
      </w:r>
      <w:proofErr w:type="spellEnd"/>
      <w:r w:rsidRPr="007C54E6">
        <w:t xml:space="preserve">, </w:t>
      </w:r>
      <w:proofErr w:type="spellStart"/>
      <w:r w:rsidRPr="007C54E6">
        <w:t>Erinn</w:t>
      </w:r>
      <w:proofErr w:type="spellEnd"/>
      <w:r w:rsidRPr="007C54E6">
        <w:t xml:space="preserve"> Muller</w:t>
      </w:r>
      <w:r>
        <w:t xml:space="preserve">, Sara Williams, </w:t>
      </w:r>
      <w:r w:rsidRPr="007C54E6">
        <w:t xml:space="preserve">Emmanuel </w:t>
      </w:r>
      <w:proofErr w:type="spellStart"/>
      <w:r w:rsidRPr="007C54E6">
        <w:t>Hanert</w:t>
      </w:r>
      <w:proofErr w:type="spellEnd"/>
    </w:p>
    <w:p w14:paraId="7576A362" w14:textId="77777777" w:rsidR="002F0F99" w:rsidRDefault="002F0F99"/>
    <w:p w14:paraId="39FC1A09" w14:textId="72BBE6B3" w:rsidR="00061030" w:rsidRPr="002F0F99" w:rsidRDefault="003A2992">
      <w:pPr>
        <w:rPr>
          <w:b/>
          <w:bCs/>
          <w:smallCaps/>
        </w:rPr>
      </w:pPr>
      <w:r w:rsidRPr="002F0F99">
        <w:rPr>
          <w:b/>
          <w:bCs/>
          <w:smallCaps/>
        </w:rPr>
        <w:t>Supporting Information</w:t>
      </w:r>
    </w:p>
    <w:p w14:paraId="07357020" w14:textId="77777777" w:rsidR="003A2992" w:rsidRDefault="003A2992"/>
    <w:p w14:paraId="37D933E0" w14:textId="0BEB50EB" w:rsidR="003A2992" w:rsidRPr="002F0F99" w:rsidRDefault="003A2992">
      <w:pPr>
        <w:rPr>
          <w:b/>
          <w:bCs/>
        </w:rPr>
      </w:pPr>
      <w:r w:rsidRPr="002F0F99">
        <w:rPr>
          <w:b/>
          <w:bCs/>
        </w:rPr>
        <w:t>Supplemental Methods:</w:t>
      </w:r>
    </w:p>
    <w:p w14:paraId="54B4F644" w14:textId="77777777" w:rsidR="003A2992" w:rsidRPr="00234FED" w:rsidRDefault="003A2992" w:rsidP="003A2992">
      <w:r>
        <w:rPr>
          <w:i/>
          <w:iCs/>
        </w:rPr>
        <w:t>W</w:t>
      </w:r>
      <w:r w:rsidRPr="00147C30">
        <w:rPr>
          <w:i/>
          <w:iCs/>
        </w:rPr>
        <w:t>eighted in- and out-degree</w:t>
      </w:r>
      <w:r w:rsidRPr="00234FED">
        <w:t>:</w:t>
      </w:r>
    </w:p>
    <w:p w14:paraId="3D586EB0" w14:textId="77777777" w:rsidR="003A2992" w:rsidRPr="00234FED" w:rsidRDefault="003A2992" w:rsidP="003A2992">
      <w:r>
        <w:t>I</w:t>
      </w:r>
      <w:r w:rsidRPr="00234FED">
        <w:t>n- and out-degree (</w:t>
      </w:r>
      <m:oMath>
        <m:sSub>
          <m:sSubPr>
            <m:ctrlPr>
              <w:rPr>
                <w:rFonts w:ascii="Cambria Math" w:eastAsia="Cambria Math" w:hAnsi="Cambria Math"/>
              </w:rPr>
            </m:ctrlPr>
          </m:sSubPr>
          <m:e>
            <m:r>
              <w:rPr>
                <w:rFonts w:ascii="Cambria Math" w:eastAsia="Cambria Math" w:hAnsi="Cambria Math"/>
              </w:rPr>
              <m:t>k</m:t>
            </m:r>
          </m:e>
          <m:sub>
            <m:r>
              <w:rPr>
                <w:rFonts w:ascii="Cambria Math" w:eastAsia="Cambria Math" w:hAnsi="Cambria Math"/>
              </w:rPr>
              <m:t>i</m:t>
            </m:r>
          </m:sub>
        </m:sSub>
      </m:oMath>
      <w:r w:rsidRPr="00234FED">
        <w:t xml:space="preserve">) is an integer count of the number of incoming or outgoing </w:t>
      </w:r>
      <w:r>
        <w:t xml:space="preserve">reef-to-reef </w:t>
      </w:r>
      <w:r w:rsidRPr="00234FED">
        <w:t xml:space="preserve">connections from any single </w:t>
      </w:r>
      <w:r>
        <w:t xml:space="preserve">reef, represented as a </w:t>
      </w:r>
      <w:r w:rsidRPr="00234FED">
        <w:t>node, respectively:</w:t>
      </w:r>
    </w:p>
    <w:p w14:paraId="049B2391" w14:textId="77777777" w:rsidR="003A2992" w:rsidRPr="00B1654E" w:rsidRDefault="00EC3974" w:rsidP="003A2992">
      <w:pPr>
        <w:jc w:val="center"/>
        <w:rPr>
          <w:rFonts w:eastAsia="Cambria Math"/>
        </w:rPr>
      </w:pPr>
      <m:oMathPara>
        <m:oMath>
          <m:sSub>
            <m:sSubPr>
              <m:ctrlPr>
                <w:rPr>
                  <w:rFonts w:ascii="Cambria Math" w:eastAsia="Cambria Math" w:hAnsi="Cambria Math"/>
                </w:rPr>
              </m:ctrlPr>
            </m:sSubPr>
            <m:e>
              <m:r>
                <w:rPr>
                  <w:rFonts w:ascii="Cambria Math" w:eastAsia="Cambria Math" w:hAnsi="Cambria Math"/>
                </w:rPr>
                <m:t>k</m:t>
              </m:r>
            </m:e>
            <m:sub>
              <m:r>
                <w:rPr>
                  <w:rFonts w:ascii="Cambria Math" w:eastAsia="Cambria Math" w:hAnsi="Cambria Math"/>
                </w:rPr>
                <m:t>i</m:t>
              </m:r>
            </m:sub>
          </m:sSub>
          <m:r>
            <w:rPr>
              <w:rFonts w:ascii="Cambria Math" w:eastAsia="Cambria Math" w:hAnsi="Cambria Math"/>
            </w:rPr>
            <m:t>=</m:t>
          </m:r>
          <m:nary>
            <m:naryPr>
              <m:chr m:val="∑"/>
              <m:ctrlPr>
                <w:rPr>
                  <w:rFonts w:ascii="Cambria Math" w:eastAsia="Cambria Math" w:hAnsi="Cambria Math"/>
                </w:rPr>
              </m:ctrlPr>
            </m:naryPr>
            <m:sub>
              <m:r>
                <w:rPr>
                  <w:rFonts w:ascii="Cambria Math" w:eastAsia="Cambria Math" w:hAnsi="Cambria Math"/>
                </w:rPr>
                <m:t>j</m:t>
              </m:r>
            </m:sub>
            <m:sup>
              <m:r>
                <w:rPr>
                  <w:rFonts w:ascii="Cambria Math" w:eastAsia="Cambria Math" w:hAnsi="Cambria Math"/>
                </w:rPr>
                <m:t>N</m:t>
              </m:r>
            </m:sup>
            <m:e>
              <m:sSub>
                <m:sSubPr>
                  <m:ctrlPr>
                    <w:rPr>
                      <w:rFonts w:ascii="Cambria Math" w:eastAsia="Cambria Math" w:hAnsi="Cambria Math"/>
                    </w:rPr>
                  </m:ctrlPr>
                </m:sSubPr>
                <m:e>
                  <m:r>
                    <w:rPr>
                      <w:rFonts w:ascii="Cambria Math" w:eastAsia="Cambria Math" w:hAnsi="Cambria Math"/>
                    </w:rPr>
                    <m:t>x</m:t>
                  </m:r>
                </m:e>
                <m:sub>
                  <m:r>
                    <w:rPr>
                      <w:rFonts w:ascii="Cambria Math" w:eastAsia="Cambria Math" w:hAnsi="Cambria Math"/>
                    </w:rPr>
                    <m:t>i,j</m:t>
                  </m:r>
                </m:sub>
              </m:sSub>
            </m:e>
          </m:nary>
        </m:oMath>
      </m:oMathPara>
    </w:p>
    <w:p w14:paraId="4EB02C0B" w14:textId="77777777" w:rsidR="003A2992" w:rsidRPr="00234FED" w:rsidRDefault="003A2992" w:rsidP="003A2992">
      <w:r w:rsidRPr="00234FED">
        <w:t xml:space="preserve">Where </w:t>
      </w:r>
      <w:r w:rsidRPr="00234FED">
        <w:rPr>
          <w:i/>
        </w:rPr>
        <w:t xml:space="preserve">x </w:t>
      </w:r>
      <w:r w:rsidRPr="00234FED">
        <w:t>is the logical {0,1} extracted from a</w:t>
      </w:r>
      <w:r>
        <w:t xml:space="preserve">n </w:t>
      </w:r>
      <w:r w:rsidRPr="00234FED">
        <w:t xml:space="preserve">adjacency matrix that indicates whether a connection exists between any </w:t>
      </w:r>
      <w:proofErr w:type="spellStart"/>
      <w:r w:rsidRPr="00234FED">
        <w:rPr>
          <w:i/>
        </w:rPr>
        <w:t>i</w:t>
      </w:r>
      <w:proofErr w:type="spellEnd"/>
      <w:r w:rsidRPr="00234FED">
        <w:rPr>
          <w:i/>
        </w:rPr>
        <w:t xml:space="preserve"> </w:t>
      </w:r>
      <w:r w:rsidRPr="00234FED">
        <w:t xml:space="preserve">and </w:t>
      </w:r>
      <w:r w:rsidRPr="00234FED">
        <w:rPr>
          <w:i/>
        </w:rPr>
        <w:t>j</w:t>
      </w:r>
      <w:r w:rsidRPr="00234FED">
        <w:t xml:space="preserve"> pair. </w:t>
      </w:r>
      <w:r>
        <w:t>I</w:t>
      </w:r>
      <w:r w:rsidRPr="00234FED">
        <w:t xml:space="preserve">n our coral and disease dispersal networks, </w:t>
      </w:r>
      <w:r>
        <w:t>connections</w:t>
      </w:r>
      <w:r w:rsidRPr="00234FED">
        <w:t xml:space="preserve"> have weights which indicate their probability</w:t>
      </w:r>
      <w:r>
        <w:t xml:space="preserve">. </w:t>
      </w:r>
      <w:r w:rsidRPr="00234FED">
        <w:t>Weighted (in- or out-) degree is a relative measure that incorporates both the number of incoming or outgoing connections and the</w:t>
      </w:r>
      <w:r>
        <w:t xml:space="preserve"> </w:t>
      </w:r>
      <w:proofErr w:type="spellStart"/>
      <w:r>
        <w:t>probablity</w:t>
      </w:r>
      <w:proofErr w:type="spellEnd"/>
      <w:r w:rsidRPr="00234FED">
        <w:t xml:space="preserve"> </w:t>
      </w:r>
      <w:r>
        <w:t>(</w:t>
      </w:r>
      <w:r w:rsidRPr="00234FED">
        <w:t>weight</w:t>
      </w:r>
      <w:r>
        <w:t xml:space="preserve">, </w:t>
      </w:r>
      <m:oMath>
        <m:sSub>
          <m:sSubPr>
            <m:ctrlPr>
              <w:rPr>
                <w:rFonts w:ascii="Cambria Math" w:eastAsia="Cambria Math" w:hAnsi="Cambria Math"/>
              </w:rPr>
            </m:ctrlPr>
          </m:sSubPr>
          <m:e>
            <m:r>
              <w:rPr>
                <w:rFonts w:ascii="Cambria Math" w:eastAsia="Cambria Math" w:hAnsi="Cambria Math"/>
              </w:rPr>
              <m:t>w</m:t>
            </m:r>
          </m:e>
          <m:sub>
            <m:r>
              <w:rPr>
                <w:rFonts w:ascii="Cambria Math" w:eastAsia="Cambria Math" w:hAnsi="Cambria Math"/>
              </w:rPr>
              <m:t>i,j</m:t>
            </m:r>
          </m:sub>
        </m:sSub>
      </m:oMath>
      <w:r w:rsidRPr="00234FED">
        <w:t>) of those connections (</w:t>
      </w:r>
      <w:proofErr w:type="spellStart"/>
      <w:r w:rsidRPr="00234FED">
        <w:rPr>
          <w:i/>
        </w:rPr>
        <w:t>sensu</w:t>
      </w:r>
      <w:proofErr w:type="spellEnd"/>
      <w:r w:rsidRPr="00234FED">
        <w:rPr>
          <w:i/>
        </w:rPr>
        <w:t xml:space="preserve"> </w:t>
      </w:r>
      <w:proofErr w:type="spellStart"/>
      <w:r w:rsidRPr="00234FED">
        <w:t>Opsahl</w:t>
      </w:r>
      <w:proofErr w:type="spellEnd"/>
      <w:r w:rsidRPr="00234FED">
        <w:t xml:space="preserve"> et al. 2010)</w:t>
      </w:r>
      <w:r>
        <w:t>. The sum of the weights of incoming or outgoing connections is given by:</w:t>
      </w:r>
    </w:p>
    <w:p w14:paraId="57968EF1" w14:textId="77777777" w:rsidR="003A2992" w:rsidRPr="00B1654E" w:rsidRDefault="00EC3974" w:rsidP="003A2992">
      <w:pPr>
        <w:jc w:val="center"/>
        <w:rPr>
          <w:rFonts w:eastAsia="Cambria Math"/>
        </w:rPr>
      </w:pPr>
      <m:oMathPara>
        <m:oMath>
          <m:sSub>
            <m:sSubPr>
              <m:ctrlPr>
                <w:rPr>
                  <w:rFonts w:ascii="Cambria Math" w:eastAsia="Cambria Math" w:hAnsi="Cambria Math"/>
                </w:rPr>
              </m:ctrlPr>
            </m:sSubPr>
            <m:e>
              <m:r>
                <w:rPr>
                  <w:rFonts w:ascii="Cambria Math" w:eastAsia="Cambria Math" w:hAnsi="Cambria Math"/>
                </w:rPr>
                <m:t>s</m:t>
              </m:r>
            </m:e>
            <m:sub>
              <m:r>
                <w:rPr>
                  <w:rFonts w:ascii="Cambria Math" w:eastAsia="Cambria Math" w:hAnsi="Cambria Math"/>
                </w:rPr>
                <m:t>i</m:t>
              </m:r>
            </m:sub>
          </m:sSub>
          <m:r>
            <w:rPr>
              <w:rFonts w:ascii="Cambria Math" w:eastAsia="Cambria Math" w:hAnsi="Cambria Math"/>
            </w:rPr>
            <m:t>=</m:t>
          </m:r>
          <m:nary>
            <m:naryPr>
              <m:chr m:val="∑"/>
              <m:ctrlPr>
                <w:rPr>
                  <w:rFonts w:ascii="Cambria Math" w:eastAsia="Cambria Math" w:hAnsi="Cambria Math"/>
                </w:rPr>
              </m:ctrlPr>
            </m:naryPr>
            <m:sub>
              <m:r>
                <w:rPr>
                  <w:rFonts w:ascii="Cambria Math" w:eastAsia="Cambria Math" w:hAnsi="Cambria Math"/>
                </w:rPr>
                <m:t>j</m:t>
              </m:r>
            </m:sub>
            <m:sup>
              <m:r>
                <w:rPr>
                  <w:rFonts w:ascii="Cambria Math" w:eastAsia="Cambria Math" w:hAnsi="Cambria Math"/>
                </w:rPr>
                <m:t>N</m:t>
              </m:r>
            </m:sup>
            <m:e>
              <m:sSub>
                <m:sSubPr>
                  <m:ctrlPr>
                    <w:rPr>
                      <w:rFonts w:ascii="Cambria Math" w:eastAsia="Cambria Math" w:hAnsi="Cambria Math"/>
                    </w:rPr>
                  </m:ctrlPr>
                </m:sSubPr>
                <m:e>
                  <m:r>
                    <w:rPr>
                      <w:rFonts w:ascii="Cambria Math" w:eastAsia="Cambria Math" w:hAnsi="Cambria Math"/>
                    </w:rPr>
                    <m:t>w</m:t>
                  </m:r>
                </m:e>
                <m:sub>
                  <m:r>
                    <w:rPr>
                      <w:rFonts w:ascii="Cambria Math" w:eastAsia="Cambria Math" w:hAnsi="Cambria Math"/>
                    </w:rPr>
                    <m:t>i,j</m:t>
                  </m:r>
                </m:sub>
              </m:sSub>
            </m:e>
          </m:nary>
        </m:oMath>
      </m:oMathPara>
    </w:p>
    <w:p w14:paraId="45F69170" w14:textId="77777777" w:rsidR="003A2992" w:rsidRPr="00234FED" w:rsidRDefault="003A2992" w:rsidP="003A2992">
      <w:r w:rsidRPr="00234FED">
        <w:t xml:space="preserve">Where </w:t>
      </w:r>
      <w:proofErr w:type="spellStart"/>
      <w:r w:rsidRPr="00234FED">
        <w:rPr>
          <w:i/>
        </w:rPr>
        <w:t>w</w:t>
      </w:r>
      <w:r w:rsidRPr="008806CD">
        <w:rPr>
          <w:i/>
          <w:vertAlign w:val="subscript"/>
        </w:rPr>
        <w:t>i,j</w:t>
      </w:r>
      <w:proofErr w:type="spellEnd"/>
      <w:r w:rsidRPr="00234FED">
        <w:rPr>
          <w:i/>
        </w:rPr>
        <w:t xml:space="preserve"> </w:t>
      </w:r>
      <w:r w:rsidRPr="00234FED">
        <w:t xml:space="preserve">is the weight </w:t>
      </w:r>
      <w:r>
        <w:t>[</w:t>
      </w:r>
      <w:r w:rsidRPr="00234FED">
        <w:t>0,1</w:t>
      </w:r>
      <w:r>
        <w:t>]</w:t>
      </w:r>
      <w:r w:rsidRPr="00234FED">
        <w:t xml:space="preserve"> extracted from the connectivity matrix </w:t>
      </w:r>
      <w:proofErr w:type="spellStart"/>
      <w:r>
        <w:rPr>
          <w:i/>
        </w:rPr>
        <w:t>M</w:t>
      </w:r>
      <w:r w:rsidRPr="008806CD">
        <w:rPr>
          <w:i/>
          <w:vertAlign w:val="subscript"/>
        </w:rPr>
        <w:t>ij</w:t>
      </w:r>
      <w:proofErr w:type="spellEnd"/>
      <w:r w:rsidRPr="00234FED">
        <w:t xml:space="preserve"> that indicates the probability of </w:t>
      </w:r>
      <w:r>
        <w:t>connection</w:t>
      </w:r>
      <w:r w:rsidRPr="00234FED">
        <w:t xml:space="preserve"> from </w:t>
      </w:r>
      <w:proofErr w:type="spellStart"/>
      <w:r w:rsidRPr="00234FED">
        <w:rPr>
          <w:i/>
        </w:rPr>
        <w:t>i</w:t>
      </w:r>
      <w:proofErr w:type="spellEnd"/>
      <w:r w:rsidRPr="00234FED">
        <w:rPr>
          <w:i/>
        </w:rPr>
        <w:t xml:space="preserve"> </w:t>
      </w:r>
      <w:r w:rsidRPr="00234FED">
        <w:t xml:space="preserve">to </w:t>
      </w:r>
      <w:r w:rsidRPr="00234FED">
        <w:rPr>
          <w:i/>
        </w:rPr>
        <w:t>j</w:t>
      </w:r>
      <w:r w:rsidRPr="00234FED">
        <w:t xml:space="preserve">. The weighted out-degree </w:t>
      </w:r>
      <w:r>
        <w:t>is</w:t>
      </w:r>
      <w:r w:rsidRPr="00234FED">
        <w:t xml:space="preserve"> estimated as:</w:t>
      </w:r>
    </w:p>
    <w:p w14:paraId="1F364005" w14:textId="77777777" w:rsidR="003A2992" w:rsidRPr="00316D89" w:rsidRDefault="00EC3974" w:rsidP="003A2992">
      <w:pPr>
        <w:jc w:val="center"/>
        <w:rPr>
          <w:rFonts w:eastAsia="Cambria Math"/>
        </w:rPr>
      </w:pPr>
      <m:oMathPara>
        <m:oMath>
          <m:sSub>
            <m:sSubPr>
              <m:ctrlPr>
                <w:rPr>
                  <w:rFonts w:ascii="Cambria Math" w:eastAsia="Cambria Math" w:hAnsi="Cambria Math"/>
                </w:rPr>
              </m:ctrlPr>
            </m:sSubPr>
            <m:e>
              <m:sSubSup>
                <m:sSubSupPr>
                  <m:ctrlPr>
                    <w:rPr>
                      <w:rFonts w:ascii="Cambria Math" w:eastAsia="Cambria Math" w:hAnsi="Cambria Math"/>
                    </w:rPr>
                  </m:ctrlPr>
                </m:sSubSupPr>
                <m:e>
                  <m:r>
                    <w:rPr>
                      <w:rFonts w:ascii="Cambria Math" w:eastAsia="Cambria Math" w:hAnsi="Cambria Math"/>
                    </w:rPr>
                    <m:t>C</m:t>
                  </m:r>
                </m:e>
                <m:sub>
                  <m:r>
                    <w:rPr>
                      <w:rFonts w:ascii="Cambria Math" w:eastAsia="Cambria Math" w:hAnsi="Cambria Math"/>
                    </w:rPr>
                    <m:t>out</m:t>
                  </m:r>
                </m:sub>
                <m:sup>
                  <m:r>
                    <w:rPr>
                      <w:rFonts w:ascii="Cambria Math" w:eastAsia="Cambria Math" w:hAnsi="Cambria Math"/>
                    </w:rPr>
                    <m:t>coral</m:t>
                  </m:r>
                </m:sup>
              </m:sSubSup>
            </m:e>
            <m:sub>
              <m:r>
                <w:rPr>
                  <w:rFonts w:ascii="Cambria Math" w:eastAsia="Cambria Math" w:hAnsi="Cambria Math"/>
                </w:rPr>
                <m:t>i</m:t>
              </m:r>
            </m:sub>
          </m:sSub>
          <m:r>
            <w:rPr>
              <w:rFonts w:ascii="Cambria Math" w:eastAsia="Cambria Math" w:hAnsi="Cambria Math"/>
            </w:rPr>
            <m:t>=</m:t>
          </m:r>
          <m:sSub>
            <m:sSubPr>
              <m:ctrlPr>
                <w:rPr>
                  <w:rFonts w:ascii="Cambria Math" w:eastAsia="Cambria Math" w:hAnsi="Cambria Math"/>
                </w:rPr>
              </m:ctrlPr>
            </m:sSubPr>
            <m:e>
              <m:sSubSup>
                <m:sSubSupPr>
                  <m:ctrlPr>
                    <w:rPr>
                      <w:rFonts w:ascii="Cambria Math" w:eastAsia="Cambria Math" w:hAnsi="Cambria Math"/>
                    </w:rPr>
                  </m:ctrlPr>
                </m:sSubSupPr>
                <m:e>
                  <m:r>
                    <w:rPr>
                      <w:rFonts w:ascii="Cambria Math" w:eastAsia="Cambria Math" w:hAnsi="Cambria Math"/>
                    </w:rPr>
                    <m:t>k</m:t>
                  </m:r>
                </m:e>
                <m:sub>
                  <m:r>
                    <w:rPr>
                      <w:rFonts w:ascii="Cambria Math" w:eastAsia="Cambria Math" w:hAnsi="Cambria Math"/>
                    </w:rPr>
                    <m:t>out</m:t>
                  </m:r>
                </m:sub>
                <m:sup>
                  <m:r>
                    <w:rPr>
                      <w:rFonts w:ascii="Cambria Math" w:eastAsia="Cambria Math" w:hAnsi="Cambria Math"/>
                    </w:rPr>
                    <m:t>coral</m:t>
                  </m:r>
                </m:sup>
              </m:sSubSup>
            </m:e>
            <m:sub>
              <m:r>
                <w:rPr>
                  <w:rFonts w:ascii="Cambria Math" w:eastAsia="Cambria Math" w:hAnsi="Cambria Math"/>
                </w:rPr>
                <m:t>i</m:t>
              </m:r>
            </m:sub>
          </m:sSub>
          <m:r>
            <w:rPr>
              <w:rFonts w:ascii="Cambria Math" w:eastAsia="Cambria Math" w:hAnsi="Cambria Math"/>
            </w:rPr>
            <m:t>×</m:t>
          </m:r>
          <m:sSup>
            <m:sSupPr>
              <m:ctrlPr>
                <w:rPr>
                  <w:rFonts w:ascii="Cambria Math" w:eastAsia="Cambria Math" w:hAnsi="Cambria Math"/>
                </w:rPr>
              </m:ctrlPr>
            </m:sSupPr>
            <m:e>
              <m:d>
                <m:dPr>
                  <m:ctrlPr>
                    <w:rPr>
                      <w:rFonts w:ascii="Cambria Math" w:eastAsia="Cambria Math" w:hAnsi="Cambria Math"/>
                    </w:rPr>
                  </m:ctrlPr>
                </m:dPr>
                <m:e>
                  <m:f>
                    <m:fPr>
                      <m:ctrlPr>
                        <w:rPr>
                          <w:rFonts w:ascii="Cambria Math" w:eastAsia="Cambria Math" w:hAnsi="Cambria Math"/>
                        </w:rPr>
                      </m:ctrlPr>
                    </m:fPr>
                    <m:num>
                      <m:sSub>
                        <m:sSubPr>
                          <m:ctrlPr>
                            <w:rPr>
                              <w:rFonts w:ascii="Cambria Math" w:eastAsia="Cambria Math" w:hAnsi="Cambria Math"/>
                            </w:rPr>
                          </m:ctrlPr>
                        </m:sSubPr>
                        <m:e>
                          <m:sSubSup>
                            <m:sSubSupPr>
                              <m:ctrlPr>
                                <w:rPr>
                                  <w:rFonts w:ascii="Cambria Math" w:eastAsia="Cambria Math" w:hAnsi="Cambria Math"/>
                                </w:rPr>
                              </m:ctrlPr>
                            </m:sSubSupPr>
                            <m:e>
                              <m:r>
                                <w:rPr>
                                  <w:rFonts w:ascii="Cambria Math" w:eastAsia="Cambria Math" w:hAnsi="Cambria Math"/>
                                </w:rPr>
                                <m:t>s</m:t>
                              </m:r>
                            </m:e>
                            <m:sub>
                              <m:r>
                                <w:rPr>
                                  <w:rFonts w:ascii="Cambria Math" w:eastAsia="Cambria Math" w:hAnsi="Cambria Math"/>
                                </w:rPr>
                                <m:t>out</m:t>
                              </m:r>
                            </m:sub>
                            <m:sup>
                              <m:r>
                                <w:rPr>
                                  <w:rFonts w:ascii="Cambria Math" w:eastAsia="Cambria Math" w:hAnsi="Cambria Math"/>
                                </w:rPr>
                                <m:t>coral</m:t>
                              </m:r>
                            </m:sup>
                          </m:sSubSup>
                        </m:e>
                        <m:sub>
                          <m:r>
                            <w:rPr>
                              <w:rFonts w:ascii="Cambria Math" w:eastAsia="Cambria Math" w:hAnsi="Cambria Math"/>
                            </w:rPr>
                            <m:t>i</m:t>
                          </m:r>
                        </m:sub>
                      </m:sSub>
                    </m:num>
                    <m:den>
                      <m:sSub>
                        <m:sSubPr>
                          <m:ctrlPr>
                            <w:rPr>
                              <w:rFonts w:ascii="Cambria Math" w:eastAsia="Cambria Math" w:hAnsi="Cambria Math"/>
                            </w:rPr>
                          </m:ctrlPr>
                        </m:sSubPr>
                        <m:e>
                          <m:sSubSup>
                            <m:sSubSupPr>
                              <m:ctrlPr>
                                <w:rPr>
                                  <w:rFonts w:ascii="Cambria Math" w:eastAsia="Cambria Math" w:hAnsi="Cambria Math"/>
                                </w:rPr>
                              </m:ctrlPr>
                            </m:sSubSupPr>
                            <m:e>
                              <m:r>
                                <w:rPr>
                                  <w:rFonts w:ascii="Cambria Math" w:eastAsia="Cambria Math" w:hAnsi="Cambria Math"/>
                                </w:rPr>
                                <m:t>k</m:t>
                              </m:r>
                            </m:e>
                            <m:sub>
                              <m:r>
                                <w:rPr>
                                  <w:rFonts w:ascii="Cambria Math" w:eastAsia="Cambria Math" w:hAnsi="Cambria Math"/>
                                </w:rPr>
                                <m:t>out</m:t>
                              </m:r>
                            </m:sub>
                            <m:sup>
                              <m:r>
                                <w:rPr>
                                  <w:rFonts w:ascii="Cambria Math" w:eastAsia="Cambria Math" w:hAnsi="Cambria Math"/>
                                </w:rPr>
                                <m:t>coral</m:t>
                              </m:r>
                            </m:sup>
                          </m:sSubSup>
                        </m:e>
                        <m:sub>
                          <m:r>
                            <w:rPr>
                              <w:rFonts w:ascii="Cambria Math" w:eastAsia="Cambria Math" w:hAnsi="Cambria Math"/>
                            </w:rPr>
                            <m:t>i</m:t>
                          </m:r>
                        </m:sub>
                      </m:sSub>
                    </m:den>
                  </m:f>
                </m:e>
              </m:d>
            </m:e>
            <m:sup>
              <m:r>
                <m:rPr>
                  <m:sty m:val="p"/>
                </m:rPr>
                <w:rPr>
                  <w:rFonts w:ascii="Cambria Math" w:eastAsia="Cambria Math" w:hAnsi="Cambria Math"/>
                </w:rPr>
                <m:t>α</m:t>
              </m:r>
            </m:sup>
          </m:sSup>
        </m:oMath>
      </m:oMathPara>
    </w:p>
    <w:p w14:paraId="7F42BA7B" w14:textId="77777777" w:rsidR="003A2992" w:rsidRPr="00316D89" w:rsidRDefault="003A2992" w:rsidP="003A2992">
      <w:r w:rsidRPr="00234FED">
        <w:t xml:space="preserve">Where </w:t>
      </w:r>
      <m:oMath>
        <m:r>
          <w:rPr>
            <w:rFonts w:ascii="Cambria Math" w:hAnsi="Cambria Math"/>
          </w:rPr>
          <m:t>α</m:t>
        </m:r>
      </m:oMath>
      <w:r w:rsidRPr="00234FED">
        <w:t xml:space="preserve"> is a positive tuning parameter that tunes the relative importance of the number of connections versus the weight</w:t>
      </w:r>
      <w:r>
        <w:t>s</w:t>
      </w:r>
      <w:r w:rsidRPr="00234FED">
        <w:t xml:space="preserve"> of connections. An </w:t>
      </w:r>
      <m:oMath>
        <m:r>
          <w:rPr>
            <w:rFonts w:ascii="Cambria Math" w:hAnsi="Cambria Math"/>
          </w:rPr>
          <m:t>α</m:t>
        </m:r>
      </m:oMath>
      <w:r w:rsidRPr="00234FED">
        <w:t xml:space="preserve"> of 0.5 is typical (Opsahl et al. 2010).</w:t>
      </w:r>
    </w:p>
    <w:p w14:paraId="3DF90981" w14:textId="77777777" w:rsidR="003A2992" w:rsidRPr="00234FED" w:rsidRDefault="003A2992" w:rsidP="003A2992"/>
    <w:p w14:paraId="15EE6744" w14:textId="77777777" w:rsidR="003A2992" w:rsidRPr="00234FED" w:rsidRDefault="003A2992" w:rsidP="003A2992">
      <w:r w:rsidRPr="00234FED">
        <w:t>Similarly, we used weighted in-degree to describe each node’s incoming disease connectivity:</w:t>
      </w:r>
    </w:p>
    <w:p w14:paraId="75FC6787" w14:textId="77777777" w:rsidR="003A2992" w:rsidRPr="00B1654E" w:rsidRDefault="00EC3974" w:rsidP="003A2992">
      <w:pPr>
        <w:jc w:val="center"/>
        <w:rPr>
          <w:rFonts w:eastAsia="Cambria Math"/>
        </w:rPr>
      </w:pPr>
      <m:oMathPara>
        <m:oMath>
          <m:sSub>
            <m:sSubPr>
              <m:ctrlPr>
                <w:rPr>
                  <w:rFonts w:ascii="Cambria Math" w:eastAsia="Cambria Math" w:hAnsi="Cambria Math"/>
                </w:rPr>
              </m:ctrlPr>
            </m:sSubPr>
            <m:e>
              <m:sSubSup>
                <m:sSubSupPr>
                  <m:ctrlPr>
                    <w:rPr>
                      <w:rFonts w:ascii="Cambria Math" w:eastAsia="Cambria Math" w:hAnsi="Cambria Math"/>
                    </w:rPr>
                  </m:ctrlPr>
                </m:sSubSupPr>
                <m:e>
                  <m:r>
                    <w:rPr>
                      <w:rFonts w:ascii="Cambria Math" w:eastAsia="Cambria Math" w:hAnsi="Cambria Math"/>
                    </w:rPr>
                    <m:t>C</m:t>
                  </m:r>
                </m:e>
                <m:sub>
                  <m:r>
                    <w:rPr>
                      <w:rFonts w:ascii="Cambria Math" w:eastAsia="Cambria Math" w:hAnsi="Cambria Math"/>
                    </w:rPr>
                    <m:t>in</m:t>
                  </m:r>
                </m:sub>
                <m:sup>
                  <m:r>
                    <w:rPr>
                      <w:rFonts w:ascii="Cambria Math" w:eastAsia="Cambria Math" w:hAnsi="Cambria Math"/>
                    </w:rPr>
                    <m:t>dis</m:t>
                  </m:r>
                </m:sup>
              </m:sSubSup>
            </m:e>
            <m:sub>
              <m:r>
                <w:rPr>
                  <w:rFonts w:ascii="Cambria Math" w:eastAsia="Cambria Math" w:hAnsi="Cambria Math"/>
                </w:rPr>
                <m:t>i</m:t>
              </m:r>
            </m:sub>
          </m:sSub>
          <m:r>
            <w:rPr>
              <w:rFonts w:ascii="Cambria Math" w:eastAsia="Cambria Math" w:hAnsi="Cambria Math"/>
            </w:rPr>
            <m:t>=</m:t>
          </m:r>
          <m:sSub>
            <m:sSubPr>
              <m:ctrlPr>
                <w:rPr>
                  <w:rFonts w:ascii="Cambria Math" w:eastAsia="Cambria Math" w:hAnsi="Cambria Math"/>
                </w:rPr>
              </m:ctrlPr>
            </m:sSubPr>
            <m:e>
              <m:sSubSup>
                <m:sSubSupPr>
                  <m:ctrlPr>
                    <w:rPr>
                      <w:rFonts w:ascii="Cambria Math" w:eastAsia="Cambria Math" w:hAnsi="Cambria Math"/>
                    </w:rPr>
                  </m:ctrlPr>
                </m:sSubSupPr>
                <m:e>
                  <m:r>
                    <w:rPr>
                      <w:rFonts w:ascii="Cambria Math" w:eastAsia="Cambria Math" w:hAnsi="Cambria Math"/>
                    </w:rPr>
                    <m:t>k</m:t>
                  </m:r>
                </m:e>
                <m:sub>
                  <m:r>
                    <w:rPr>
                      <w:rFonts w:ascii="Cambria Math" w:eastAsia="Cambria Math" w:hAnsi="Cambria Math"/>
                    </w:rPr>
                    <m:t>in</m:t>
                  </m:r>
                </m:sub>
                <m:sup>
                  <m:r>
                    <w:rPr>
                      <w:rFonts w:ascii="Cambria Math" w:eastAsia="Cambria Math" w:hAnsi="Cambria Math"/>
                    </w:rPr>
                    <m:t>dis</m:t>
                  </m:r>
                </m:sup>
              </m:sSubSup>
            </m:e>
            <m:sub>
              <m:r>
                <w:rPr>
                  <w:rFonts w:ascii="Cambria Math" w:eastAsia="Cambria Math" w:hAnsi="Cambria Math"/>
                </w:rPr>
                <m:t>i</m:t>
              </m:r>
            </m:sub>
          </m:sSub>
          <m:r>
            <w:rPr>
              <w:rFonts w:ascii="Cambria Math" w:eastAsia="Cambria Math" w:hAnsi="Cambria Math"/>
            </w:rPr>
            <m:t>×</m:t>
          </m:r>
          <m:sSup>
            <m:sSupPr>
              <m:ctrlPr>
                <w:rPr>
                  <w:rFonts w:ascii="Cambria Math" w:eastAsia="Cambria Math" w:hAnsi="Cambria Math"/>
                </w:rPr>
              </m:ctrlPr>
            </m:sSupPr>
            <m:e>
              <m:d>
                <m:dPr>
                  <m:ctrlPr>
                    <w:rPr>
                      <w:rFonts w:ascii="Cambria Math" w:eastAsia="Cambria Math" w:hAnsi="Cambria Math"/>
                    </w:rPr>
                  </m:ctrlPr>
                </m:dPr>
                <m:e>
                  <m:f>
                    <m:fPr>
                      <m:ctrlPr>
                        <w:rPr>
                          <w:rFonts w:ascii="Cambria Math" w:eastAsia="Cambria Math" w:hAnsi="Cambria Math"/>
                        </w:rPr>
                      </m:ctrlPr>
                    </m:fPr>
                    <m:num>
                      <m:sSub>
                        <m:sSubPr>
                          <m:ctrlPr>
                            <w:rPr>
                              <w:rFonts w:ascii="Cambria Math" w:eastAsia="Cambria Math" w:hAnsi="Cambria Math"/>
                            </w:rPr>
                          </m:ctrlPr>
                        </m:sSubPr>
                        <m:e>
                          <m:sSubSup>
                            <m:sSubSupPr>
                              <m:ctrlPr>
                                <w:rPr>
                                  <w:rFonts w:ascii="Cambria Math" w:eastAsia="Cambria Math" w:hAnsi="Cambria Math"/>
                                </w:rPr>
                              </m:ctrlPr>
                            </m:sSubSupPr>
                            <m:e>
                              <m:r>
                                <w:rPr>
                                  <w:rFonts w:ascii="Cambria Math" w:eastAsia="Cambria Math" w:hAnsi="Cambria Math"/>
                                </w:rPr>
                                <m:t>s</m:t>
                              </m:r>
                            </m:e>
                            <m:sub>
                              <m:r>
                                <w:rPr>
                                  <w:rFonts w:ascii="Cambria Math" w:eastAsia="Cambria Math" w:hAnsi="Cambria Math"/>
                                </w:rPr>
                                <m:t>in</m:t>
                              </m:r>
                            </m:sub>
                            <m:sup>
                              <m:r>
                                <w:rPr>
                                  <w:rFonts w:ascii="Cambria Math" w:eastAsia="Cambria Math" w:hAnsi="Cambria Math"/>
                                </w:rPr>
                                <m:t>dis</m:t>
                              </m:r>
                            </m:sup>
                          </m:sSubSup>
                        </m:e>
                        <m:sub>
                          <m:r>
                            <w:rPr>
                              <w:rFonts w:ascii="Cambria Math" w:eastAsia="Cambria Math" w:hAnsi="Cambria Math"/>
                            </w:rPr>
                            <m:t>i</m:t>
                          </m:r>
                        </m:sub>
                      </m:sSub>
                    </m:num>
                    <m:den>
                      <m:sSub>
                        <m:sSubPr>
                          <m:ctrlPr>
                            <w:rPr>
                              <w:rFonts w:ascii="Cambria Math" w:eastAsia="Cambria Math" w:hAnsi="Cambria Math"/>
                            </w:rPr>
                          </m:ctrlPr>
                        </m:sSubPr>
                        <m:e>
                          <m:sSubSup>
                            <m:sSubSupPr>
                              <m:ctrlPr>
                                <w:rPr>
                                  <w:rFonts w:ascii="Cambria Math" w:eastAsia="Cambria Math" w:hAnsi="Cambria Math"/>
                                </w:rPr>
                              </m:ctrlPr>
                            </m:sSubSupPr>
                            <m:e>
                              <m:r>
                                <w:rPr>
                                  <w:rFonts w:ascii="Cambria Math" w:eastAsia="Cambria Math" w:hAnsi="Cambria Math"/>
                                </w:rPr>
                                <m:t>k</m:t>
                              </m:r>
                            </m:e>
                            <m:sub>
                              <m:r>
                                <w:rPr>
                                  <w:rFonts w:ascii="Cambria Math" w:eastAsia="Cambria Math" w:hAnsi="Cambria Math"/>
                                </w:rPr>
                                <m:t>in</m:t>
                              </m:r>
                            </m:sub>
                            <m:sup>
                              <m:r>
                                <w:rPr>
                                  <w:rFonts w:ascii="Cambria Math" w:eastAsia="Cambria Math" w:hAnsi="Cambria Math"/>
                                </w:rPr>
                                <m:t>dis</m:t>
                              </m:r>
                            </m:sup>
                          </m:sSubSup>
                        </m:e>
                        <m:sub>
                          <m:r>
                            <w:rPr>
                              <w:rFonts w:ascii="Cambria Math" w:eastAsia="Cambria Math" w:hAnsi="Cambria Math"/>
                            </w:rPr>
                            <m:t>i</m:t>
                          </m:r>
                        </m:sub>
                      </m:sSub>
                    </m:den>
                  </m:f>
                </m:e>
              </m:d>
            </m:e>
            <m:sup>
              <m:sSub>
                <m:sSubPr>
                  <m:ctrlPr>
                    <w:rPr>
                      <w:rFonts w:ascii="Cambria Math" w:eastAsia="Cambria Math" w:hAnsi="Cambria Math"/>
                    </w:rPr>
                  </m:ctrlPr>
                </m:sSubPr>
                <m:e>
                  <m:r>
                    <w:rPr>
                      <w:rFonts w:ascii="Cambria Math" w:eastAsia="Cambria Math" w:hAnsi="Cambria Math"/>
                    </w:rPr>
                    <m:t>α</m:t>
                  </m:r>
                </m:e>
                <m:sub>
                  <m:r>
                    <w:rPr>
                      <w:rFonts w:ascii="Cambria Math" w:eastAsia="Cambria Math" w:hAnsi="Cambria Math"/>
                    </w:rPr>
                    <m:t>dis</m:t>
                  </m:r>
                </m:sub>
              </m:sSub>
            </m:sup>
          </m:sSup>
        </m:oMath>
      </m:oMathPara>
    </w:p>
    <w:p w14:paraId="6F1C9F59" w14:textId="77777777" w:rsidR="003A2992" w:rsidRPr="00234FED" w:rsidRDefault="003A2992" w:rsidP="003A2992">
      <w:r w:rsidRPr="00234FED">
        <w:t xml:space="preserve">Theoretically, the tuning parameter, </w:t>
      </w:r>
      <m:oMath>
        <m:sSub>
          <m:sSubPr>
            <m:ctrlPr>
              <w:rPr>
                <w:rFonts w:ascii="Cambria Math" w:eastAsia="Cambria Math" w:hAnsi="Cambria Math"/>
              </w:rPr>
            </m:ctrlPr>
          </m:sSubPr>
          <m:e>
            <m:r>
              <w:rPr>
                <w:rFonts w:ascii="Cambria Math" w:hAnsi="Cambria Math"/>
              </w:rPr>
              <m:t>α</m:t>
            </m:r>
          </m:e>
          <m:sub>
            <m:r>
              <w:rPr>
                <w:rFonts w:ascii="Cambria Math" w:eastAsia="Cambria Math" w:hAnsi="Cambria Math"/>
              </w:rPr>
              <m:t>dis</m:t>
            </m:r>
          </m:sub>
        </m:sSub>
      </m:oMath>
      <w:r w:rsidRPr="00234FED">
        <w:t>, could be distinct from that for coral larva</w:t>
      </w:r>
      <w:r>
        <w:t>e</w:t>
      </w:r>
      <w:r w:rsidRPr="00234FED">
        <w:t xml:space="preserve">. For example, if a very small amount or likelihood of connectivity can result in disease transmission between habitats, </w:t>
      </w:r>
      <m:oMath>
        <m:r>
          <w:rPr>
            <w:rFonts w:ascii="Cambria Math" w:hAnsi="Cambria Math"/>
          </w:rPr>
          <m:t>α</m:t>
        </m:r>
      </m:oMath>
      <w:r w:rsidRPr="00234FED">
        <w:t xml:space="preserve"> should be set low, close to 0, to indicate that edge weight is less important than the number of incoming connections. Conversely, if high amounts of incoming infectious material are necessary to initiate disease onset, </w:t>
      </w:r>
      <m:oMath>
        <m:r>
          <w:rPr>
            <w:rFonts w:ascii="Cambria Math" w:hAnsi="Cambria Math"/>
          </w:rPr>
          <m:t>α</m:t>
        </m:r>
      </m:oMath>
      <w:r w:rsidRPr="00234FED">
        <w:t xml:space="preserve"> could be set high to prioritize the importance of strong connections. </w:t>
      </w:r>
      <w:r>
        <w:t>W</w:t>
      </w:r>
      <w:r w:rsidRPr="00234FED">
        <w:t xml:space="preserve">e </w:t>
      </w:r>
      <w:r>
        <w:t>set</w:t>
      </w:r>
      <w:r w:rsidRPr="00234FED">
        <w:t xml:space="preserve"> </w:t>
      </w:r>
      <m:oMath>
        <m:sSub>
          <m:sSubPr>
            <m:ctrlPr>
              <w:rPr>
                <w:rFonts w:ascii="Cambria Math" w:eastAsia="Cambria Math" w:hAnsi="Cambria Math"/>
              </w:rPr>
            </m:ctrlPr>
          </m:sSubPr>
          <m:e>
            <m:r>
              <w:rPr>
                <w:rFonts w:ascii="Cambria Math" w:hAnsi="Cambria Math"/>
              </w:rPr>
              <m:t>α</m:t>
            </m:r>
          </m:e>
          <m:sub>
            <m:r>
              <w:rPr>
                <w:rFonts w:ascii="Cambria Math" w:eastAsia="Cambria Math" w:hAnsi="Cambria Math"/>
              </w:rPr>
              <m:t>dis</m:t>
            </m:r>
          </m:sub>
        </m:sSub>
      </m:oMath>
      <w:r w:rsidRPr="00234FED">
        <w:t xml:space="preserve"> </w:t>
      </w:r>
      <w:r>
        <w:t>to</w:t>
      </w:r>
      <w:r w:rsidRPr="00234FED">
        <w:t xml:space="preserve"> 0.5 for simplicity.</w:t>
      </w:r>
    </w:p>
    <w:p w14:paraId="22E931C4" w14:textId="77777777" w:rsidR="002F0F99" w:rsidRDefault="002F0F99"/>
    <w:p w14:paraId="5ABBB83C" w14:textId="77777777" w:rsidR="002F0F99" w:rsidRDefault="002F0F99" w:rsidP="00C93FCB"/>
    <w:p w14:paraId="4C2B7288" w14:textId="77777777" w:rsidR="002F0F99" w:rsidRDefault="002F0F99" w:rsidP="00C93FCB"/>
    <w:p w14:paraId="573950A4" w14:textId="77777777" w:rsidR="002F0F99" w:rsidRDefault="002F0F99" w:rsidP="00C93FCB"/>
    <w:p w14:paraId="01DC4495" w14:textId="77777777" w:rsidR="002F0F99" w:rsidRDefault="002F0F99" w:rsidP="00C93FCB"/>
    <w:p w14:paraId="792CC511" w14:textId="1F671A29" w:rsidR="002F0F99" w:rsidRPr="002F0F99" w:rsidRDefault="002F0F99" w:rsidP="00C93FCB">
      <w:pPr>
        <w:rPr>
          <w:b/>
          <w:bCs/>
        </w:rPr>
      </w:pPr>
      <w:r>
        <w:rPr>
          <w:b/>
          <w:bCs/>
        </w:rPr>
        <w:lastRenderedPageBreak/>
        <w:t>Supplemental Figures:</w:t>
      </w:r>
    </w:p>
    <w:p w14:paraId="37E29C0D" w14:textId="6726E8BE" w:rsidR="00C93FCB" w:rsidRDefault="0091451C" w:rsidP="00C93FCB">
      <w:r>
        <w:rPr>
          <w:noProof/>
          <w:lang w:val="en-IN" w:eastAsia="en-IN"/>
        </w:rPr>
        <w:drawing>
          <wp:inline distT="0" distB="0" distL="0" distR="0" wp14:anchorId="349D2C02" wp14:editId="343FEDB0">
            <wp:extent cx="3082950" cy="3402165"/>
            <wp:effectExtent l="0" t="0" r="3175" b="1905"/>
            <wp:docPr id="290607327" name="Picture 1" descr="A graph with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607327" name="Picture 1" descr="A graph with black and white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26358" cy="3450068"/>
                    </a:xfrm>
                    <a:prstGeom prst="rect">
                      <a:avLst/>
                    </a:prstGeom>
                  </pic:spPr>
                </pic:pic>
              </a:graphicData>
            </a:graphic>
          </wp:inline>
        </w:drawing>
      </w:r>
    </w:p>
    <w:p w14:paraId="0B89708C" w14:textId="1FD582B7" w:rsidR="00C93FCB" w:rsidRPr="00BC7459" w:rsidRDefault="003A2992" w:rsidP="00C93FCB">
      <w:pPr>
        <w:rPr>
          <w:sz w:val="18"/>
          <w:szCs w:val="18"/>
        </w:rPr>
      </w:pPr>
      <w:r>
        <w:rPr>
          <w:sz w:val="18"/>
          <w:szCs w:val="18"/>
        </w:rPr>
        <w:t>Figure S1</w:t>
      </w:r>
      <w:r w:rsidR="00C93FCB" w:rsidRPr="00BC7459">
        <w:rPr>
          <w:sz w:val="18"/>
          <w:szCs w:val="18"/>
        </w:rPr>
        <w:t>. Total number of connections in the network of each species and SCTLD, and the total number following thresholding (0.001 probability threshold).</w:t>
      </w:r>
    </w:p>
    <w:p w14:paraId="45A1AFB9" w14:textId="77777777" w:rsidR="00C93FCB" w:rsidRDefault="00C93FCB"/>
    <w:p w14:paraId="69AF19EC" w14:textId="77777777" w:rsidR="003A2992" w:rsidRDefault="003A2992"/>
    <w:p w14:paraId="101E7742" w14:textId="77777777" w:rsidR="003A2992" w:rsidRDefault="003A2992"/>
    <w:p w14:paraId="3F325365" w14:textId="77777777" w:rsidR="003A2992" w:rsidRDefault="003A2992"/>
    <w:p w14:paraId="4504FA24" w14:textId="770D8809" w:rsidR="00C93FCB" w:rsidRDefault="00C128EC">
      <w:pPr>
        <w:rPr>
          <w:sz w:val="18"/>
          <w:szCs w:val="18"/>
        </w:rPr>
      </w:pPr>
      <w:r>
        <w:rPr>
          <w:noProof/>
          <w:sz w:val="18"/>
          <w:szCs w:val="18"/>
          <w:lang w:val="en-IN" w:eastAsia="en-IN"/>
        </w:rPr>
        <w:drawing>
          <wp:inline distT="0" distB="0" distL="0" distR="0" wp14:anchorId="5D28C631" wp14:editId="71A247BD">
            <wp:extent cx="5943600" cy="1371600"/>
            <wp:effectExtent l="0" t="0" r="0" b="0"/>
            <wp:docPr id="485239453" name="Picture 1" descr="A group of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239453" name="Picture 1" descr="A group of colored square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371600"/>
                    </a:xfrm>
                    <a:prstGeom prst="rect">
                      <a:avLst/>
                    </a:prstGeom>
                  </pic:spPr>
                </pic:pic>
              </a:graphicData>
            </a:graphic>
          </wp:inline>
        </w:drawing>
      </w:r>
    </w:p>
    <w:p w14:paraId="16B96C82" w14:textId="3950F691" w:rsidR="00C128EC" w:rsidRDefault="003A2992">
      <w:pPr>
        <w:rPr>
          <w:rFonts w:eastAsiaTheme="minorEastAsia"/>
          <w:sz w:val="18"/>
          <w:szCs w:val="18"/>
        </w:rPr>
      </w:pPr>
      <w:r>
        <w:rPr>
          <w:sz w:val="18"/>
          <w:szCs w:val="18"/>
        </w:rPr>
        <w:t>Figure S2</w:t>
      </w:r>
      <w:r w:rsidR="00C128EC">
        <w:rPr>
          <w:sz w:val="18"/>
          <w:szCs w:val="18"/>
        </w:rPr>
        <w:t xml:space="preserve">. These heatmaps demonstrate the behavior of </w:t>
      </w:r>
      <w:r w:rsidR="00C128EC">
        <w:rPr>
          <w:i/>
          <w:iCs/>
          <w:sz w:val="18"/>
          <w:szCs w:val="18"/>
        </w:rPr>
        <w:t xml:space="preserve">R </w:t>
      </w:r>
      <w:r w:rsidR="00C128EC">
        <w:rPr>
          <w:sz w:val="18"/>
          <w:szCs w:val="18"/>
        </w:rPr>
        <w:t>in response to varying normalized weighted coral out-degree (</w:t>
      </w:r>
      <m:oMath>
        <m:sSubSup>
          <m:sSubSupPr>
            <m:ctrlPr>
              <w:rPr>
                <w:rFonts w:ascii="Cambria Math" w:eastAsia="Cambria Math" w:hAnsi="Cambria Math"/>
              </w:rPr>
            </m:ctrlPr>
          </m:sSubSupPr>
          <m:e>
            <m:acc>
              <m:accPr>
                <m:chr m:val="̃"/>
                <m:ctrlPr>
                  <w:rPr>
                    <w:rFonts w:ascii="Cambria Math" w:eastAsia="Cambria Math" w:hAnsi="Cambria Math"/>
                    <w:i/>
                  </w:rPr>
                </m:ctrlPr>
              </m:accPr>
              <m:e>
                <m:r>
                  <w:rPr>
                    <w:rFonts w:ascii="Cambria Math" w:eastAsia="Cambria Math" w:hAnsi="Cambria Math"/>
                  </w:rPr>
                  <m:t>C</m:t>
                </m:r>
              </m:e>
            </m:acc>
          </m:e>
          <m:sub>
            <m:r>
              <w:rPr>
                <w:rFonts w:ascii="Cambria Math" w:eastAsia="Cambria Math" w:hAnsi="Cambria Math"/>
              </w:rPr>
              <m:t>out</m:t>
            </m:r>
          </m:sub>
          <m:sup/>
        </m:sSubSup>
      </m:oMath>
      <w:r w:rsidR="00C128EC">
        <w:rPr>
          <w:sz w:val="18"/>
          <w:szCs w:val="18"/>
        </w:rPr>
        <w:t>), normalized weighted disease in-degree (</w:t>
      </w:r>
      <m:oMath>
        <m:sSubSup>
          <m:sSubSupPr>
            <m:ctrlPr>
              <w:rPr>
                <w:rFonts w:ascii="Cambria Math" w:eastAsia="Cambria Math" w:hAnsi="Cambria Math"/>
              </w:rPr>
            </m:ctrlPr>
          </m:sSubSupPr>
          <m:e>
            <m:acc>
              <m:accPr>
                <m:chr m:val="̃"/>
                <m:ctrlPr>
                  <w:rPr>
                    <w:rFonts w:ascii="Cambria Math" w:eastAsia="Cambria Math" w:hAnsi="Cambria Math"/>
                    <w:i/>
                  </w:rPr>
                </m:ctrlPr>
              </m:accPr>
              <m:e>
                <m:r>
                  <w:rPr>
                    <w:rFonts w:ascii="Cambria Math" w:eastAsia="Cambria Math" w:hAnsi="Cambria Math"/>
                  </w:rPr>
                  <m:t>D</m:t>
                </m:r>
              </m:e>
            </m:acc>
          </m:e>
          <m:sub>
            <m:r>
              <w:rPr>
                <w:rFonts w:ascii="Cambria Math" w:eastAsia="Cambria Math" w:hAnsi="Cambria Math"/>
              </w:rPr>
              <m:t>in</m:t>
            </m:r>
          </m:sub>
          <m:sup/>
        </m:sSubSup>
      </m:oMath>
      <w:r w:rsidR="00C128EC">
        <w:rPr>
          <w:sz w:val="18"/>
          <w:szCs w:val="18"/>
        </w:rPr>
        <w:t xml:space="preserve">, but in the text, </w:t>
      </w:r>
      <m:oMath>
        <m:sSubSup>
          <m:sSubSupPr>
            <m:ctrlPr>
              <w:rPr>
                <w:rFonts w:ascii="Cambria Math" w:eastAsia="Cambria Math" w:hAnsi="Cambria Math"/>
              </w:rPr>
            </m:ctrlPr>
          </m:sSubSupPr>
          <m:e>
            <m:acc>
              <m:accPr>
                <m:chr m:val="̃"/>
                <m:ctrlPr>
                  <w:rPr>
                    <w:rFonts w:ascii="Cambria Math" w:eastAsia="Cambria Math" w:hAnsi="Cambria Math"/>
                    <w:i/>
                  </w:rPr>
                </m:ctrlPr>
              </m:accPr>
              <m:e>
                <m:r>
                  <w:rPr>
                    <w:rFonts w:ascii="Cambria Math" w:eastAsia="Cambria Math" w:hAnsi="Cambria Math"/>
                  </w:rPr>
                  <m:t>C</m:t>
                </m:r>
              </m:e>
            </m:acc>
          </m:e>
          <m:sub>
            <m:r>
              <w:rPr>
                <w:rFonts w:ascii="Cambria Math" w:eastAsia="Cambria Math" w:hAnsi="Cambria Math"/>
              </w:rPr>
              <m:t>in</m:t>
            </m:r>
          </m:sub>
          <m:sup>
            <m:r>
              <w:rPr>
                <w:rFonts w:ascii="Cambria Math" w:eastAsia="Cambria Math" w:hAnsi="Cambria Math"/>
              </w:rPr>
              <m:t>dis</m:t>
            </m:r>
          </m:sup>
        </m:sSubSup>
      </m:oMath>
      <w:r w:rsidR="00C128EC">
        <w:rPr>
          <w:sz w:val="18"/>
          <w:szCs w:val="18"/>
        </w:rPr>
        <w:t xml:space="preserve">), and </w:t>
      </w:r>
      <m:oMath>
        <m:r>
          <w:rPr>
            <w:rFonts w:ascii="Cambria Math" w:hAnsi="Cambria Math"/>
            <w:sz w:val="18"/>
            <w:szCs w:val="18"/>
          </w:rPr>
          <m:t>β</m:t>
        </m:r>
      </m:oMath>
      <w:r w:rsidR="00C128EC">
        <w:rPr>
          <w:rFonts w:eastAsiaTheme="minorEastAsia"/>
          <w:sz w:val="18"/>
          <w:szCs w:val="18"/>
        </w:rPr>
        <w:t>.</w:t>
      </w:r>
    </w:p>
    <w:p w14:paraId="1BD8D83B" w14:textId="77777777" w:rsidR="00B853A7" w:rsidRDefault="00B853A7">
      <w:pPr>
        <w:rPr>
          <w:rFonts w:eastAsiaTheme="minorEastAsia"/>
          <w:sz w:val="18"/>
          <w:szCs w:val="18"/>
        </w:rPr>
      </w:pPr>
    </w:p>
    <w:p w14:paraId="4420F4D2" w14:textId="34D1737B" w:rsidR="00B853A7" w:rsidRDefault="00B853A7">
      <w:pPr>
        <w:rPr>
          <w:sz w:val="18"/>
          <w:szCs w:val="18"/>
        </w:rPr>
      </w:pPr>
      <w:r>
        <w:rPr>
          <w:noProof/>
          <w:sz w:val="18"/>
          <w:szCs w:val="18"/>
          <w:lang w:val="en-IN" w:eastAsia="en-IN"/>
        </w:rPr>
        <w:lastRenderedPageBreak/>
        <w:drawing>
          <wp:inline distT="0" distB="0" distL="0" distR="0" wp14:anchorId="62480901" wp14:editId="2BF5B15F">
            <wp:extent cx="3773423" cy="5107021"/>
            <wp:effectExtent l="0" t="0" r="0" b="0"/>
            <wp:docPr id="180123826" name="Picture 1" descr="A chart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23826" name="Picture 1" descr="A chart with blue dots&#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82484" cy="5119285"/>
                    </a:xfrm>
                    <a:prstGeom prst="rect">
                      <a:avLst/>
                    </a:prstGeom>
                  </pic:spPr>
                </pic:pic>
              </a:graphicData>
            </a:graphic>
          </wp:inline>
        </w:drawing>
      </w:r>
      <w:bookmarkStart w:id="0" w:name="_GoBack"/>
      <w:bookmarkEnd w:id="0"/>
    </w:p>
    <w:p w14:paraId="6F854878" w14:textId="62CFCA2E" w:rsidR="00B853A7" w:rsidRDefault="003A2992">
      <w:pPr>
        <w:rPr>
          <w:sz w:val="18"/>
          <w:szCs w:val="18"/>
        </w:rPr>
      </w:pPr>
      <w:r>
        <w:rPr>
          <w:sz w:val="18"/>
          <w:szCs w:val="18"/>
        </w:rPr>
        <w:t>Figure S3</w:t>
      </w:r>
      <w:r w:rsidR="00B853A7">
        <w:rPr>
          <w:sz w:val="18"/>
          <w:szCs w:val="18"/>
        </w:rPr>
        <w:t xml:space="preserve">. Median </w:t>
      </w:r>
      <w:r w:rsidR="00B853A7">
        <w:rPr>
          <w:i/>
          <w:iCs/>
          <w:sz w:val="18"/>
          <w:szCs w:val="18"/>
        </w:rPr>
        <w:t xml:space="preserve">R </w:t>
      </w:r>
      <w:r w:rsidR="00B853A7">
        <w:rPr>
          <w:sz w:val="18"/>
          <w:szCs w:val="18"/>
        </w:rPr>
        <w:t>scores for each location in the FCR, and within the boundaries of the Mission Iconic Reefs restoration sites, for each species. Blue boxes are the interquartile range (IQR), and whiskers are 1x IQR. A dashed line denotes 0, and solid horizontal lines project the IQR for the whole FCR across the plot for reference.</w:t>
      </w:r>
    </w:p>
    <w:p w14:paraId="2E6501E2" w14:textId="77777777" w:rsidR="002F0F99" w:rsidRDefault="002F0F99">
      <w:pPr>
        <w:rPr>
          <w:sz w:val="18"/>
          <w:szCs w:val="18"/>
        </w:rPr>
      </w:pPr>
    </w:p>
    <w:p w14:paraId="28137696" w14:textId="6A07C32F" w:rsidR="002F0F99" w:rsidRDefault="002F0F99">
      <w:pPr>
        <w:rPr>
          <w:b/>
          <w:bCs/>
        </w:rPr>
      </w:pPr>
      <w:r>
        <w:rPr>
          <w:b/>
          <w:bCs/>
        </w:rPr>
        <w:t>Supporting References:</w:t>
      </w:r>
    </w:p>
    <w:p w14:paraId="2B3A3EC1" w14:textId="77777777" w:rsidR="002F0F99" w:rsidRPr="003A2ED8" w:rsidRDefault="002F0F99" w:rsidP="002F0F99">
      <w:pPr>
        <w:pStyle w:val="NormalWeb"/>
        <w:spacing w:before="0" w:beforeAutospacing="0" w:after="0" w:afterAutospacing="0"/>
        <w:ind w:left="360" w:hanging="360"/>
        <w:rPr>
          <w:lang w:val="nl-BE"/>
        </w:rPr>
      </w:pPr>
      <w:proofErr w:type="spellStart"/>
      <w:r w:rsidRPr="00BF4EDE">
        <w:t>Opsahl</w:t>
      </w:r>
      <w:proofErr w:type="spellEnd"/>
      <w:r w:rsidRPr="00BF4EDE">
        <w:t xml:space="preserve">, T., </w:t>
      </w:r>
      <w:proofErr w:type="spellStart"/>
      <w:r w:rsidRPr="00BF4EDE">
        <w:t>Agneessens</w:t>
      </w:r>
      <w:proofErr w:type="spellEnd"/>
      <w:r w:rsidRPr="00BF4EDE">
        <w:t xml:space="preserve">, F. &amp; </w:t>
      </w:r>
      <w:proofErr w:type="spellStart"/>
      <w:r w:rsidRPr="00BF4EDE">
        <w:t>Skvoretz</w:t>
      </w:r>
      <w:proofErr w:type="spellEnd"/>
      <w:r w:rsidRPr="00BF4EDE">
        <w:t xml:space="preserve">, J. (2010) Node centrality in weighted networks: Generalizing degree and shortest paths. </w:t>
      </w:r>
      <w:r w:rsidRPr="003A2ED8">
        <w:rPr>
          <w:i/>
          <w:iCs/>
          <w:lang w:val="nl-BE"/>
        </w:rPr>
        <w:t>Soc. Networks</w:t>
      </w:r>
      <w:r>
        <w:rPr>
          <w:i/>
          <w:iCs/>
          <w:lang w:val="nl-BE"/>
        </w:rPr>
        <w:t>,</w:t>
      </w:r>
      <w:r w:rsidRPr="003A2ED8">
        <w:rPr>
          <w:lang w:val="nl-BE"/>
        </w:rPr>
        <w:t xml:space="preserve"> </w:t>
      </w:r>
      <w:r w:rsidRPr="003A2ED8">
        <w:rPr>
          <w:b/>
          <w:bCs/>
          <w:lang w:val="nl-BE"/>
        </w:rPr>
        <w:t>32</w:t>
      </w:r>
      <w:r w:rsidRPr="003A2ED8">
        <w:rPr>
          <w:lang w:val="nl-BE"/>
        </w:rPr>
        <w:t>, 245–251.</w:t>
      </w:r>
    </w:p>
    <w:p w14:paraId="61198618" w14:textId="77777777" w:rsidR="002F0F99" w:rsidRPr="002F0F99" w:rsidRDefault="002F0F99">
      <w:pPr>
        <w:rPr>
          <w:b/>
          <w:bCs/>
        </w:rPr>
      </w:pPr>
    </w:p>
    <w:sectPr w:rsidR="002F0F99" w:rsidRPr="002F0F99" w:rsidSect="00EC39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CEF"/>
    <w:rsid w:val="00007743"/>
    <w:rsid w:val="00061030"/>
    <w:rsid w:val="00076B18"/>
    <w:rsid w:val="00252066"/>
    <w:rsid w:val="00263490"/>
    <w:rsid w:val="002869A6"/>
    <w:rsid w:val="002F0440"/>
    <w:rsid w:val="002F0F99"/>
    <w:rsid w:val="00373048"/>
    <w:rsid w:val="003A2992"/>
    <w:rsid w:val="00612C88"/>
    <w:rsid w:val="007A32EF"/>
    <w:rsid w:val="007D1085"/>
    <w:rsid w:val="00887066"/>
    <w:rsid w:val="0091451C"/>
    <w:rsid w:val="009A7CEF"/>
    <w:rsid w:val="009E3A4D"/>
    <w:rsid w:val="00AC2246"/>
    <w:rsid w:val="00B853A7"/>
    <w:rsid w:val="00B87999"/>
    <w:rsid w:val="00C128EC"/>
    <w:rsid w:val="00C25990"/>
    <w:rsid w:val="00C93FCB"/>
    <w:rsid w:val="00D87238"/>
    <w:rsid w:val="00DD3AC9"/>
    <w:rsid w:val="00E57EB8"/>
    <w:rsid w:val="00EC3974"/>
    <w:rsid w:val="00FC052B"/>
    <w:rsid w:val="00FC655D"/>
    <w:rsid w:val="00FD5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716FD"/>
  <w14:defaultImageDpi w14:val="32767"/>
  <w15:chartTrackingRefBased/>
  <w15:docId w15:val="{EA071A58-E103-974F-B05B-743D462E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28EC"/>
    <w:rPr>
      <w:color w:val="808080"/>
    </w:rPr>
  </w:style>
  <w:style w:type="paragraph" w:styleId="NormalWeb">
    <w:name w:val="Normal (Web)"/>
    <w:basedOn w:val="Normal"/>
    <w:uiPriority w:val="99"/>
    <w:unhideWhenUsed/>
    <w:rsid w:val="002F0F99"/>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Holstein</dc:creator>
  <cp:keywords/>
  <dc:description/>
  <cp:lastModifiedBy>Dhanasekar Subramanian</cp:lastModifiedBy>
  <cp:revision>8</cp:revision>
  <dcterms:created xsi:type="dcterms:W3CDTF">2022-01-19T22:12:00Z</dcterms:created>
  <dcterms:modified xsi:type="dcterms:W3CDTF">2026-09-07T10:44:00Z</dcterms:modified>
</cp:coreProperties>
</file>