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44" w:rsidRPr="00DD518A" w:rsidRDefault="00293B44" w:rsidP="00293B44">
      <w:pPr>
        <w:spacing w:line="48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hAnsi="Arial" w:cs="Arial"/>
          <w:b/>
          <w:lang w:val="en-GB"/>
        </w:rPr>
        <w:t>Supplementary t</w:t>
      </w:r>
      <w:r w:rsidRPr="00DD518A">
        <w:rPr>
          <w:rFonts w:ascii="Arial" w:eastAsia="Times New Roman" w:hAnsi="Arial" w:cs="Arial"/>
          <w:b/>
          <w:color w:val="000000"/>
        </w:rPr>
        <w:t xml:space="preserve">able </w:t>
      </w:r>
      <w:r>
        <w:rPr>
          <w:rFonts w:ascii="Arial" w:eastAsia="Times New Roman" w:hAnsi="Arial" w:cs="Arial"/>
          <w:b/>
          <w:color w:val="000000"/>
        </w:rPr>
        <w:t>1</w:t>
      </w:r>
      <w:r w:rsidRPr="00DD518A">
        <w:rPr>
          <w:rFonts w:ascii="Arial" w:eastAsia="Times New Roman" w:hAnsi="Arial" w:cs="Arial"/>
          <w:b/>
          <w:color w:val="000000"/>
        </w:rPr>
        <w:t xml:space="preserve">: Summary of quality of life parameters at baseline and follow-up periods grouped by treatment </w:t>
      </w:r>
    </w:p>
    <w:p w:rsidR="00293B44" w:rsidRDefault="00293B44" w:rsidP="00293B44">
      <w:pPr>
        <w:spacing w:line="480" w:lineRule="auto"/>
        <w:rPr>
          <w:rFonts w:ascii="Courier" w:hAnsi="Courier"/>
          <w:sz w:val="20"/>
          <w:szCs w:val="20"/>
        </w:rPr>
      </w:pPr>
      <w:r>
        <w:rPr>
          <w:rFonts w:ascii="Courier" w:eastAsia="Times New Roman" w:hAnsi="Courier" w:cs="Times New Roman"/>
          <w:color w:val="000000"/>
        </w:rPr>
        <w:t xml:space="preserve"> </w:t>
      </w:r>
    </w:p>
    <w:tbl>
      <w:tblPr>
        <w:tblStyle w:val="TableGrid"/>
        <w:tblW w:w="8789" w:type="dxa"/>
        <w:tblInd w:w="108" w:type="dxa"/>
        <w:tblLook w:val="04A0"/>
      </w:tblPr>
      <w:tblGrid>
        <w:gridCol w:w="1276"/>
        <w:gridCol w:w="1183"/>
        <w:gridCol w:w="1227"/>
        <w:gridCol w:w="1276"/>
        <w:gridCol w:w="1275"/>
        <w:gridCol w:w="1276"/>
        <w:gridCol w:w="1276"/>
      </w:tblGrid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A75D6">
              <w:rPr>
                <w:rFonts w:ascii="Arial" w:hAnsi="Arial" w:cs="Arial"/>
                <w:b/>
                <w:sz w:val="20"/>
                <w:szCs w:val="20"/>
              </w:rPr>
              <w:t>Variable</w:t>
            </w: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A75D6">
              <w:rPr>
                <w:rFonts w:ascii="Arial" w:hAnsi="Arial" w:cs="Arial"/>
                <w:b/>
                <w:sz w:val="20"/>
                <w:szCs w:val="20"/>
              </w:rPr>
              <w:t>Treatment</w:t>
            </w: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A75D6">
              <w:rPr>
                <w:rFonts w:ascii="Arial" w:hAnsi="Arial" w:cs="Arial"/>
                <w:b/>
                <w:sz w:val="20"/>
                <w:szCs w:val="20"/>
              </w:rPr>
              <w:t>Baseline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A75D6">
              <w:rPr>
                <w:rFonts w:ascii="Arial" w:hAnsi="Arial" w:cs="Arial"/>
                <w:b/>
                <w:sz w:val="20"/>
                <w:szCs w:val="20"/>
              </w:rPr>
              <w:t>6 weeks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A75D6">
              <w:rPr>
                <w:rFonts w:ascii="Arial" w:hAnsi="Arial" w:cs="Arial"/>
                <w:b/>
                <w:sz w:val="20"/>
                <w:szCs w:val="20"/>
              </w:rPr>
              <w:t>3 months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A75D6">
              <w:rPr>
                <w:rFonts w:ascii="Arial" w:hAnsi="Arial" w:cs="Arial"/>
                <w:b/>
                <w:sz w:val="20"/>
                <w:szCs w:val="20"/>
              </w:rPr>
              <w:t>6 months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A75D6">
              <w:rPr>
                <w:rFonts w:ascii="Arial" w:hAnsi="Arial" w:cs="Arial"/>
                <w:b/>
                <w:sz w:val="20"/>
                <w:szCs w:val="20"/>
              </w:rPr>
              <w:t>12 months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Urinary</w:t>
            </w: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IRE</w:t>
            </w: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87.6 (11.2)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-14.5 (16.9)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-0.4 (11.2)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1.4 (11.7)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1.1 (9.5)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75D6">
              <w:rPr>
                <w:rFonts w:ascii="Arial" w:hAnsi="Arial" w:cs="Arial"/>
                <w:sz w:val="20"/>
                <w:szCs w:val="20"/>
              </w:rPr>
              <w:t>RARP</w:t>
            </w:r>
            <w:proofErr w:type="spellEnd"/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87.6 (11.4)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-15.0 (14.6)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-2.2 (11.1)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0.7 (10.5)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1.3 (10.0)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Bowel</w:t>
            </w: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IRE</w:t>
            </w: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93.6 (8.9)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-1.2 (9.2)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-0.5 (13.1)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0.3 (7.8)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0.2 (12.1)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75D6">
              <w:rPr>
                <w:rFonts w:ascii="Arial" w:hAnsi="Arial" w:cs="Arial"/>
                <w:sz w:val="20"/>
                <w:szCs w:val="20"/>
              </w:rPr>
              <w:t>RARP</w:t>
            </w:r>
            <w:proofErr w:type="spellEnd"/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94.5 (5.6)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-2.6 (9.8)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-0.6 (7.3)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0.1 (7.7)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-0.1 (6.9)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Sexual</w:t>
            </w: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IRE</w:t>
            </w: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62.8 (23.4)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-18.1 (19.1)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-12.2 (18.5)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-11.1 (14.9)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-15.4 (14.3)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75D6">
              <w:rPr>
                <w:rFonts w:ascii="Arial" w:hAnsi="Arial" w:cs="Arial"/>
                <w:sz w:val="20"/>
                <w:szCs w:val="20"/>
              </w:rPr>
              <w:t>RARP</w:t>
            </w:r>
            <w:proofErr w:type="spellEnd"/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61.9 (23.9)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-25.7 (27.6)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-23.6 (23.8)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-21.1 (25.5)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-17.0 (22.0)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75D6">
              <w:rPr>
                <w:rFonts w:ascii="Arial" w:hAnsi="Arial" w:cs="Arial"/>
                <w:sz w:val="20"/>
                <w:szCs w:val="20"/>
              </w:rPr>
              <w:t>SF12</w:t>
            </w:r>
            <w:proofErr w:type="spellEnd"/>
            <w:r w:rsidRPr="00CA75D6">
              <w:rPr>
                <w:rFonts w:ascii="Arial" w:hAnsi="Arial" w:cs="Arial"/>
                <w:sz w:val="20"/>
                <w:szCs w:val="20"/>
              </w:rPr>
              <w:t xml:space="preserve"> PCS</w:t>
            </w: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IRE</w:t>
            </w: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53.4 (5.8)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-1.3 (3.8)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-0.1 (4.1)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-0.5 (6.2)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-1.5 (6.5)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75D6">
              <w:rPr>
                <w:rFonts w:ascii="Arial" w:hAnsi="Arial" w:cs="Arial"/>
                <w:sz w:val="20"/>
                <w:szCs w:val="20"/>
              </w:rPr>
              <w:t>RARP</w:t>
            </w:r>
            <w:proofErr w:type="spellEnd"/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54.1 (5.4)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-9.7 (7.9)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-1.8 (7.4)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-1.4 (8.5)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-0.5 (7.3)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75D6">
              <w:rPr>
                <w:rFonts w:ascii="Arial" w:hAnsi="Arial" w:cs="Arial"/>
                <w:sz w:val="20"/>
                <w:szCs w:val="20"/>
              </w:rPr>
              <w:t>SF12</w:t>
            </w:r>
            <w:proofErr w:type="spellEnd"/>
            <w:r w:rsidRPr="00CA75D6">
              <w:rPr>
                <w:rFonts w:ascii="Arial" w:hAnsi="Arial" w:cs="Arial"/>
                <w:sz w:val="20"/>
                <w:szCs w:val="20"/>
              </w:rPr>
              <w:t xml:space="preserve"> MCS</w:t>
            </w: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IRE</w:t>
            </w: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52.4 (10.4)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1.6 (9.1)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0.1 (6.7)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-2.1 (7.2)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-0.0 (10.9)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75D6">
              <w:rPr>
                <w:rFonts w:ascii="Arial" w:hAnsi="Arial" w:cs="Arial"/>
                <w:sz w:val="20"/>
                <w:szCs w:val="20"/>
              </w:rPr>
              <w:t>RARP</w:t>
            </w:r>
            <w:proofErr w:type="spellEnd"/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53.4 (8.2)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1.4 (8.6)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0.6 (7.2)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-1.0 (9.4)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0.2 (9.0)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75D6">
              <w:rPr>
                <w:rFonts w:ascii="Arial" w:hAnsi="Arial" w:cs="Arial"/>
                <w:sz w:val="20"/>
                <w:szCs w:val="20"/>
              </w:rPr>
              <w:t>AUA</w:t>
            </w:r>
            <w:proofErr w:type="spellEnd"/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IRE</w:t>
            </w:r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7.9 (6.6)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1.5 (6.1)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-0.7 (5.9)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-0.9 (4.3)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-0.5 (5.2)</w:t>
            </w:r>
          </w:p>
        </w:tc>
      </w:tr>
      <w:tr w:rsidR="00293B44" w:rsidTr="004700F0"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3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75D6">
              <w:rPr>
                <w:rFonts w:ascii="Arial" w:hAnsi="Arial" w:cs="Arial"/>
                <w:sz w:val="20"/>
                <w:szCs w:val="20"/>
              </w:rPr>
              <w:t>RARP</w:t>
            </w:r>
            <w:proofErr w:type="spellEnd"/>
          </w:p>
        </w:tc>
        <w:tc>
          <w:tcPr>
            <w:tcW w:w="1227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7.8 (6.4)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-0.9 (4.9)</w:t>
            </w:r>
          </w:p>
        </w:tc>
        <w:tc>
          <w:tcPr>
            <w:tcW w:w="1275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-3.5 (5.7)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-3.7 (6.1)</w:t>
            </w:r>
          </w:p>
        </w:tc>
        <w:tc>
          <w:tcPr>
            <w:tcW w:w="1276" w:type="dxa"/>
          </w:tcPr>
          <w:p w:rsidR="00293B44" w:rsidRPr="00CA75D6" w:rsidRDefault="00293B44" w:rsidP="004700F0">
            <w:pPr>
              <w:rPr>
                <w:rFonts w:ascii="Arial" w:hAnsi="Arial" w:cs="Arial"/>
                <w:sz w:val="20"/>
                <w:szCs w:val="20"/>
              </w:rPr>
            </w:pPr>
            <w:r w:rsidRPr="00CA75D6">
              <w:rPr>
                <w:rFonts w:ascii="Arial" w:hAnsi="Arial" w:cs="Arial"/>
                <w:sz w:val="20"/>
                <w:szCs w:val="20"/>
              </w:rPr>
              <w:t>-3.4 (6.0)</w:t>
            </w:r>
          </w:p>
        </w:tc>
      </w:tr>
    </w:tbl>
    <w:p w:rsidR="00293B44" w:rsidRDefault="00293B44" w:rsidP="00293B44">
      <w:pPr>
        <w:rPr>
          <w:rFonts w:ascii="Arial" w:hAnsi="Arial" w:cs="Arial"/>
          <w:b/>
          <w:sz w:val="20"/>
          <w:szCs w:val="20"/>
        </w:rPr>
      </w:pPr>
    </w:p>
    <w:p w:rsidR="00293B44" w:rsidRPr="00DD518A" w:rsidRDefault="00293B44" w:rsidP="00293B44">
      <w:pPr>
        <w:spacing w:line="480" w:lineRule="auto"/>
        <w:rPr>
          <w:rFonts w:ascii="Arial" w:hAnsi="Arial" w:cs="Arial"/>
          <w:sz w:val="20"/>
          <w:szCs w:val="20"/>
        </w:rPr>
      </w:pPr>
      <w:r w:rsidRPr="00DD518A">
        <w:rPr>
          <w:rFonts w:ascii="Arial" w:hAnsi="Arial" w:cs="Arial"/>
          <w:b/>
          <w:sz w:val="20"/>
          <w:szCs w:val="20"/>
        </w:rPr>
        <w:t>Legend</w:t>
      </w:r>
      <w:r w:rsidRPr="00DD518A">
        <w:rPr>
          <w:rFonts w:ascii="Arial" w:hAnsi="Arial" w:cs="Arial"/>
          <w:sz w:val="20"/>
          <w:szCs w:val="20"/>
        </w:rPr>
        <w:t xml:space="preserve">: Baseline data are shown in mean and standard deviation (in brackets). For 6-week, 3-month, 6-month and 12-month data are shown in absolute change from baseline and standard deviation. </w:t>
      </w:r>
    </w:p>
    <w:p w:rsidR="00293B44" w:rsidRDefault="00293B44" w:rsidP="00293B44">
      <w:pPr>
        <w:rPr>
          <w:rFonts w:ascii="Times New Roman" w:hAnsi="Times New Roman" w:cs="Times New Roman"/>
        </w:rPr>
      </w:pPr>
    </w:p>
    <w:p w:rsidR="00293B44" w:rsidRDefault="00293B44" w:rsidP="00293B44">
      <w:pPr>
        <w:rPr>
          <w:rFonts w:ascii="Times New Roman" w:hAnsi="Times New Roman" w:cs="Times New Roman"/>
          <w:b/>
        </w:rPr>
      </w:pPr>
    </w:p>
    <w:p w:rsidR="00293B44" w:rsidRPr="00EF2199" w:rsidRDefault="00293B44" w:rsidP="00293B44">
      <w:pPr>
        <w:spacing w:line="480" w:lineRule="auto"/>
        <w:rPr>
          <w:rFonts w:ascii="Times New Roman" w:hAnsi="Times New Roman" w:cs="Times New Roman"/>
        </w:rPr>
      </w:pPr>
      <w:r>
        <w:rPr>
          <w:rFonts w:ascii="Arial" w:eastAsia="Times New Roman" w:hAnsi="Arial" w:cs="Arial"/>
          <w:b/>
        </w:rPr>
        <w:br w:type="column"/>
      </w:r>
      <w:proofErr w:type="gramStart"/>
      <w:r>
        <w:rPr>
          <w:rFonts w:ascii="Arial" w:eastAsia="Times New Roman" w:hAnsi="Arial" w:cs="Arial"/>
          <w:b/>
        </w:rPr>
        <w:lastRenderedPageBreak/>
        <w:t>Supplementary t</w:t>
      </w:r>
      <w:r w:rsidRPr="006F7319">
        <w:rPr>
          <w:rFonts w:ascii="Arial" w:eastAsia="Times New Roman" w:hAnsi="Arial" w:cs="Arial"/>
          <w:b/>
        </w:rPr>
        <w:t xml:space="preserve">able </w:t>
      </w:r>
      <w:r>
        <w:rPr>
          <w:rFonts w:ascii="Arial" w:eastAsia="Times New Roman" w:hAnsi="Arial" w:cs="Arial"/>
          <w:b/>
        </w:rPr>
        <w:t>2</w:t>
      </w:r>
      <w:r w:rsidRPr="006F7319">
        <w:rPr>
          <w:rFonts w:ascii="Arial" w:eastAsia="Times New Roman" w:hAnsi="Arial" w:cs="Arial"/>
          <w:b/>
        </w:rPr>
        <w:t>.</w:t>
      </w:r>
      <w:proofErr w:type="gramEnd"/>
      <w:r w:rsidRPr="006F7319">
        <w:rPr>
          <w:rFonts w:ascii="Arial" w:eastAsia="Times New Roman" w:hAnsi="Arial" w:cs="Arial"/>
          <w:b/>
        </w:rPr>
        <w:t xml:space="preserve"> Effects of treatment on measures of quality of life: results of mixed-effects model analysis </w:t>
      </w:r>
      <w:r w:rsidRPr="006F7319">
        <w:rPr>
          <w:rFonts w:ascii="Arial" w:eastAsia="Times New Roman" w:hAnsi="Arial" w:cs="Arial"/>
        </w:rPr>
        <w:t xml:space="preserve"> </w:t>
      </w:r>
    </w:p>
    <w:p w:rsidR="00293B44" w:rsidRPr="006F7319" w:rsidRDefault="00293B44" w:rsidP="00293B44">
      <w:pPr>
        <w:rPr>
          <w:rFonts w:ascii="Arial" w:eastAsia="Times New Roman" w:hAnsi="Arial" w:cs="Arial"/>
        </w:rPr>
      </w:pPr>
    </w:p>
    <w:tbl>
      <w:tblPr>
        <w:tblStyle w:val="TableGrid"/>
        <w:tblW w:w="10350" w:type="dxa"/>
        <w:tblInd w:w="-1019" w:type="dxa"/>
        <w:tblLook w:val="04A0"/>
      </w:tblPr>
      <w:tblGrid>
        <w:gridCol w:w="2552"/>
        <w:gridCol w:w="1559"/>
        <w:gridCol w:w="1559"/>
        <w:gridCol w:w="1560"/>
        <w:gridCol w:w="1560"/>
        <w:gridCol w:w="1560"/>
      </w:tblGrid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Parameter  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Urinary 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Bowel 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Sexual 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>SF12</w:t>
            </w:r>
            <w:proofErr w:type="spellEnd"/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-PCS  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>SF12</w:t>
            </w:r>
            <w:proofErr w:type="spellEnd"/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-MCS </w:t>
            </w:r>
          </w:p>
        </w:tc>
      </w:tr>
      <w:tr w:rsidR="00293B44" w:rsidRPr="006F7319" w:rsidTr="004700F0">
        <w:tc>
          <w:tcPr>
            <w:tcW w:w="10350" w:type="dxa"/>
            <w:gridSpan w:val="6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Fixed effects </w:t>
            </w:r>
          </w:p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Time 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0.118 (0.038)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-0.008 (0.041)</w:t>
            </w:r>
          </w:p>
        </w:tc>
        <w:tc>
          <w:tcPr>
            <w:tcW w:w="1560" w:type="dxa"/>
          </w:tcPr>
          <w:p w:rsidR="00293B44" w:rsidRPr="006B01C8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01C8">
              <w:rPr>
                <w:rFonts w:ascii="Arial" w:eastAsia="Times New Roman" w:hAnsi="Arial" w:cs="Arial"/>
                <w:b/>
                <w:sz w:val="20"/>
                <w:szCs w:val="20"/>
              </w:rPr>
              <w:t>-0.087 (0.030)</w:t>
            </w:r>
          </w:p>
        </w:tc>
        <w:tc>
          <w:tcPr>
            <w:tcW w:w="1560" w:type="dxa"/>
          </w:tcPr>
          <w:p w:rsidR="00293B44" w:rsidRPr="006B01C8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-0.028 (0.042)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-0.032 (0.033)</w:t>
            </w:r>
          </w:p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Treatment (</w:t>
            </w:r>
            <w:proofErr w:type="spellStart"/>
            <w:r w:rsidRPr="006F7319">
              <w:rPr>
                <w:rFonts w:ascii="Arial" w:eastAsia="Times New Roman" w:hAnsi="Arial" w:cs="Arial"/>
                <w:sz w:val="20"/>
                <w:szCs w:val="20"/>
              </w:rPr>
              <w:t>RARP</w:t>
            </w:r>
            <w:proofErr w:type="spellEnd"/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 vs IRE) 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-0.032 (0.208)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-0.018 (0.189)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-0.157 (0.181)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>-0.467 (0.189)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0.048 (0.195)</w:t>
            </w:r>
          </w:p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Time x Treatment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-0.003 (0.051) 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0.039 (0.054)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-0.043 (0.040)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0.096 (0.056)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0.025 (0.045)</w:t>
            </w:r>
          </w:p>
        </w:tc>
      </w:tr>
      <w:tr w:rsidR="00293B44" w:rsidRPr="006F7319" w:rsidTr="004700F0">
        <w:tc>
          <w:tcPr>
            <w:tcW w:w="10350" w:type="dxa"/>
            <w:gridSpan w:val="6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Variance components </w:t>
            </w:r>
          </w:p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Between subjects 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0.448 (0.669) 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0.195 (0.441)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0.441 (0.664)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0.162 (0.402)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0.539 (0.734)</w:t>
            </w:r>
          </w:p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Rates of change  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0.000 (0.000)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0.004 (0.067)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0.002 (0.047)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0.007 (0.085)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0.008 (0.091)</w:t>
            </w:r>
          </w:p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Within subjects 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0.525 (0.724) </w:t>
            </w:r>
          </w:p>
        </w:tc>
        <w:tc>
          <w:tcPr>
            <w:tcW w:w="1559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0.579 (0.761)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0.302 (0.549)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0.568 (0.753)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0.332 (0.576)</w:t>
            </w:r>
          </w:p>
        </w:tc>
      </w:tr>
    </w:tbl>
    <w:p w:rsidR="00293B44" w:rsidRPr="006F7319" w:rsidRDefault="00293B44" w:rsidP="00293B44">
      <w:pPr>
        <w:rPr>
          <w:rFonts w:ascii="Arial" w:eastAsia="Times New Roman" w:hAnsi="Arial" w:cs="Arial"/>
        </w:rPr>
      </w:pPr>
    </w:p>
    <w:tbl>
      <w:tblPr>
        <w:tblStyle w:val="TableGrid"/>
        <w:tblW w:w="10352" w:type="dxa"/>
        <w:tblInd w:w="-1019" w:type="dxa"/>
        <w:tblLook w:val="04A0"/>
      </w:tblPr>
      <w:tblGrid>
        <w:gridCol w:w="2552"/>
        <w:gridCol w:w="1560"/>
        <w:gridCol w:w="1560"/>
        <w:gridCol w:w="1560"/>
        <w:gridCol w:w="1560"/>
        <w:gridCol w:w="1560"/>
      </w:tblGrid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Parameter  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>AUA</w:t>
            </w:r>
            <w:proofErr w:type="spellEnd"/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Continence (all)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Continence (continent)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Potency (all)</w:t>
            </w:r>
          </w:p>
        </w:tc>
        <w:tc>
          <w:tcPr>
            <w:tcW w:w="1560" w:type="dxa"/>
          </w:tcPr>
          <w:p w:rsidR="00293B44" w:rsidRPr="006F7319" w:rsidRDefault="00293B44" w:rsidP="004700F0"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Potency (potent)</w:t>
            </w:r>
          </w:p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Fixed effects 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3B44" w:rsidRPr="006F7319" w:rsidRDefault="00293B44" w:rsidP="004700F0"/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Time </w:t>
            </w:r>
          </w:p>
        </w:tc>
        <w:tc>
          <w:tcPr>
            <w:tcW w:w="1560" w:type="dxa"/>
          </w:tcPr>
          <w:p w:rsidR="00293B44" w:rsidRPr="006B01C8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01C8">
              <w:rPr>
                <w:rFonts w:ascii="Arial" w:eastAsia="Times New Roman" w:hAnsi="Arial" w:cs="Arial"/>
                <w:b/>
                <w:sz w:val="20"/>
                <w:szCs w:val="20"/>
              </w:rPr>
              <w:t>-0.092 (0.038)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b/>
                <w:sz w:val="20"/>
                <w:szCs w:val="20"/>
              </w:rPr>
              <w:t>-0.982 (0.424)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b/>
                <w:sz w:val="20"/>
                <w:szCs w:val="20"/>
              </w:rPr>
              <w:t>-0.872 (0.423)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sz w:val="20"/>
                <w:szCs w:val="20"/>
              </w:rPr>
              <w:t>0.028 (0.375)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sz w:val="20"/>
                <w:szCs w:val="20"/>
              </w:rPr>
              <w:t>-0.512 (0.460)</w:t>
            </w:r>
          </w:p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Treatment (</w:t>
            </w:r>
            <w:proofErr w:type="spellStart"/>
            <w:r w:rsidRPr="006F7319">
              <w:rPr>
                <w:rFonts w:ascii="Arial" w:eastAsia="Times New Roman" w:hAnsi="Arial" w:cs="Arial"/>
                <w:sz w:val="20"/>
                <w:szCs w:val="20"/>
              </w:rPr>
              <w:t>RARP</w:t>
            </w:r>
            <w:proofErr w:type="spellEnd"/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 vs IRE)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-0.152 (0.246)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b/>
                <w:sz w:val="20"/>
                <w:szCs w:val="20"/>
              </w:rPr>
              <w:t>1.698 (0.636)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b/>
                <w:sz w:val="20"/>
                <w:szCs w:val="20"/>
              </w:rPr>
              <w:t>1.805 (0.661)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sz w:val="20"/>
                <w:szCs w:val="20"/>
              </w:rPr>
              <w:t>0.308 (0.448)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sz w:val="20"/>
                <w:szCs w:val="20"/>
              </w:rPr>
              <w:t>0.513 (0.534)</w:t>
            </w:r>
          </w:p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Time x Treatment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-0.085 (0.052)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sz w:val="20"/>
                <w:szCs w:val="20"/>
              </w:rPr>
              <w:t>0.533 (0.402)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sz w:val="20"/>
                <w:szCs w:val="20"/>
              </w:rPr>
              <w:t>0.481 (0.414)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b/>
                <w:sz w:val="20"/>
                <w:szCs w:val="20"/>
              </w:rPr>
              <w:t>1.437 (0.627)</w:t>
            </w:r>
          </w:p>
        </w:tc>
        <w:tc>
          <w:tcPr>
            <w:tcW w:w="1560" w:type="dxa"/>
          </w:tcPr>
          <w:p w:rsidR="00293B44" w:rsidRPr="00750228" w:rsidRDefault="00293B44" w:rsidP="004700F0">
            <w:pPr>
              <w:rPr>
                <w:sz w:val="20"/>
                <w:szCs w:val="20"/>
              </w:rPr>
            </w:pPr>
            <w:r w:rsidRPr="00750228">
              <w:rPr>
                <w:rFonts w:ascii="Arial" w:eastAsia="Times New Roman" w:hAnsi="Arial" w:cs="Arial"/>
                <w:b/>
                <w:sz w:val="20"/>
                <w:szCs w:val="20"/>
              </w:rPr>
              <w:t>1.664 (0.695)</w:t>
            </w:r>
          </w:p>
        </w:tc>
      </w:tr>
      <w:tr w:rsidR="00293B44" w:rsidRPr="006F7319" w:rsidTr="004700F0"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Variance components 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3B44" w:rsidRPr="006F7319" w:rsidRDefault="00293B44" w:rsidP="004700F0"/>
        </w:tc>
      </w:tr>
      <w:tr w:rsidR="00293B44" w:rsidRPr="006F7319" w:rsidTr="004700F0">
        <w:trPr>
          <w:gridAfter w:val="4"/>
          <w:wAfter w:w="6240" w:type="dxa"/>
        </w:trPr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Between subjects 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1.126 (1.061)</w:t>
            </w:r>
          </w:p>
        </w:tc>
      </w:tr>
      <w:tr w:rsidR="00293B44" w:rsidRPr="006F7319" w:rsidTr="004700F0">
        <w:trPr>
          <w:gridAfter w:val="4"/>
          <w:wAfter w:w="6240" w:type="dxa"/>
        </w:trPr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Rates of change  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0.028 (0.168)</w:t>
            </w:r>
          </w:p>
        </w:tc>
      </w:tr>
      <w:tr w:rsidR="00293B44" w:rsidRPr="006F7319" w:rsidTr="004700F0">
        <w:trPr>
          <w:gridAfter w:val="4"/>
          <w:wAfter w:w="6240" w:type="dxa"/>
        </w:trPr>
        <w:tc>
          <w:tcPr>
            <w:tcW w:w="2552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 xml:space="preserve">Within subjects </w:t>
            </w:r>
          </w:p>
        </w:tc>
        <w:tc>
          <w:tcPr>
            <w:tcW w:w="1560" w:type="dxa"/>
          </w:tcPr>
          <w:p w:rsidR="00293B44" w:rsidRPr="006F7319" w:rsidRDefault="00293B44" w:rsidP="004700F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F7319">
              <w:rPr>
                <w:rFonts w:ascii="Arial" w:eastAsia="Times New Roman" w:hAnsi="Arial" w:cs="Arial"/>
                <w:sz w:val="20"/>
                <w:szCs w:val="20"/>
              </w:rPr>
              <w:t>0.322 (0.567)</w:t>
            </w:r>
          </w:p>
        </w:tc>
      </w:tr>
    </w:tbl>
    <w:p w:rsidR="00293B44" w:rsidRDefault="00293B44" w:rsidP="00293B44">
      <w:pPr>
        <w:rPr>
          <w:rFonts w:ascii="Arial" w:hAnsi="Arial" w:cs="Arial"/>
        </w:rPr>
      </w:pPr>
    </w:p>
    <w:p w:rsidR="00293B44" w:rsidRPr="00E30493" w:rsidRDefault="00293B44" w:rsidP="00293B44">
      <w:pPr>
        <w:spacing w:line="480" w:lineRule="auto"/>
        <w:rPr>
          <w:rFonts w:ascii="Arial" w:hAnsi="Arial" w:cs="Arial"/>
          <w:sz w:val="20"/>
          <w:szCs w:val="20"/>
        </w:rPr>
      </w:pPr>
      <w:r w:rsidRPr="00DD518A">
        <w:rPr>
          <w:rFonts w:ascii="Arial" w:hAnsi="Arial" w:cs="Arial"/>
          <w:b/>
          <w:sz w:val="20"/>
          <w:szCs w:val="20"/>
        </w:rPr>
        <w:t>Legend</w:t>
      </w:r>
      <w:r w:rsidRPr="00DD518A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A</w:t>
      </w:r>
      <w:r w:rsidRPr="00DD518A">
        <w:rPr>
          <w:rFonts w:ascii="Arial" w:hAnsi="Arial" w:cs="Arial"/>
          <w:sz w:val="20"/>
          <w:szCs w:val="20"/>
        </w:rPr>
        <w:t>ll numbers represent regression coefficients a</w:t>
      </w:r>
      <w:r>
        <w:rPr>
          <w:rFonts w:ascii="Arial" w:hAnsi="Arial" w:cs="Arial"/>
          <w:sz w:val="20"/>
          <w:szCs w:val="20"/>
        </w:rPr>
        <w:t>nd standard error (in brackets) for</w:t>
      </w:r>
      <w:r w:rsidRPr="00DD518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an effect over time, between treatments and an overall effect over time between treatments, including the variance components. </w:t>
      </w:r>
      <w:r w:rsidRPr="00DD518A">
        <w:rPr>
          <w:rFonts w:ascii="Arial" w:hAnsi="Arial" w:cs="Arial"/>
          <w:sz w:val="20"/>
          <w:szCs w:val="20"/>
        </w:rPr>
        <w:t>The effects with statistical significance</w:t>
      </w:r>
      <w:r>
        <w:rPr>
          <w:rFonts w:ascii="Arial" w:hAnsi="Arial" w:cs="Arial"/>
          <w:sz w:val="20"/>
          <w:szCs w:val="20"/>
        </w:rPr>
        <w:t xml:space="preserve"> (p</w:t>
      </w:r>
      <w:r w:rsidRPr="00DD518A">
        <w:rPr>
          <w:rFonts w:ascii="Arial" w:hAnsi="Arial" w:cs="Arial"/>
          <w:sz w:val="20"/>
          <w:szCs w:val="20"/>
        </w:rPr>
        <w:t>&lt;0.01) are</w:t>
      </w:r>
      <w:r>
        <w:rPr>
          <w:rFonts w:ascii="Arial" w:hAnsi="Arial" w:cs="Arial"/>
          <w:sz w:val="20"/>
          <w:szCs w:val="20"/>
        </w:rPr>
        <w:t xml:space="preserve"> shown in bold-faced numbers. </w:t>
      </w:r>
    </w:p>
    <w:p w:rsidR="00B55422" w:rsidRDefault="00B55422"/>
    <w:sectPr w:rsidR="00B55422" w:rsidSect="00B554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93B44"/>
    <w:rsid w:val="00000CE1"/>
    <w:rsid w:val="00007790"/>
    <w:rsid w:val="00013778"/>
    <w:rsid w:val="0003480A"/>
    <w:rsid w:val="0004043B"/>
    <w:rsid w:val="000526F9"/>
    <w:rsid w:val="000538A2"/>
    <w:rsid w:val="00076F8C"/>
    <w:rsid w:val="000A6A7C"/>
    <w:rsid w:val="000A6DAB"/>
    <w:rsid w:val="000B1533"/>
    <w:rsid w:val="000C4222"/>
    <w:rsid w:val="000D345D"/>
    <w:rsid w:val="000D6974"/>
    <w:rsid w:val="00104EA6"/>
    <w:rsid w:val="00137957"/>
    <w:rsid w:val="00140476"/>
    <w:rsid w:val="00186CDE"/>
    <w:rsid w:val="00192B12"/>
    <w:rsid w:val="001C1230"/>
    <w:rsid w:val="001E0764"/>
    <w:rsid w:val="001F2B56"/>
    <w:rsid w:val="00205927"/>
    <w:rsid w:val="00217AD5"/>
    <w:rsid w:val="00222257"/>
    <w:rsid w:val="00233EF8"/>
    <w:rsid w:val="002611F9"/>
    <w:rsid w:val="00282274"/>
    <w:rsid w:val="0029163C"/>
    <w:rsid w:val="00293B44"/>
    <w:rsid w:val="002A750D"/>
    <w:rsid w:val="00303628"/>
    <w:rsid w:val="00303C86"/>
    <w:rsid w:val="0031032B"/>
    <w:rsid w:val="00326B0A"/>
    <w:rsid w:val="00341BD3"/>
    <w:rsid w:val="0034393E"/>
    <w:rsid w:val="00346395"/>
    <w:rsid w:val="00387042"/>
    <w:rsid w:val="003A4578"/>
    <w:rsid w:val="003B2E3A"/>
    <w:rsid w:val="003B4E9C"/>
    <w:rsid w:val="003E4D5C"/>
    <w:rsid w:val="003E7EC4"/>
    <w:rsid w:val="00403B86"/>
    <w:rsid w:val="00404591"/>
    <w:rsid w:val="00425EB2"/>
    <w:rsid w:val="004326CD"/>
    <w:rsid w:val="00440163"/>
    <w:rsid w:val="00443FA8"/>
    <w:rsid w:val="00452CA3"/>
    <w:rsid w:val="00464CAE"/>
    <w:rsid w:val="0047217D"/>
    <w:rsid w:val="00473083"/>
    <w:rsid w:val="004A0C30"/>
    <w:rsid w:val="004B43AE"/>
    <w:rsid w:val="005330B5"/>
    <w:rsid w:val="005744C9"/>
    <w:rsid w:val="0059509C"/>
    <w:rsid w:val="005B60D2"/>
    <w:rsid w:val="00613FEF"/>
    <w:rsid w:val="00632FF2"/>
    <w:rsid w:val="0063611C"/>
    <w:rsid w:val="00651475"/>
    <w:rsid w:val="00661E5B"/>
    <w:rsid w:val="00667FF8"/>
    <w:rsid w:val="00672265"/>
    <w:rsid w:val="006753A1"/>
    <w:rsid w:val="006B74AE"/>
    <w:rsid w:val="0073059F"/>
    <w:rsid w:val="007526A2"/>
    <w:rsid w:val="00765C4C"/>
    <w:rsid w:val="00776318"/>
    <w:rsid w:val="00787F45"/>
    <w:rsid w:val="00796F7D"/>
    <w:rsid w:val="007A5451"/>
    <w:rsid w:val="008262A0"/>
    <w:rsid w:val="00830FC7"/>
    <w:rsid w:val="00847A46"/>
    <w:rsid w:val="0085774D"/>
    <w:rsid w:val="00865AD3"/>
    <w:rsid w:val="008677FD"/>
    <w:rsid w:val="00877D1D"/>
    <w:rsid w:val="00891561"/>
    <w:rsid w:val="0089338B"/>
    <w:rsid w:val="008B7F59"/>
    <w:rsid w:val="008C05CD"/>
    <w:rsid w:val="008E3F54"/>
    <w:rsid w:val="008F12DA"/>
    <w:rsid w:val="008F43E3"/>
    <w:rsid w:val="00904308"/>
    <w:rsid w:val="00904639"/>
    <w:rsid w:val="00920530"/>
    <w:rsid w:val="00930D4F"/>
    <w:rsid w:val="00940411"/>
    <w:rsid w:val="00944ACB"/>
    <w:rsid w:val="00946135"/>
    <w:rsid w:val="009609D1"/>
    <w:rsid w:val="0097084C"/>
    <w:rsid w:val="00987C45"/>
    <w:rsid w:val="009A57CD"/>
    <w:rsid w:val="009C5315"/>
    <w:rsid w:val="009E0D01"/>
    <w:rsid w:val="009E1C0B"/>
    <w:rsid w:val="009E73B7"/>
    <w:rsid w:val="00A21DF1"/>
    <w:rsid w:val="00A25CB4"/>
    <w:rsid w:val="00A2630B"/>
    <w:rsid w:val="00A30237"/>
    <w:rsid w:val="00A40540"/>
    <w:rsid w:val="00A52570"/>
    <w:rsid w:val="00A57136"/>
    <w:rsid w:val="00A6094A"/>
    <w:rsid w:val="00A87C92"/>
    <w:rsid w:val="00AC3368"/>
    <w:rsid w:val="00B55422"/>
    <w:rsid w:val="00B61942"/>
    <w:rsid w:val="00B71CD5"/>
    <w:rsid w:val="00B750EA"/>
    <w:rsid w:val="00B9524A"/>
    <w:rsid w:val="00B967BB"/>
    <w:rsid w:val="00BD05C4"/>
    <w:rsid w:val="00BF16D1"/>
    <w:rsid w:val="00C20433"/>
    <w:rsid w:val="00C50CC7"/>
    <w:rsid w:val="00C52874"/>
    <w:rsid w:val="00C76838"/>
    <w:rsid w:val="00C8273C"/>
    <w:rsid w:val="00C873E7"/>
    <w:rsid w:val="00CB7BCA"/>
    <w:rsid w:val="00CD6EDC"/>
    <w:rsid w:val="00D070A1"/>
    <w:rsid w:val="00D4713E"/>
    <w:rsid w:val="00D60CCA"/>
    <w:rsid w:val="00D778AD"/>
    <w:rsid w:val="00DE26AA"/>
    <w:rsid w:val="00E0113C"/>
    <w:rsid w:val="00E37B6C"/>
    <w:rsid w:val="00E5410B"/>
    <w:rsid w:val="00E619A3"/>
    <w:rsid w:val="00EA1941"/>
    <w:rsid w:val="00EC7A13"/>
    <w:rsid w:val="00EF74B1"/>
    <w:rsid w:val="00F0121F"/>
    <w:rsid w:val="00F11EB7"/>
    <w:rsid w:val="00F2347C"/>
    <w:rsid w:val="00F55EC2"/>
    <w:rsid w:val="00F608BB"/>
    <w:rsid w:val="00F763A5"/>
    <w:rsid w:val="00F83B6F"/>
    <w:rsid w:val="00F91F69"/>
    <w:rsid w:val="00F97FF2"/>
    <w:rsid w:val="00FA3425"/>
    <w:rsid w:val="00FC7B0F"/>
    <w:rsid w:val="00FD214D"/>
    <w:rsid w:val="00FE009E"/>
    <w:rsid w:val="00FE1893"/>
    <w:rsid w:val="00FF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B44"/>
    <w:pPr>
      <w:spacing w:after="0" w:line="240" w:lineRule="auto"/>
    </w:pPr>
    <w:rPr>
      <w:rFonts w:eastAsiaTheme="minorEastAsia"/>
      <w:sz w:val="24"/>
      <w:szCs w:val="24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Company>Microsoft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0012268</dc:creator>
  <cp:keywords/>
  <dc:description/>
  <cp:lastModifiedBy>0012268</cp:lastModifiedBy>
  <cp:revision>2</cp:revision>
  <dcterms:created xsi:type="dcterms:W3CDTF">2018-03-26T07:12:00Z</dcterms:created>
  <dcterms:modified xsi:type="dcterms:W3CDTF">2018-03-26T07:13:00Z</dcterms:modified>
</cp:coreProperties>
</file>