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6580" w:rsidRDefault="00AD6580" w:rsidP="00AD6580">
      <w:r w:rsidRPr="00FB30F3">
        <w:rPr>
          <w:noProof/>
        </w:rPr>
        <w:drawing>
          <wp:inline distT="0" distB="0" distL="0" distR="0" wp14:anchorId="2A76CE40" wp14:editId="2AD347FD">
            <wp:extent cx="5274310" cy="2393233"/>
            <wp:effectExtent l="0" t="0" r="2540" b="7620"/>
            <wp:docPr id="1" name="图片 1" descr="C:\Users\Wangbo\Desktop\supplementary fig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angbo\Desktop\supplementary fig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93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580" w:rsidRDefault="00AD6580" w:rsidP="00AD6580">
      <w:pPr>
        <w:spacing w:afterLines="50" w:after="120" w:line="360" w:lineRule="auto"/>
        <w:rPr>
          <w:rStyle w:val="fontstyle01"/>
          <w:sz w:val="20"/>
          <w:szCs w:val="20"/>
        </w:rPr>
      </w:pPr>
      <w:r w:rsidRPr="00AD6580">
        <w:rPr>
          <w:b/>
          <w:kern w:val="0"/>
          <w:sz w:val="20"/>
          <w:szCs w:val="20"/>
        </w:rPr>
        <w:t>Supplementary Figure 1. Expression of stabilin-1 in human UCB tissues.</w:t>
      </w:r>
      <w:r w:rsidRPr="00AD6580">
        <w:rPr>
          <w:b/>
          <w:kern w:val="0"/>
        </w:rPr>
        <w:t xml:space="preserve"> </w:t>
      </w:r>
      <w:r w:rsidRPr="00AD6580">
        <w:rPr>
          <w:rFonts w:ascii="Times" w:hAnsi="Times"/>
          <w:kern w:val="0"/>
          <w:sz w:val="20"/>
          <w:szCs w:val="20"/>
        </w:rPr>
        <w:t>Representative</w:t>
      </w:r>
      <w:r w:rsidRPr="00AD6580">
        <w:rPr>
          <w:rStyle w:val="fontstyle01"/>
          <w:rFonts w:ascii="Times" w:hAnsi="Times"/>
          <w:sz w:val="20"/>
          <w:szCs w:val="20"/>
        </w:rPr>
        <w:t xml:space="preserve"> immunohistochemistry images of isotype control and stabilin-1</w:t>
      </w:r>
      <w:r w:rsidRPr="00AD6580">
        <w:rPr>
          <w:rStyle w:val="fontstyle01"/>
          <w:rFonts w:ascii="Times" w:hAnsi="Times"/>
          <w:sz w:val="20"/>
          <w:szCs w:val="20"/>
          <w:vertAlign w:val="superscript"/>
        </w:rPr>
        <w:t xml:space="preserve"> </w:t>
      </w:r>
      <w:r w:rsidRPr="00AD6580">
        <w:rPr>
          <w:rStyle w:val="fontstyle01"/>
          <w:rFonts w:ascii="Times" w:hAnsi="Times"/>
          <w:sz w:val="20"/>
          <w:szCs w:val="20"/>
        </w:rPr>
        <w:t>antibody staining in human UCB tissues. Asterisk indicates the area with higher magnification in the upper-right corner.</w:t>
      </w:r>
    </w:p>
    <w:p w:rsidR="00AD6580" w:rsidRDefault="00AD6580">
      <w:pPr>
        <w:widowControl/>
        <w:jc w:val="left"/>
        <w:rPr>
          <w:b/>
          <w:kern w:val="0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4D477E" w:rsidRPr="00681874" w:rsidRDefault="009F629E" w:rsidP="004D477E">
      <w:pPr>
        <w:pStyle w:val="p0"/>
        <w:spacing w:line="480" w:lineRule="auto"/>
        <w:ind w:left="803" w:hangingChars="400" w:hanging="803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lastRenderedPageBreak/>
        <w:t xml:space="preserve">Supplementary </w:t>
      </w:r>
      <w:r w:rsidR="004D477E" w:rsidRPr="00681874">
        <w:rPr>
          <w:b/>
          <w:sz w:val="20"/>
          <w:szCs w:val="20"/>
        </w:rPr>
        <w:t xml:space="preserve">Table 1. Clinicopathological Characteristics of Patients with </w:t>
      </w:r>
      <w:r w:rsidR="004D477E" w:rsidRPr="00681874">
        <w:rPr>
          <w:rFonts w:eastAsia="AdvPS3D5C76" w:hint="eastAsia"/>
          <w:b/>
          <w:sz w:val="20"/>
          <w:szCs w:val="20"/>
        </w:rPr>
        <w:t>urothelial cell carcinoma of the bladder</w:t>
      </w:r>
    </w:p>
    <w:tbl>
      <w:tblPr>
        <w:tblW w:w="8427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542"/>
        <w:gridCol w:w="2885"/>
      </w:tblGrid>
      <w:tr w:rsidR="004D477E" w:rsidRPr="00617370" w:rsidTr="004D477E">
        <w:trPr>
          <w:trHeight w:val="142"/>
        </w:trPr>
        <w:tc>
          <w:tcPr>
            <w:tcW w:w="55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4D477E">
            <w:pPr>
              <w:widowControl/>
              <w:spacing w:line="480" w:lineRule="auto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>Variable</w:t>
            </w:r>
          </w:p>
        </w:tc>
        <w:tc>
          <w:tcPr>
            <w:tcW w:w="28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>No. (%)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No. of patients</w:t>
            </w:r>
          </w:p>
        </w:tc>
        <w:tc>
          <w:tcPr>
            <w:tcW w:w="28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sz w:val="20"/>
                <w:szCs w:val="20"/>
              </w:rPr>
              <w:t>283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Age, years (median, range)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rFonts w:ascii="Times" w:hAnsi="Times" w:hint="eastAsia"/>
                <w:sz w:val="20"/>
                <w:szCs w:val="20"/>
              </w:rPr>
              <w:t>60</w:t>
            </w:r>
            <w:r w:rsidRPr="00617370">
              <w:rPr>
                <w:rFonts w:ascii="Times" w:hAnsi="Times"/>
                <w:sz w:val="20"/>
                <w:szCs w:val="20"/>
              </w:rPr>
              <w:t xml:space="preserve"> </w:t>
            </w:r>
            <w:r w:rsidRPr="00617370">
              <w:rPr>
                <w:rFonts w:ascii="Times" w:hAnsi="Times" w:hint="eastAsia"/>
                <w:sz w:val="20"/>
                <w:szCs w:val="20"/>
              </w:rPr>
              <w:t>(15-90</w:t>
            </w:r>
            <w:r w:rsidRPr="00617370">
              <w:rPr>
                <w:rFonts w:ascii="Times" w:hAnsi="Times"/>
                <w:sz w:val="20"/>
                <w:szCs w:val="20"/>
              </w:rPr>
              <w:t>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Gender (male/female)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rFonts w:ascii="Times" w:hAnsi="Times" w:hint="eastAsia"/>
                <w:sz w:val="20"/>
                <w:szCs w:val="20"/>
              </w:rPr>
              <w:t>246</w:t>
            </w:r>
            <w:r w:rsidRPr="00617370">
              <w:rPr>
                <w:rFonts w:ascii="Times" w:hAnsi="Times"/>
                <w:sz w:val="20"/>
                <w:szCs w:val="20"/>
              </w:rPr>
              <w:t>/37 (86.9/13.1)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  <w:lang w:val="da-DK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Tumor size (≤3 cm / &gt;3 cm)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rFonts w:ascii="Times" w:hAnsi="Times" w:hint="eastAsia"/>
                <w:sz w:val="20"/>
                <w:szCs w:val="20"/>
              </w:rPr>
              <w:t>219/64</w:t>
            </w:r>
            <w:r w:rsidRPr="00617370">
              <w:rPr>
                <w:rFonts w:ascii="Times" w:hAnsi="Times"/>
                <w:sz w:val="20"/>
                <w:szCs w:val="20"/>
              </w:rPr>
              <w:t xml:space="preserve"> (77.4/22.6)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Multifocality (unifocal/</w:t>
            </w:r>
            <w:proofErr w:type="gramStart"/>
            <w:r w:rsidRPr="00617370">
              <w:rPr>
                <w:kern w:val="0"/>
                <w:sz w:val="20"/>
                <w:szCs w:val="20"/>
              </w:rPr>
              <w:t>multifocal )</w:t>
            </w:r>
            <w:proofErr w:type="gramEnd"/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rFonts w:ascii="Times" w:hAnsi="Times"/>
                <w:sz w:val="20"/>
                <w:szCs w:val="20"/>
              </w:rPr>
              <w:t>201/82 (71/29)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Tumor stage (Ta–T1/T2–T4)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rFonts w:ascii="Times" w:hAnsi="Times"/>
                <w:sz w:val="20"/>
                <w:szCs w:val="20"/>
              </w:rPr>
              <w:t>197/86 (69.6/30.4)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Nodal status (N0/N1–N2)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sz w:val="20"/>
                <w:szCs w:val="20"/>
              </w:rPr>
              <w:t>267/16 (94.3/5.7)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</w:rPr>
            </w:pPr>
            <w:r w:rsidRPr="00617370">
              <w:rPr>
                <w:kern w:val="0"/>
                <w:sz w:val="20"/>
                <w:szCs w:val="20"/>
              </w:rPr>
              <w:t xml:space="preserve"> Histological grade (low/high)</w:t>
            </w:r>
          </w:p>
        </w:tc>
        <w:tc>
          <w:tcPr>
            <w:tcW w:w="2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rFonts w:ascii="Times" w:hAnsi="Times" w:hint="eastAsia"/>
                <w:sz w:val="20"/>
                <w:szCs w:val="20"/>
              </w:rPr>
              <w:t>166</w:t>
            </w:r>
            <w:r w:rsidRPr="00617370">
              <w:rPr>
                <w:rFonts w:ascii="Times" w:hAnsi="Times"/>
                <w:sz w:val="20"/>
                <w:szCs w:val="20"/>
              </w:rPr>
              <w:t>/117 (58.7/41.3)</w:t>
            </w:r>
          </w:p>
        </w:tc>
      </w:tr>
      <w:tr w:rsidR="004D477E" w:rsidRPr="00617370" w:rsidTr="004D477E">
        <w:trPr>
          <w:trHeight w:val="425"/>
        </w:trPr>
        <w:tc>
          <w:tcPr>
            <w:tcW w:w="55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D477E" w:rsidRPr="00617370" w:rsidRDefault="004D477E" w:rsidP="00DD5BE4">
            <w:pPr>
              <w:widowControl/>
              <w:spacing w:line="480" w:lineRule="auto"/>
              <w:jc w:val="left"/>
              <w:rPr>
                <w:kern w:val="0"/>
                <w:sz w:val="20"/>
                <w:szCs w:val="20"/>
              </w:rPr>
            </w:pPr>
            <w:r w:rsidRPr="00617370">
              <w:rPr>
                <w:sz w:val="20"/>
                <w:szCs w:val="20"/>
              </w:rPr>
              <w:t xml:space="preserve"> Follow-up, months (median, range)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D477E" w:rsidRPr="00617370" w:rsidRDefault="004D477E" w:rsidP="00DD5BE4">
            <w:pPr>
              <w:rPr>
                <w:sz w:val="20"/>
                <w:szCs w:val="20"/>
              </w:rPr>
            </w:pPr>
            <w:r w:rsidRPr="00617370">
              <w:rPr>
                <w:rFonts w:ascii="Times" w:hAnsi="Times" w:hint="eastAsia"/>
                <w:sz w:val="20"/>
                <w:szCs w:val="20"/>
              </w:rPr>
              <w:t>80.3</w:t>
            </w:r>
            <w:r w:rsidRPr="00617370">
              <w:rPr>
                <w:rFonts w:ascii="Times" w:hAnsi="Times"/>
                <w:sz w:val="20"/>
                <w:szCs w:val="20"/>
              </w:rPr>
              <w:t xml:space="preserve"> (4-157)</w:t>
            </w:r>
          </w:p>
        </w:tc>
      </w:tr>
    </w:tbl>
    <w:p w:rsidR="008E6B4B" w:rsidRPr="00AD6580" w:rsidRDefault="008E6B4B">
      <w:pPr>
        <w:widowControl/>
        <w:jc w:val="left"/>
        <w:rPr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766DC1" w:rsidRPr="00766DC1" w:rsidRDefault="00766DC1" w:rsidP="00766DC1">
      <w:pPr>
        <w:widowControl/>
        <w:jc w:val="left"/>
        <w:rPr>
          <w:rFonts w:ascii="Times" w:eastAsia="Times New Roman" w:hAnsi="Times"/>
          <w:b/>
          <w:color w:val="333333"/>
          <w:kern w:val="0"/>
          <w:sz w:val="20"/>
          <w:szCs w:val="20"/>
          <w:shd w:val="clear" w:color="auto" w:fill="FFFFFF"/>
        </w:rPr>
      </w:pPr>
      <w:r w:rsidRPr="00766DC1">
        <w:rPr>
          <w:b/>
          <w:sz w:val="20"/>
          <w:szCs w:val="20"/>
        </w:rPr>
        <w:lastRenderedPageBreak/>
        <w:t>Supplementary Table</w:t>
      </w:r>
      <w:r w:rsidRPr="00766DC1">
        <w:rPr>
          <w:rFonts w:ascii="Times" w:eastAsia="Times New Roman" w:hAnsi="Times"/>
          <w:b/>
          <w:color w:val="333333"/>
          <w:kern w:val="0"/>
          <w:sz w:val="20"/>
          <w:szCs w:val="20"/>
          <w:shd w:val="clear" w:color="auto" w:fill="FFFFFF"/>
        </w:rPr>
        <w:t xml:space="preserve"> 2. Associations between </w:t>
      </w:r>
      <w:r w:rsidRPr="00766DC1">
        <w:rPr>
          <w:rFonts w:ascii="Times" w:eastAsia="Times New Roman" w:hAnsi="Times"/>
          <w:b/>
          <w:color w:val="333333"/>
          <w:kern w:val="0"/>
          <w:sz w:val="20"/>
          <w:szCs w:val="20"/>
          <w:shd w:val="clear" w:color="auto" w:fill="FFFFFF"/>
          <w:lang w:val="x-none"/>
        </w:rPr>
        <w:t>Stabilin-1</w:t>
      </w:r>
      <w:r w:rsidRPr="00766DC1">
        <w:rPr>
          <w:rFonts w:ascii="Times" w:eastAsia="Times New Roman" w:hAnsi="Times"/>
          <w:b/>
          <w:color w:val="333333"/>
          <w:kern w:val="0"/>
          <w:sz w:val="20"/>
          <w:szCs w:val="20"/>
          <w:shd w:val="clear" w:color="auto" w:fill="FFFFFF"/>
          <w:vertAlign w:val="superscript"/>
          <w:lang w:val="x-none"/>
        </w:rPr>
        <w:t>+</w:t>
      </w:r>
      <w:r w:rsidRPr="00766DC1">
        <w:rPr>
          <w:rFonts w:ascii="Times" w:eastAsia="Times New Roman" w:hAnsi="Times"/>
          <w:b/>
          <w:color w:val="333333"/>
          <w:kern w:val="0"/>
          <w:sz w:val="20"/>
          <w:szCs w:val="20"/>
          <w:shd w:val="clear" w:color="auto" w:fill="FFFFFF"/>
          <w:lang w:val="x-none"/>
        </w:rPr>
        <w:t>Mφ</w:t>
      </w:r>
      <w:r w:rsidRPr="00766DC1">
        <w:rPr>
          <w:rFonts w:ascii="Times" w:eastAsia="Times New Roman" w:hAnsi="Times"/>
          <w:b/>
          <w:color w:val="333333"/>
          <w:kern w:val="0"/>
          <w:sz w:val="20"/>
          <w:szCs w:val="20"/>
          <w:shd w:val="clear" w:color="auto" w:fill="FFFFFF"/>
        </w:rPr>
        <w:t xml:space="preserve"> Density and Clinicopathological Characteristics of UCB</w:t>
      </w:r>
    </w:p>
    <w:tbl>
      <w:tblPr>
        <w:tblpPr w:leftFromText="180" w:rightFromText="180" w:vertAnchor="page" w:horzAnchor="margin" w:tblpY="1936"/>
        <w:tblOverlap w:val="never"/>
        <w:tblW w:w="878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01"/>
        <w:gridCol w:w="851"/>
        <w:gridCol w:w="850"/>
        <w:gridCol w:w="993"/>
        <w:gridCol w:w="850"/>
        <w:gridCol w:w="284"/>
        <w:gridCol w:w="850"/>
        <w:gridCol w:w="851"/>
        <w:gridCol w:w="850"/>
        <w:gridCol w:w="709"/>
      </w:tblGrid>
      <w:tr w:rsidR="00766DC1" w:rsidRPr="00766DC1" w:rsidTr="00766DC1">
        <w:trPr>
          <w:trHeight w:val="285"/>
        </w:trPr>
        <w:tc>
          <w:tcPr>
            <w:tcW w:w="1701" w:type="dxa"/>
            <w:vMerge w:val="restart"/>
            <w:tcBorders>
              <w:top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jc w:val="center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Variable</w:t>
            </w:r>
          </w:p>
        </w:tc>
        <w:tc>
          <w:tcPr>
            <w:tcW w:w="3544" w:type="dxa"/>
            <w:gridSpan w:val="4"/>
            <w:tcBorders>
              <w:top w:val="single" w:sz="16" w:space="0" w:color="000000"/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ind w:firstLineChars="600" w:firstLine="1205"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>Stabilin-1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vertAlign w:val="superscript"/>
                <w:lang w:val="x-none"/>
              </w:rPr>
              <w:t>+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vertAlign w:val="subscript"/>
                <w:lang w:val="x-none"/>
              </w:rPr>
              <w:t>INT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 xml:space="preserve"> </w:t>
            </w:r>
            <w:proofErr w:type="spellStart"/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>Mφ</w:t>
            </w:r>
            <w:proofErr w:type="spellEnd"/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 xml:space="preserve"> 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density</w:t>
            </w:r>
          </w:p>
        </w:tc>
        <w:tc>
          <w:tcPr>
            <w:tcW w:w="284" w:type="dxa"/>
            <w:tcBorders>
              <w:top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60" w:type="dxa"/>
            <w:gridSpan w:val="4"/>
            <w:tcBorders>
              <w:top w:val="single" w:sz="16" w:space="0" w:color="000000"/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ind w:firstLineChars="350" w:firstLine="703"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>Stabilin-1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vertAlign w:val="superscript"/>
                <w:lang w:val="x-none"/>
              </w:rPr>
              <w:t>+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vertAlign w:val="subscript"/>
                <w:lang w:val="x-none"/>
              </w:rPr>
              <w:t>ST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 xml:space="preserve"> </w:t>
            </w:r>
            <w:proofErr w:type="spellStart"/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>Mφ</w:t>
            </w:r>
            <w:proofErr w:type="spellEnd"/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  <w:lang w:val="x-none"/>
              </w:rPr>
              <w:t xml:space="preserve"> </w:t>
            </w: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density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Merge/>
            <w:tcBorders>
              <w:bottom w:val="single" w:sz="16" w:space="0" w:color="000000"/>
            </w:tcBorders>
            <w:shd w:val="clear" w:color="auto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Low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High</w:t>
            </w:r>
          </w:p>
        </w:tc>
        <w:tc>
          <w:tcPr>
            <w:tcW w:w="993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R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P</w:t>
            </w:r>
          </w:p>
        </w:tc>
        <w:tc>
          <w:tcPr>
            <w:tcW w:w="284" w:type="dxa"/>
            <w:shd w:val="clear" w:color="auto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Low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High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R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solid" w:color="FFFFFF" w:fill="auto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  <w:t>P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No. of patients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182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101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147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136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420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Age, years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-0.008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0.894</w:t>
            </w: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0.08</w:t>
            </w: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0.18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≤ 60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94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82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&gt; 60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88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65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71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Gender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-0.048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0.419</w:t>
            </w: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0.668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Male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156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129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117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0.026</w:t>
            </w: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Female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26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19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420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Tumor size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-0.05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0.401</w:t>
            </w: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0.089</w:t>
            </w: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0.137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≤ 3cm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138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81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119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&gt; 3cm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44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28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36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Multifocality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0.061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0.309</w:t>
            </w: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0.009</w:t>
            </w: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0.877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Unifocal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133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68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105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96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 xml:space="preserve">Multifocal 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49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33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42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40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420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Tumor stage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0.165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0.005</w:t>
            </w: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0.056</w:t>
            </w: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0.344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Ta–T1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137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60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106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91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T2–T4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41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45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420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Nodal status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0.073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0.22</w:t>
            </w: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-0.082</w:t>
            </w: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0.167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N0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174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93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136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131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N1–N2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420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Histological grade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0.168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0.005</w:t>
            </w: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-0.003</w:t>
            </w: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bCs/>
                <w:color w:val="333333"/>
                <w:kern w:val="0"/>
                <w:sz w:val="20"/>
                <w:szCs w:val="20"/>
                <w:shd w:val="clear" w:color="auto" w:fill="FFFFFF"/>
              </w:rPr>
              <w:t>0.957</w:t>
            </w: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Low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118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48</w:t>
            </w:r>
          </w:p>
        </w:tc>
        <w:tc>
          <w:tcPr>
            <w:tcW w:w="993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86</w:t>
            </w:r>
          </w:p>
        </w:tc>
        <w:tc>
          <w:tcPr>
            <w:tcW w:w="851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850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  <w:tr w:rsidR="00766DC1" w:rsidRPr="00766DC1" w:rsidTr="00766DC1">
        <w:trPr>
          <w:trHeight w:val="285"/>
        </w:trPr>
        <w:tc>
          <w:tcPr>
            <w:tcW w:w="1701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High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64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53</w:t>
            </w:r>
          </w:p>
        </w:tc>
        <w:tc>
          <w:tcPr>
            <w:tcW w:w="993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4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0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61</w:t>
            </w:r>
          </w:p>
        </w:tc>
        <w:tc>
          <w:tcPr>
            <w:tcW w:w="851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  <w:r w:rsidRPr="00766DC1"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  <w:t>56</w:t>
            </w:r>
          </w:p>
        </w:tc>
        <w:tc>
          <w:tcPr>
            <w:tcW w:w="850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bottom w:val="single" w:sz="16" w:space="0" w:color="000000"/>
            </w:tcBorders>
            <w:vAlign w:val="center"/>
          </w:tcPr>
          <w:p w:rsidR="00766DC1" w:rsidRPr="00766DC1" w:rsidRDefault="00766DC1" w:rsidP="00766DC1">
            <w:pPr>
              <w:widowControl/>
              <w:jc w:val="left"/>
              <w:rPr>
                <w:rFonts w:ascii="Times" w:eastAsia="Times New Roman" w:hAnsi="Times"/>
                <w:color w:val="333333"/>
                <w:kern w:val="0"/>
                <w:sz w:val="20"/>
                <w:szCs w:val="20"/>
                <w:shd w:val="clear" w:color="auto" w:fill="FFFFFF"/>
              </w:rPr>
            </w:pPr>
          </w:p>
        </w:tc>
      </w:tr>
    </w:tbl>
    <w:p w:rsidR="00766DC1" w:rsidRPr="00766DC1" w:rsidRDefault="00766DC1" w:rsidP="00766DC1">
      <w:pPr>
        <w:widowControl/>
        <w:jc w:val="left"/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</w:pP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Abbreviations: UCB, urothelial cell carcinoma of the bladder; Stabilin-1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  <w:vertAlign w:val="superscript"/>
        </w:rPr>
        <w:t>+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  <w:vertAlign w:val="subscript"/>
        </w:rPr>
        <w:t>INT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 xml:space="preserve"> </w:t>
      </w:r>
      <w:proofErr w:type="spellStart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Mφs</w:t>
      </w:r>
      <w:proofErr w:type="spellEnd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, Stabilin-1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  <w:vertAlign w:val="superscript"/>
        </w:rPr>
        <w:t>+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 xml:space="preserve"> </w:t>
      </w:r>
      <w:proofErr w:type="spellStart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Mφs</w:t>
      </w:r>
      <w:proofErr w:type="spellEnd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 xml:space="preserve"> in </w:t>
      </w:r>
      <w:proofErr w:type="spellStart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intratumoral</w:t>
      </w:r>
      <w:proofErr w:type="spellEnd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 xml:space="preserve"> regions; Stabilin-1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  <w:vertAlign w:val="superscript"/>
        </w:rPr>
        <w:t>+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  <w:vertAlign w:val="subscript"/>
        </w:rPr>
        <w:t>ST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 xml:space="preserve"> </w:t>
      </w:r>
      <w:proofErr w:type="spellStart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Mφs</w:t>
      </w:r>
      <w:proofErr w:type="spellEnd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, Stabilin-1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  <w:vertAlign w:val="superscript"/>
        </w:rPr>
        <w:t>+</w:t>
      </w: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 xml:space="preserve"> </w:t>
      </w:r>
      <w:proofErr w:type="spellStart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Mφs</w:t>
      </w:r>
      <w:proofErr w:type="spellEnd"/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 xml:space="preserve"> in stromal regions.</w:t>
      </w:r>
    </w:p>
    <w:p w:rsidR="00D22463" w:rsidRPr="00766DC1" w:rsidRDefault="00766DC1" w:rsidP="00766DC1">
      <w:pPr>
        <w:rPr>
          <w:sz w:val="20"/>
          <w:szCs w:val="20"/>
        </w:rPr>
      </w:pPr>
      <w:r w:rsidRPr="00766DC1">
        <w:rPr>
          <w:rFonts w:ascii="Times" w:eastAsia="Times New Roman" w:hAnsi="Times"/>
          <w:color w:val="333333"/>
          <w:kern w:val="0"/>
          <w:sz w:val="20"/>
          <w:szCs w:val="20"/>
          <w:shd w:val="clear" w:color="auto" w:fill="FFFFFF"/>
        </w:rPr>
        <w:t>Significant P-values are shown in bold font.</w:t>
      </w:r>
    </w:p>
    <w:sectPr w:rsidR="00D22463" w:rsidRPr="00766DC1" w:rsidSect="004D477E">
      <w:pgSz w:w="11906" w:h="16838" w:code="9"/>
      <w:pgMar w:top="1418" w:right="1418" w:bottom="1418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53E" w:rsidRDefault="0006753E" w:rsidP="00617370">
      <w:r>
        <w:separator/>
      </w:r>
    </w:p>
  </w:endnote>
  <w:endnote w:type="continuationSeparator" w:id="0">
    <w:p w:rsidR="0006753E" w:rsidRDefault="0006753E" w:rsidP="0061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B0604020202020204"/>
    <w:charset w:val="00"/>
    <w:family w:val="auto"/>
    <w:pitch w:val="variable"/>
    <w:sig w:usb0="E0002AFF" w:usb1="D000785B" w:usb2="00000009" w:usb3="00000000" w:csb0="000001FF" w:csb1="00000000"/>
  </w:font>
  <w:font w:name="AdvP4DF614">
    <w:altName w:val="Times New Roman"/>
    <w:panose1 w:val="020B0604020202020204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dvPS3D5C76">
    <w:altName w:val="微软雅黑"/>
    <w:panose1 w:val="020B0604020202020204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53E" w:rsidRDefault="0006753E" w:rsidP="00617370">
      <w:r>
        <w:separator/>
      </w:r>
    </w:p>
  </w:footnote>
  <w:footnote w:type="continuationSeparator" w:id="0">
    <w:p w:rsidR="0006753E" w:rsidRDefault="0006753E" w:rsidP="006173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77E"/>
    <w:rsid w:val="0006753E"/>
    <w:rsid w:val="0034346D"/>
    <w:rsid w:val="0038276E"/>
    <w:rsid w:val="004A63FA"/>
    <w:rsid w:val="004C0418"/>
    <w:rsid w:val="004D477E"/>
    <w:rsid w:val="004E411D"/>
    <w:rsid w:val="00617370"/>
    <w:rsid w:val="00681874"/>
    <w:rsid w:val="006F597E"/>
    <w:rsid w:val="00766DC1"/>
    <w:rsid w:val="008E6B4B"/>
    <w:rsid w:val="009F629E"/>
    <w:rsid w:val="00AD6580"/>
    <w:rsid w:val="00B86C9A"/>
    <w:rsid w:val="00BA4621"/>
    <w:rsid w:val="00D22463"/>
    <w:rsid w:val="00F4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CCB198"/>
  <w15:chartTrackingRefBased/>
  <w15:docId w15:val="{547E232D-BD22-4CEF-A50F-F25EB82A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47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0">
    <w:name w:val="p0"/>
    <w:basedOn w:val="a"/>
    <w:rsid w:val="004D477E"/>
    <w:pPr>
      <w:widowControl/>
    </w:pPr>
    <w:rPr>
      <w:kern w:val="0"/>
      <w:szCs w:val="21"/>
    </w:rPr>
  </w:style>
  <w:style w:type="paragraph" w:styleId="a3">
    <w:name w:val="header"/>
    <w:basedOn w:val="a"/>
    <w:link w:val="a4"/>
    <w:uiPriority w:val="99"/>
    <w:unhideWhenUsed/>
    <w:rsid w:val="006173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737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73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7370"/>
    <w:rPr>
      <w:rFonts w:ascii="Times New Roman" w:eastAsia="宋体" w:hAnsi="Times New Roman" w:cs="Times New Roman"/>
      <w:sz w:val="18"/>
      <w:szCs w:val="18"/>
    </w:rPr>
  </w:style>
  <w:style w:type="table" w:styleId="1">
    <w:name w:val="List Table 1 Light"/>
    <w:basedOn w:val="a1"/>
    <w:uiPriority w:val="46"/>
    <w:rsid w:val="008E6B4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style01">
    <w:name w:val="fontstyle01"/>
    <w:rsid w:val="00AD6580"/>
    <w:rPr>
      <w:rFonts w:ascii="AdvP4DF614" w:hAnsi="AdvP4DF614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qFormat/>
    <w:rsid w:val="00AD6580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Wangbo</dc:creator>
  <cp:keywords/>
  <dc:description/>
  <cp:lastModifiedBy>hao huang</cp:lastModifiedBy>
  <cp:revision>8</cp:revision>
  <dcterms:created xsi:type="dcterms:W3CDTF">2018-07-10T10:20:00Z</dcterms:created>
  <dcterms:modified xsi:type="dcterms:W3CDTF">2019-02-14T13:03:00Z</dcterms:modified>
</cp:coreProperties>
</file>