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32C" w:rsidRPr="007753F0" w:rsidRDefault="0097732C" w:rsidP="0097732C">
      <w:pPr>
        <w:pStyle w:val="Heading1"/>
        <w:rPr>
          <w:lang w:val="en-US"/>
        </w:rPr>
      </w:pPr>
      <w:bookmarkStart w:id="0" w:name="_GoBack"/>
      <w:r>
        <w:rPr>
          <w:lang w:val="en-US"/>
        </w:rPr>
        <w:t>Supplementary Material</w:t>
      </w:r>
    </w:p>
    <w:p w:rsidR="0097732C" w:rsidRPr="00587EC1" w:rsidRDefault="0097732C" w:rsidP="0097732C">
      <w:pPr>
        <w:pStyle w:val="Heading2"/>
        <w:rPr>
          <w:lang w:val="en-US"/>
        </w:rPr>
      </w:pPr>
      <w:r>
        <w:rPr>
          <w:lang w:val="en-US"/>
        </w:rPr>
        <w:t xml:space="preserve">Figure S1. </w:t>
      </w:r>
    </w:p>
    <w:p w:rsidR="0097732C" w:rsidRDefault="0097732C" w:rsidP="0097732C">
      <w:pPr>
        <w:spacing w:line="259" w:lineRule="auto"/>
        <w:jc w:val="lef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2D5EDC9" wp14:editId="14102C76">
            <wp:extent cx="5760720" cy="233807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3 Graft function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32C" w:rsidRDefault="0097732C" w:rsidP="0097732C">
      <w:pPr>
        <w:rPr>
          <w:lang w:val="en-US"/>
        </w:rPr>
      </w:pPr>
      <w:r w:rsidRPr="000105B9">
        <w:rPr>
          <w:b/>
          <w:lang w:val="en-US"/>
        </w:rPr>
        <w:t xml:space="preserve">Figure </w:t>
      </w:r>
      <w:r>
        <w:rPr>
          <w:b/>
          <w:lang w:val="en-US"/>
        </w:rPr>
        <w:t>S1</w:t>
      </w:r>
      <w:r>
        <w:rPr>
          <w:lang w:val="en-US"/>
        </w:rPr>
        <w:t>. Follow-Up of graft function 1, 2, 5 and 10 years after kidney transplantation. Each dot represents one patient; mean an standard deviation are additionally indicated.</w:t>
      </w:r>
    </w:p>
    <w:p w:rsidR="0097732C" w:rsidRDefault="0097732C" w:rsidP="0097732C">
      <w:pPr>
        <w:spacing w:line="259" w:lineRule="auto"/>
        <w:jc w:val="left"/>
        <w:rPr>
          <w:lang w:val="en-US"/>
        </w:rPr>
      </w:pPr>
    </w:p>
    <w:p w:rsidR="0097732C" w:rsidRDefault="0097732C" w:rsidP="0097732C">
      <w:pPr>
        <w:spacing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:rsidR="0097732C" w:rsidRDefault="0097732C" w:rsidP="0097732C">
      <w:pPr>
        <w:pStyle w:val="Heading2"/>
        <w:rPr>
          <w:lang w:val="en-US"/>
        </w:rPr>
      </w:pPr>
      <w:r w:rsidRPr="00D53472">
        <w:rPr>
          <w:lang w:val="en-US"/>
        </w:rPr>
        <w:lastRenderedPageBreak/>
        <w:t>Table S1.</w:t>
      </w:r>
      <w:r>
        <w:rPr>
          <w:lang w:val="en-US"/>
        </w:rPr>
        <w:t xml:space="preserve"> </w:t>
      </w:r>
      <w:r w:rsidRPr="009663D3">
        <w:rPr>
          <w:lang w:val="en-US"/>
        </w:rPr>
        <w:t>Comparison between patients with</w:t>
      </w:r>
      <w:r>
        <w:rPr>
          <w:lang w:val="en-US"/>
        </w:rPr>
        <w:t xml:space="preserve"> an existing urinary diversion prior to kidney transplantation and those who had it modified during KT.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D53472">
              <w:rPr>
                <w:b/>
                <w:color w:val="000000" w:themeColor="text1"/>
                <w:lang w:val="en-US"/>
              </w:rPr>
              <w:t>Pre-existing urinary diversion (n=25)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D53472">
              <w:rPr>
                <w:b/>
                <w:color w:val="000000" w:themeColor="text1"/>
                <w:lang w:val="en-US"/>
              </w:rPr>
              <w:t>Modification of urinary diversion during KT (n=12)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D53472">
              <w:rPr>
                <w:b/>
                <w:color w:val="000000" w:themeColor="text1"/>
                <w:lang w:val="en-US"/>
              </w:rPr>
              <w:t>p-value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main disease</w:t>
            </w:r>
          </w:p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 xml:space="preserve">   spina bifida</w:t>
            </w:r>
          </w:p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 xml:space="preserve">   glomerulonephritis</w:t>
            </w:r>
          </w:p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 xml:space="preserve">   urothelial CA</w:t>
            </w:r>
          </w:p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 xml:space="preserve">   reflux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7 (28%)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3 (12%)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 (0%)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8 (32%)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 (8.3%)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 (8.3%)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4 (33.3%)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 (8.3%)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0.232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1.0</w:t>
            </w:r>
          </w:p>
          <w:p w:rsidR="0097732C" w:rsidRPr="00D53472" w:rsidRDefault="0097732C" w:rsidP="004912F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D53472">
              <w:rPr>
                <w:b/>
                <w:color w:val="000000" w:themeColor="text1"/>
                <w:lang w:val="en-US"/>
              </w:rPr>
              <w:t>0.007</w:t>
            </w:r>
          </w:p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0.220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age at urinary diversion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29.5 (0; 62)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D53472">
              <w:rPr>
                <w:color w:val="000000" w:themeColor="text1"/>
                <w:lang w:val="en-US"/>
              </w:rPr>
              <w:t>n.a</w:t>
            </w:r>
            <w:proofErr w:type="spellEnd"/>
            <w:r w:rsidRPr="00D5347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D53472">
              <w:rPr>
                <w:color w:val="000000" w:themeColor="text1"/>
                <w:lang w:val="en-US"/>
              </w:rPr>
              <w:t>n.a</w:t>
            </w:r>
            <w:proofErr w:type="spellEnd"/>
            <w:r w:rsidRPr="00D53472">
              <w:rPr>
                <w:color w:val="000000" w:themeColor="text1"/>
                <w:lang w:val="en-US"/>
              </w:rPr>
              <w:t>.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age at TX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41 (10; 68)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46 (17; 68)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0.203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sex male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11 (44%)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10 (83.3%)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D53472">
              <w:rPr>
                <w:b/>
                <w:color w:val="000000" w:themeColor="text1"/>
                <w:lang w:val="en-US"/>
              </w:rPr>
              <w:t>0.035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BMI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24.1 (19.4; 36.2)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25.5 (16; 34.6)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0.865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 xml:space="preserve">living donation 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4 (16%)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2 (16.7%)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1.0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intraoperative complication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 (4%)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 (8.3%)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D53472">
              <w:rPr>
                <w:b/>
                <w:color w:val="000000" w:themeColor="text1"/>
                <w:lang w:val="en-US"/>
              </w:rPr>
              <w:t>0.048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Serum creatinine at 2-years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1.65 (0.6; 9.95)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1.5 (1; 2.34)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0.946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Serum creatinine at 5-years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1.5 (1.48 (0.7; 10.09)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1.65 (0.83; 2.1)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0.970</w:t>
            </w:r>
          </w:p>
        </w:tc>
      </w:tr>
      <w:tr w:rsidR="0097732C" w:rsidRPr="00D53472" w:rsidTr="004912F9">
        <w:tc>
          <w:tcPr>
            <w:tcW w:w="2265" w:type="dxa"/>
          </w:tcPr>
          <w:p w:rsidR="0097732C" w:rsidRPr="00D53472" w:rsidRDefault="0097732C" w:rsidP="004912F9">
            <w:pPr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Graft failure</w:t>
            </w:r>
          </w:p>
        </w:tc>
        <w:tc>
          <w:tcPr>
            <w:tcW w:w="2265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11 (44%)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1 (8.3%)</w:t>
            </w:r>
          </w:p>
        </w:tc>
        <w:tc>
          <w:tcPr>
            <w:tcW w:w="2266" w:type="dxa"/>
            <w:vAlign w:val="center"/>
          </w:tcPr>
          <w:p w:rsidR="0097732C" w:rsidRPr="00D53472" w:rsidRDefault="0097732C" w:rsidP="004912F9">
            <w:pPr>
              <w:jc w:val="center"/>
              <w:rPr>
                <w:color w:val="000000" w:themeColor="text1"/>
                <w:lang w:val="en-US"/>
              </w:rPr>
            </w:pPr>
            <w:r w:rsidRPr="00D53472">
              <w:rPr>
                <w:color w:val="000000" w:themeColor="text1"/>
                <w:lang w:val="en-US"/>
              </w:rPr>
              <w:t>0.058</w:t>
            </w:r>
          </w:p>
        </w:tc>
      </w:tr>
    </w:tbl>
    <w:p w:rsidR="0097732C" w:rsidRDefault="0097732C" w:rsidP="0097732C">
      <w:pPr>
        <w:pStyle w:val="Heading2"/>
        <w:rPr>
          <w:lang w:val="en-US"/>
        </w:rPr>
      </w:pPr>
    </w:p>
    <w:p w:rsidR="0097732C" w:rsidRDefault="0097732C" w:rsidP="0097732C">
      <w:pPr>
        <w:pStyle w:val="Heading2"/>
        <w:rPr>
          <w:lang w:val="en-US"/>
        </w:rPr>
      </w:pPr>
    </w:p>
    <w:p w:rsidR="0097732C" w:rsidRDefault="0097732C" w:rsidP="0097732C">
      <w:pPr>
        <w:pStyle w:val="Heading2"/>
        <w:rPr>
          <w:lang w:val="en-US"/>
        </w:rPr>
      </w:pPr>
    </w:p>
    <w:p w:rsidR="0097732C" w:rsidRDefault="0097732C" w:rsidP="0097732C">
      <w:pPr>
        <w:pStyle w:val="Heading2"/>
        <w:rPr>
          <w:lang w:val="en-US"/>
        </w:rPr>
      </w:pPr>
    </w:p>
    <w:p w:rsidR="0097732C" w:rsidRDefault="0097732C" w:rsidP="0097732C">
      <w:pPr>
        <w:pStyle w:val="Heading2"/>
        <w:rPr>
          <w:lang w:val="en-US"/>
        </w:rPr>
      </w:pPr>
    </w:p>
    <w:p w:rsidR="0097732C" w:rsidRDefault="0097732C" w:rsidP="0097732C">
      <w:pPr>
        <w:rPr>
          <w:lang w:val="en-US"/>
        </w:rPr>
      </w:pPr>
    </w:p>
    <w:p w:rsidR="0097732C" w:rsidRDefault="0097732C" w:rsidP="0097732C">
      <w:pPr>
        <w:rPr>
          <w:lang w:val="en-US"/>
        </w:rPr>
      </w:pPr>
    </w:p>
    <w:p w:rsidR="0097732C" w:rsidRDefault="0097732C" w:rsidP="0097732C">
      <w:pPr>
        <w:rPr>
          <w:lang w:val="en-US"/>
        </w:rPr>
      </w:pPr>
    </w:p>
    <w:p w:rsidR="0097732C" w:rsidRDefault="0097732C" w:rsidP="0097732C">
      <w:pPr>
        <w:rPr>
          <w:lang w:val="en-US"/>
        </w:rPr>
      </w:pPr>
    </w:p>
    <w:p w:rsidR="0097732C" w:rsidRDefault="0097732C" w:rsidP="0097732C">
      <w:pPr>
        <w:rPr>
          <w:lang w:val="en-US"/>
        </w:rPr>
      </w:pPr>
    </w:p>
    <w:p w:rsidR="0097732C" w:rsidRPr="00CD60CA" w:rsidRDefault="0097732C" w:rsidP="0097732C">
      <w:pPr>
        <w:rPr>
          <w:lang w:val="en-US"/>
        </w:rPr>
      </w:pPr>
    </w:p>
    <w:p w:rsidR="0097732C" w:rsidRDefault="0097732C" w:rsidP="0097732C">
      <w:pPr>
        <w:pStyle w:val="Heading2"/>
        <w:rPr>
          <w:lang w:val="en-US"/>
        </w:rPr>
      </w:pPr>
      <w:r w:rsidRPr="00D53472">
        <w:rPr>
          <w:lang w:val="en-US"/>
        </w:rPr>
        <w:t>Table S</w:t>
      </w:r>
      <w:r>
        <w:rPr>
          <w:lang w:val="en-US"/>
        </w:rPr>
        <w:t>2</w:t>
      </w:r>
      <w:r w:rsidRPr="00D53472">
        <w:rPr>
          <w:lang w:val="en-US"/>
        </w:rPr>
        <w:t>.</w:t>
      </w:r>
      <w:r>
        <w:rPr>
          <w:lang w:val="en-US"/>
        </w:rPr>
        <w:t xml:space="preserve"> One, three, five and ten years overall and death censored graft survival including 95% confidence intervals.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732C" w:rsidTr="004912F9">
        <w:tc>
          <w:tcPr>
            <w:tcW w:w="3020" w:type="dxa"/>
            <w:vAlign w:val="center"/>
          </w:tcPr>
          <w:p w:rsidR="0097732C" w:rsidRPr="00620459" w:rsidRDefault="0097732C" w:rsidP="004912F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021" w:type="dxa"/>
            <w:vAlign w:val="center"/>
          </w:tcPr>
          <w:p w:rsidR="0097732C" w:rsidRPr="00620459" w:rsidRDefault="0097732C" w:rsidP="004912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Overall survival</w:t>
            </w:r>
          </w:p>
        </w:tc>
        <w:tc>
          <w:tcPr>
            <w:tcW w:w="3021" w:type="dxa"/>
            <w:vAlign w:val="center"/>
          </w:tcPr>
          <w:p w:rsidR="0097732C" w:rsidRPr="00620459" w:rsidRDefault="0097732C" w:rsidP="004912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Death censored graft survival</w:t>
            </w:r>
          </w:p>
        </w:tc>
      </w:tr>
      <w:tr w:rsidR="0097732C" w:rsidTr="004912F9">
        <w:tc>
          <w:tcPr>
            <w:tcW w:w="3020" w:type="dxa"/>
          </w:tcPr>
          <w:p w:rsidR="0097732C" w:rsidRDefault="0097732C" w:rsidP="004912F9">
            <w:pPr>
              <w:rPr>
                <w:lang w:val="en-US"/>
              </w:rPr>
            </w:pPr>
            <w:r>
              <w:rPr>
                <w:lang w:val="en-US"/>
              </w:rPr>
              <w:t>1 year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96.7% (80.4; 100)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88.7% (72.6; 95.6)</w:t>
            </w:r>
          </w:p>
        </w:tc>
      </w:tr>
      <w:tr w:rsidR="0097732C" w:rsidTr="004912F9">
        <w:tc>
          <w:tcPr>
            <w:tcW w:w="3020" w:type="dxa"/>
          </w:tcPr>
          <w:p w:rsidR="0097732C" w:rsidRDefault="0097732C" w:rsidP="004912F9">
            <w:pPr>
              <w:rPr>
                <w:lang w:val="en-US"/>
              </w:rPr>
            </w:pPr>
            <w:r>
              <w:rPr>
                <w:lang w:val="en-US"/>
              </w:rPr>
              <w:t>3 years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93.2% (75.3; 98.2)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82.8% (65.6; 91.9)</w:t>
            </w:r>
          </w:p>
        </w:tc>
      </w:tr>
      <w:tr w:rsidR="0097732C" w:rsidTr="004912F9">
        <w:tc>
          <w:tcPr>
            <w:tcW w:w="3020" w:type="dxa"/>
          </w:tcPr>
          <w:p w:rsidR="0097732C" w:rsidRDefault="0097732C" w:rsidP="004912F9">
            <w:pPr>
              <w:rPr>
                <w:lang w:val="en-US"/>
              </w:rPr>
            </w:pPr>
            <w:r>
              <w:rPr>
                <w:lang w:val="en-US"/>
              </w:rPr>
              <w:t>5 years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89% (69.3; 96.4)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79.3% (61.3; 89.6)</w:t>
            </w:r>
          </w:p>
        </w:tc>
      </w:tr>
      <w:tr w:rsidR="0097732C" w:rsidTr="004912F9">
        <w:tc>
          <w:tcPr>
            <w:tcW w:w="3020" w:type="dxa"/>
          </w:tcPr>
          <w:p w:rsidR="0097732C" w:rsidRDefault="0097732C" w:rsidP="004912F9">
            <w:pPr>
              <w:rPr>
                <w:lang w:val="en-US"/>
              </w:rPr>
            </w:pPr>
            <w:r>
              <w:rPr>
                <w:lang w:val="en-US"/>
              </w:rPr>
              <w:t>10 years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84.1% (62.2; 93.8)</w:t>
            </w:r>
          </w:p>
        </w:tc>
        <w:tc>
          <w:tcPr>
            <w:tcW w:w="3021" w:type="dxa"/>
          </w:tcPr>
          <w:p w:rsidR="0097732C" w:rsidRDefault="0097732C" w:rsidP="004912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65.6% (44.3; 80.4)</w:t>
            </w:r>
          </w:p>
        </w:tc>
      </w:tr>
    </w:tbl>
    <w:p w:rsidR="0097732C" w:rsidRPr="000105B9" w:rsidRDefault="0097732C" w:rsidP="0097732C">
      <w:pPr>
        <w:rPr>
          <w:b/>
          <w:bCs/>
          <w:lang w:val="en-US"/>
        </w:rPr>
      </w:pPr>
    </w:p>
    <w:p w:rsidR="0097732C" w:rsidRPr="00BA4B70" w:rsidRDefault="0097732C" w:rsidP="0097732C">
      <w:pPr>
        <w:rPr>
          <w:lang w:val="en-US"/>
        </w:rPr>
      </w:pPr>
    </w:p>
    <w:bookmarkEnd w:id="0"/>
    <w:p w:rsidR="0002434A" w:rsidRDefault="0002434A"/>
    <w:sectPr w:rsidR="0002434A" w:rsidSect="0060576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5762">
      <w:pPr>
        <w:spacing w:after="0" w:line="240" w:lineRule="auto"/>
      </w:pPr>
      <w:r>
        <w:separator/>
      </w:r>
    </w:p>
  </w:endnote>
  <w:endnote w:type="continuationSeparator" w:id="0">
    <w:p w:rsidR="00000000" w:rsidRDefault="0060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5004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4043B" w:rsidRDefault="00605762" w:rsidP="00DB62E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5762">
      <w:pPr>
        <w:spacing w:after="0" w:line="240" w:lineRule="auto"/>
      </w:pPr>
      <w:r>
        <w:separator/>
      </w:r>
    </w:p>
  </w:footnote>
  <w:footnote w:type="continuationSeparator" w:id="0">
    <w:p w:rsidR="00000000" w:rsidRDefault="00605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2C"/>
    <w:rsid w:val="0002434A"/>
    <w:rsid w:val="004E48CC"/>
    <w:rsid w:val="00605762"/>
    <w:rsid w:val="0074043B"/>
    <w:rsid w:val="0097732C"/>
    <w:rsid w:val="00D4134B"/>
    <w:rsid w:val="00FD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E43FE-8A93-694A-BAF9-7E05780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32C"/>
    <w:pPr>
      <w:spacing w:after="160" w:line="360" w:lineRule="auto"/>
      <w:jc w:val="both"/>
    </w:pPr>
    <w:rPr>
      <w:rFonts w:ascii="Times New Roman" w:hAnsi="Times New Roman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32C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32C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32C"/>
    <w:rPr>
      <w:rFonts w:ascii="Times New Roman" w:eastAsiaTheme="majorEastAsia" w:hAnsi="Times New Roman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7732C"/>
    <w:rPr>
      <w:rFonts w:ascii="Times New Roman" w:eastAsiaTheme="majorEastAsia" w:hAnsi="Times New Roman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7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32C"/>
    <w:rPr>
      <w:rFonts w:ascii="Times New Roman" w:hAnsi="Times New Roman"/>
      <w:kern w:val="0"/>
      <w:sz w:val="20"/>
      <w:szCs w:val="22"/>
      <w14:ligatures w14:val="none"/>
    </w:rPr>
  </w:style>
  <w:style w:type="table" w:styleId="TableGrid">
    <w:name w:val="Table Grid"/>
    <w:basedOn w:val="TableNormal"/>
    <w:uiPriority w:val="39"/>
    <w:rsid w:val="0097732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flegar</dc:creator>
  <cp:keywords/>
  <dc:description/>
  <cp:lastModifiedBy>Pushpakala S.</cp:lastModifiedBy>
  <cp:revision>2</cp:revision>
  <dcterms:created xsi:type="dcterms:W3CDTF">2023-10-15T18:09:00Z</dcterms:created>
  <dcterms:modified xsi:type="dcterms:W3CDTF">2024-04-08T08:15:00Z</dcterms:modified>
</cp:coreProperties>
</file>