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120" w:type="dxa"/>
        <w:tblLook w:val="04A0" w:firstRow="1" w:lastRow="0" w:firstColumn="1" w:lastColumn="0" w:noHBand="0" w:noVBand="1"/>
      </w:tblPr>
      <w:tblGrid>
        <w:gridCol w:w="10954"/>
        <w:gridCol w:w="1072"/>
        <w:gridCol w:w="1094"/>
      </w:tblGrid>
      <w:tr w:rsidR="001D2DAA" w:rsidRPr="00A10602" w14:paraId="54352731" w14:textId="1EF8672E" w:rsidTr="001D2DAA">
        <w:trPr>
          <w:trHeight w:val="269"/>
        </w:trPr>
        <w:tc>
          <w:tcPr>
            <w:tcW w:w="10954" w:type="dxa"/>
            <w:shd w:val="clear" w:color="auto" w:fill="8FD7E5"/>
          </w:tcPr>
          <w:p w14:paraId="68FD305C" w14:textId="77777777" w:rsidR="00BB0E48" w:rsidRPr="005F636B" w:rsidRDefault="00BB0E48" w:rsidP="00D76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b/>
                <w:bCs/>
                <w:color w:val="0C0C0C"/>
                <w:sz w:val="15"/>
                <w:szCs w:val="15"/>
                <w:lang w:val="en-US"/>
              </w:rPr>
              <w:t>Pediatric Urolithiasis Survey Step II</w:t>
            </w:r>
          </w:p>
        </w:tc>
        <w:tc>
          <w:tcPr>
            <w:tcW w:w="1072" w:type="dxa"/>
            <w:shd w:val="clear" w:color="auto" w:fill="8FD7E5"/>
          </w:tcPr>
          <w:p w14:paraId="2769A270" w14:textId="2511A684" w:rsidR="00BB0E48" w:rsidRPr="005F636B" w:rsidRDefault="003916A9" w:rsidP="00D76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b/>
                <w:bCs/>
                <w:color w:val="0C0C0C"/>
                <w:sz w:val="15"/>
                <w:szCs w:val="15"/>
                <w:lang w:val="en-US"/>
              </w:rPr>
              <w:t>Average Point</w:t>
            </w:r>
          </w:p>
        </w:tc>
        <w:tc>
          <w:tcPr>
            <w:tcW w:w="1094" w:type="dxa"/>
            <w:shd w:val="clear" w:color="auto" w:fill="8FD7E5"/>
          </w:tcPr>
          <w:p w14:paraId="3A9B1099" w14:textId="2D0987B7" w:rsidR="00BB0E48" w:rsidRPr="005F636B" w:rsidRDefault="003916A9" w:rsidP="00D76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b/>
                <w:bCs/>
                <w:color w:val="0C0C0C"/>
                <w:sz w:val="15"/>
                <w:szCs w:val="15"/>
                <w:lang w:val="en-US"/>
              </w:rPr>
              <w:t>Agreement (%)</w:t>
            </w:r>
          </w:p>
        </w:tc>
      </w:tr>
      <w:tr w:rsidR="00BB0E48" w:rsidRPr="00A10602" w14:paraId="65E02A65" w14:textId="69D8A2F5" w:rsidTr="00F01F46">
        <w:trPr>
          <w:trHeight w:val="145"/>
        </w:trPr>
        <w:tc>
          <w:tcPr>
            <w:tcW w:w="10954" w:type="dxa"/>
          </w:tcPr>
          <w:p w14:paraId="414E42E3" w14:textId="4E5F7418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Diagnosis Criteria and Protocols</w:t>
            </w:r>
          </w:p>
          <w:p w14:paraId="162D609D" w14:textId="7268D4C8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There is a critical need for consensus on diagnosis criteria and protocols for pediatric urolithiasis.</w:t>
            </w:r>
          </w:p>
        </w:tc>
        <w:tc>
          <w:tcPr>
            <w:tcW w:w="1072" w:type="dxa"/>
          </w:tcPr>
          <w:p w14:paraId="277B18B7" w14:textId="3AA1D3C7" w:rsidR="00BB0E48" w:rsidRPr="005F636B" w:rsidRDefault="003916A9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36F087FE" w14:textId="243B7565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4E0702E0" w14:textId="449DDFD5" w:rsidTr="005F636B">
        <w:trPr>
          <w:trHeight w:val="54"/>
        </w:trPr>
        <w:tc>
          <w:tcPr>
            <w:tcW w:w="10954" w:type="dxa"/>
            <w:shd w:val="clear" w:color="auto" w:fill="F2F2F2" w:themeFill="background1" w:themeFillShade="F2"/>
          </w:tcPr>
          <w:p w14:paraId="41C26F45" w14:textId="3BDDAC32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Diagnosis Criteria and Protocols</w:t>
            </w:r>
          </w:p>
          <w:p w14:paraId="216F8326" w14:textId="5B337F55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Standardizing diagnostic tools and defining clear intervention thresholds is essential for the field.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3B6B223D" w14:textId="4FDA599B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77A0CFEF" w14:textId="2F3DFD7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57D625D2" w14:textId="6F55F0B1" w:rsidTr="00F01F46">
        <w:trPr>
          <w:trHeight w:val="54"/>
        </w:trPr>
        <w:tc>
          <w:tcPr>
            <w:tcW w:w="10954" w:type="dxa"/>
          </w:tcPr>
          <w:p w14:paraId="548B016D" w14:textId="113561A6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Treatment Approaches</w:t>
            </w:r>
          </w:p>
          <w:p w14:paraId="42FBFAED" w14:textId="73C29520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It is important to clarify and compare treatment modalities for pediatric urolithiasis, ensuring they are tailored to patient-specific factors.</w:t>
            </w:r>
          </w:p>
        </w:tc>
        <w:tc>
          <w:tcPr>
            <w:tcW w:w="1072" w:type="dxa"/>
          </w:tcPr>
          <w:p w14:paraId="50D961FC" w14:textId="4866B558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4EFFB3A8" w14:textId="07AC7F57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7AA96ED1" w14:textId="429C0986" w:rsidTr="005F636B">
        <w:trPr>
          <w:trHeight w:val="131"/>
        </w:trPr>
        <w:tc>
          <w:tcPr>
            <w:tcW w:w="10954" w:type="dxa"/>
            <w:shd w:val="clear" w:color="auto" w:fill="F2F2F2" w:themeFill="background1" w:themeFillShade="F2"/>
          </w:tcPr>
          <w:p w14:paraId="451537B8" w14:textId="3058BDC3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4.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Follow-up Protocols</w:t>
            </w:r>
          </w:p>
          <w:p w14:paraId="68615FE9" w14:textId="5A07685B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standardization of follow-up protocols is necessary to establish best practices for monitoring patients after diagnosis or treatment of pediatric urolithiasis.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57250D7B" w14:textId="72801A3E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4.8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77263D2E" w14:textId="1FD9EB3C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33EAA58C" w14:textId="1106164F" w:rsidTr="00F01F46">
        <w:trPr>
          <w:trHeight w:val="54"/>
        </w:trPr>
        <w:tc>
          <w:tcPr>
            <w:tcW w:w="10954" w:type="dxa"/>
          </w:tcPr>
          <w:p w14:paraId="67BBEC09" w14:textId="6913F4A7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5.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Evidence and Research Gaps</w:t>
            </w:r>
          </w:p>
          <w:p w14:paraId="7A0BDB58" w14:textId="2F5AFB19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Addressing the current lack of pediatric-specific evidence and research is urgent to guide clinical decisions and improve patient outcomes in pediatric urolithiasis.</w:t>
            </w:r>
          </w:p>
        </w:tc>
        <w:tc>
          <w:tcPr>
            <w:tcW w:w="1072" w:type="dxa"/>
          </w:tcPr>
          <w:p w14:paraId="133D4A99" w14:textId="5A78946E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31928D45" w14:textId="6E053488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39D1ADA0" w14:textId="5E426F39" w:rsidTr="005F636B">
        <w:trPr>
          <w:trHeight w:val="54"/>
        </w:trPr>
        <w:tc>
          <w:tcPr>
            <w:tcW w:w="10954" w:type="dxa"/>
            <w:shd w:val="clear" w:color="auto" w:fill="F2F2F2" w:themeFill="background1" w:themeFillShade="F2"/>
          </w:tcPr>
          <w:p w14:paraId="2EC664B0" w14:textId="4C3DBAC4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6.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Guidelines</w:t>
            </w:r>
          </w:p>
          <w:p w14:paraId="66B49C01" w14:textId="0C11816B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There is a need to review and harmonize existing guidelines from various bodies to identify overlaps and gaps in pediatric urolithiasis care.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51AD67DD" w14:textId="14E12FF3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35B1D1C6" w14:textId="7D4B9CB6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2F3ACD2A" w14:textId="01C95A45" w:rsidTr="00F01F46">
        <w:trPr>
          <w:trHeight w:val="114"/>
        </w:trPr>
        <w:tc>
          <w:tcPr>
            <w:tcW w:w="10954" w:type="dxa"/>
          </w:tcPr>
          <w:p w14:paraId="0403B9F0" w14:textId="361B3B9C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7.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Guidelines</w:t>
            </w:r>
          </w:p>
          <w:p w14:paraId="63542C77" w14:textId="1E00EC67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Creating integrated, evidence-based recommendations for pediatric urolithiasis is a high priority.</w:t>
            </w:r>
          </w:p>
        </w:tc>
        <w:tc>
          <w:tcPr>
            <w:tcW w:w="1072" w:type="dxa"/>
          </w:tcPr>
          <w:p w14:paraId="4B78234C" w14:textId="56F4AFD7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2498CB88" w14:textId="39A2BD75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2D2CFF4A" w14:textId="14C4D84F" w:rsidTr="005F636B">
        <w:trPr>
          <w:trHeight w:val="107"/>
        </w:trPr>
        <w:tc>
          <w:tcPr>
            <w:tcW w:w="10954" w:type="dxa"/>
            <w:shd w:val="clear" w:color="auto" w:fill="F2F2F2" w:themeFill="background1" w:themeFillShade="F2"/>
          </w:tcPr>
          <w:p w14:paraId="1C5B26B6" w14:textId="1AD5447B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8.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Training and Expertise</w:t>
            </w:r>
          </w:p>
          <w:p w14:paraId="4C712F36" w14:textId="6FE8C951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Enhancing the quality of care in pediatric endourology requires emphasizing specialized training.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1EB9D3B5" w14:textId="1C410EBC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5EAB0625" w14:textId="328D3E58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16A5F8D6" w14:textId="6217A32A" w:rsidTr="00F01F46">
        <w:trPr>
          <w:trHeight w:val="54"/>
        </w:trPr>
        <w:tc>
          <w:tcPr>
            <w:tcW w:w="10954" w:type="dxa"/>
          </w:tcPr>
          <w:p w14:paraId="37D58FE9" w14:textId="7ED298A8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9.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Technological Advances</w:t>
            </w:r>
          </w:p>
          <w:p w14:paraId="28671BE5" w14:textId="16FEBC82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Research into new technologies and methods, including advanced imaging and endoscopic equipment, is crucial for improving treatment in pediatric urolithiasis.</w:t>
            </w:r>
          </w:p>
        </w:tc>
        <w:tc>
          <w:tcPr>
            <w:tcW w:w="1072" w:type="dxa"/>
          </w:tcPr>
          <w:p w14:paraId="212AE87C" w14:textId="2A3F4E16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4.5</w:t>
            </w:r>
          </w:p>
        </w:tc>
        <w:tc>
          <w:tcPr>
            <w:tcW w:w="1094" w:type="dxa"/>
          </w:tcPr>
          <w:p w14:paraId="3FDB6769" w14:textId="6D5168E3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88</w:t>
            </w:r>
          </w:p>
        </w:tc>
      </w:tr>
      <w:tr w:rsidR="00BB0E48" w:rsidRPr="00A10602" w14:paraId="00641146" w14:textId="5F1B0939" w:rsidTr="005F636B">
        <w:trPr>
          <w:trHeight w:val="278"/>
        </w:trPr>
        <w:tc>
          <w:tcPr>
            <w:tcW w:w="10954" w:type="dxa"/>
            <w:shd w:val="clear" w:color="auto" w:fill="F2F2F2" w:themeFill="background1" w:themeFillShade="F2"/>
          </w:tcPr>
          <w:p w14:paraId="6BBF57C0" w14:textId="1C86BC8D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10.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Patient-Centric Considerations</w:t>
            </w:r>
          </w:p>
          <w:p w14:paraId="32945A97" w14:textId="26966048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Pediatric urolithiasis care must be tailored to the diverse needs of patients, considering their unique physiological and socioeconomic factors.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6D22D3F3" w14:textId="2CA37F4F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2B3DC6FF" w14:textId="1BFCCD9B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678BB02F" w14:textId="7C07DEB4" w:rsidTr="00F01F46">
        <w:trPr>
          <w:trHeight w:val="326"/>
        </w:trPr>
        <w:tc>
          <w:tcPr>
            <w:tcW w:w="10954" w:type="dxa"/>
          </w:tcPr>
          <w:p w14:paraId="20E7695C" w14:textId="437AA21F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11.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Collaborative Efforts</w:t>
            </w:r>
          </w:p>
          <w:p w14:paraId="12A88F3C" w14:textId="68C1A771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Encouraging collaborative research and the formation of coalitions among pediatric urologists is important for standardizing care practices in pediatric urolithiasis.</w:t>
            </w:r>
          </w:p>
        </w:tc>
        <w:tc>
          <w:tcPr>
            <w:tcW w:w="1072" w:type="dxa"/>
          </w:tcPr>
          <w:p w14:paraId="218F143B" w14:textId="66E825A9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4.5</w:t>
            </w:r>
          </w:p>
        </w:tc>
        <w:tc>
          <w:tcPr>
            <w:tcW w:w="1094" w:type="dxa"/>
          </w:tcPr>
          <w:p w14:paraId="54F796D3" w14:textId="71A7A262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32135985" w14:textId="39620B06" w:rsidTr="005F636B">
        <w:tc>
          <w:tcPr>
            <w:tcW w:w="10954" w:type="dxa"/>
            <w:shd w:val="clear" w:color="auto" w:fill="F2F2F2" w:themeFill="background1" w:themeFillShade="F2"/>
          </w:tcPr>
          <w:p w14:paraId="2E55F135" w14:textId="00DE06A4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12.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Do you agree with the content and priorities outlined in the table? If not, please specify which aspects you disagree with or believe should be amended.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0DE3F7F0" w14:textId="77777777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</w:p>
        </w:tc>
        <w:tc>
          <w:tcPr>
            <w:tcW w:w="1094" w:type="dxa"/>
            <w:shd w:val="clear" w:color="auto" w:fill="F2F2F2" w:themeFill="background1" w:themeFillShade="F2"/>
          </w:tcPr>
          <w:p w14:paraId="014DAE04" w14:textId="1ABE3A33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50304BA4" w14:textId="1C1971D9" w:rsidTr="00F01F46">
        <w:trPr>
          <w:trHeight w:val="320"/>
        </w:trPr>
        <w:tc>
          <w:tcPr>
            <w:tcW w:w="10954" w:type="dxa"/>
          </w:tcPr>
          <w:p w14:paraId="5E3C131C" w14:textId="13B779D4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13.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Diagnostic Approach</w:t>
            </w:r>
          </w:p>
          <w:p w14:paraId="2B5DFFEF" w14:textId="41B60D29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comparison between guidelines on the diagnostic approach (USG, KUB, CT) for pediatric urolithiasis was thorough and highlighted important methodological differences.</w:t>
            </w:r>
          </w:p>
        </w:tc>
        <w:tc>
          <w:tcPr>
            <w:tcW w:w="1072" w:type="dxa"/>
          </w:tcPr>
          <w:p w14:paraId="33D53784" w14:textId="2A75973B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4.1</w:t>
            </w:r>
          </w:p>
        </w:tc>
        <w:tc>
          <w:tcPr>
            <w:tcW w:w="1094" w:type="dxa"/>
          </w:tcPr>
          <w:p w14:paraId="173153A0" w14:textId="77D124D6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76</w:t>
            </w:r>
          </w:p>
        </w:tc>
      </w:tr>
      <w:tr w:rsidR="00BB0E48" w:rsidRPr="00A10602" w14:paraId="4E4C6586" w14:textId="5A61CC2C" w:rsidTr="005F636B">
        <w:trPr>
          <w:trHeight w:val="328"/>
        </w:trPr>
        <w:tc>
          <w:tcPr>
            <w:tcW w:w="10954" w:type="dxa"/>
            <w:shd w:val="clear" w:color="auto" w:fill="F2F2F2" w:themeFill="background1" w:themeFillShade="F2"/>
          </w:tcPr>
          <w:p w14:paraId="5578A6EA" w14:textId="5E80DA86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14.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Stone Composition</w:t>
            </w:r>
          </w:p>
          <w:p w14:paraId="45DD1A72" w14:textId="10A841C4" w:rsidR="00BB0E48" w:rsidRPr="005F636B" w:rsidRDefault="00BB0E48" w:rsidP="00D76049">
            <w:p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Varied focus on stone composition suggests the need for more unified guidelines.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7264EF9F" w14:textId="661FDD2D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4.5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74E2882A" w14:textId="7CEF6DD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2240CFCD" w14:textId="318EA321" w:rsidTr="00F01F46">
        <w:tc>
          <w:tcPr>
            <w:tcW w:w="10954" w:type="dxa"/>
          </w:tcPr>
          <w:p w14:paraId="054E0389" w14:textId="7660C232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15.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Management for Small Stones</w:t>
            </w:r>
          </w:p>
          <w:p w14:paraId="7A36C56D" w14:textId="1CEA6069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guidelines' diversity in managing small stones indicates room for alignment.</w:t>
            </w:r>
          </w:p>
        </w:tc>
        <w:tc>
          <w:tcPr>
            <w:tcW w:w="1072" w:type="dxa"/>
          </w:tcPr>
          <w:p w14:paraId="166BD9E9" w14:textId="04654193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4.3</w:t>
            </w:r>
          </w:p>
        </w:tc>
        <w:tc>
          <w:tcPr>
            <w:tcW w:w="1094" w:type="dxa"/>
          </w:tcPr>
          <w:p w14:paraId="4814E3CF" w14:textId="4FABFE04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396AF0C8" w14:textId="6474463A" w:rsidTr="005F636B">
        <w:tc>
          <w:tcPr>
            <w:tcW w:w="10954" w:type="dxa"/>
            <w:shd w:val="clear" w:color="auto" w:fill="F2F2F2" w:themeFill="background1" w:themeFillShade="F2"/>
          </w:tcPr>
          <w:p w14:paraId="36D7CDDF" w14:textId="18EC24CE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16. S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hockwave Lithotripsy (SWL)</w:t>
            </w:r>
          </w:p>
          <w:p w14:paraId="1834B75C" w14:textId="1001C2A6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Recommendations for SWL show differences that may benefit from further clarification.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2EF90F52" w14:textId="20920155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4.3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5BB70A97" w14:textId="5646AE81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84</w:t>
            </w:r>
          </w:p>
        </w:tc>
      </w:tr>
      <w:tr w:rsidR="00BB0E48" w:rsidRPr="00A10602" w14:paraId="14764F6B" w14:textId="181E35CC" w:rsidTr="00F01F46">
        <w:tc>
          <w:tcPr>
            <w:tcW w:w="10954" w:type="dxa"/>
          </w:tcPr>
          <w:p w14:paraId="742189D6" w14:textId="086151DC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17.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Ureteroscopy (URS)</w:t>
            </w:r>
          </w:p>
          <w:p w14:paraId="682FFFD4" w14:textId="4E964171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Discrepancies in URS guidance across guidelines merit closer examination.</w:t>
            </w:r>
          </w:p>
        </w:tc>
        <w:tc>
          <w:tcPr>
            <w:tcW w:w="1072" w:type="dxa"/>
          </w:tcPr>
          <w:p w14:paraId="203B1A1F" w14:textId="234F86C7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4.4</w:t>
            </w:r>
          </w:p>
        </w:tc>
        <w:tc>
          <w:tcPr>
            <w:tcW w:w="1094" w:type="dxa"/>
          </w:tcPr>
          <w:p w14:paraId="5A029F03" w14:textId="37AF6514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49F77547" w14:textId="319B1001" w:rsidTr="005F636B">
        <w:tc>
          <w:tcPr>
            <w:tcW w:w="10954" w:type="dxa"/>
            <w:shd w:val="clear" w:color="auto" w:fill="F2F2F2" w:themeFill="background1" w:themeFillShade="F2"/>
          </w:tcPr>
          <w:p w14:paraId="008AB2EE" w14:textId="1DDE1CA3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18.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Percutaneous Nephrolithotomy (PCNL)</w:t>
            </w:r>
          </w:p>
          <w:p w14:paraId="00655195" w14:textId="63FF0756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PCNL recommendations reflect differences that could be harmonized.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5B9DD521" w14:textId="19B8AEA1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4.4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24C1CF01" w14:textId="4CB6EAC1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6C9BDB91" w14:textId="3A2F2EA2" w:rsidTr="00F01F46">
        <w:tc>
          <w:tcPr>
            <w:tcW w:w="10954" w:type="dxa"/>
          </w:tcPr>
          <w:p w14:paraId="7AFB2712" w14:textId="05C1354F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19.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Metabolic Evaluation</w:t>
            </w:r>
          </w:p>
          <w:p w14:paraId="1AB353A0" w14:textId="1016D248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Inconsistencies in metabolic evaluation guidance are important to address.</w:t>
            </w:r>
          </w:p>
        </w:tc>
        <w:tc>
          <w:tcPr>
            <w:tcW w:w="1072" w:type="dxa"/>
          </w:tcPr>
          <w:p w14:paraId="78FA8442" w14:textId="12D49E0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3F1CCB74" w14:textId="789E840E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1670C9B4" w14:textId="4EB5E95F" w:rsidTr="005F636B">
        <w:tc>
          <w:tcPr>
            <w:tcW w:w="10954" w:type="dxa"/>
            <w:shd w:val="clear" w:color="auto" w:fill="F2F2F2" w:themeFill="background1" w:themeFillShade="F2"/>
          </w:tcPr>
          <w:p w14:paraId="3D64C938" w14:textId="0A64E202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20.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Minimally Invasive Techniques</w:t>
            </w:r>
          </w:p>
          <w:p w14:paraId="7834A37C" w14:textId="5E88382B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Diverse opinions on minimally invasive techniques point to a need for discussion.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41123489" w14:textId="0110F82F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4.4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33C6BF40" w14:textId="422C7095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1E88849B" w14:textId="6AA3B6A4" w:rsidTr="00F01F46">
        <w:tc>
          <w:tcPr>
            <w:tcW w:w="10954" w:type="dxa"/>
          </w:tcPr>
          <w:p w14:paraId="79124044" w14:textId="36F4127D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21.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Age-tailored Management</w:t>
            </w:r>
          </w:p>
          <w:p w14:paraId="3CD6FBD9" w14:textId="4C387121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variation in age-tailored management suggests a need for specific pediatric protocols.</w:t>
            </w:r>
          </w:p>
        </w:tc>
        <w:tc>
          <w:tcPr>
            <w:tcW w:w="1072" w:type="dxa"/>
          </w:tcPr>
          <w:p w14:paraId="3C7EF8AF" w14:textId="43EC8B43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4.4</w:t>
            </w:r>
          </w:p>
        </w:tc>
        <w:tc>
          <w:tcPr>
            <w:tcW w:w="1094" w:type="dxa"/>
          </w:tcPr>
          <w:p w14:paraId="25A29ADB" w14:textId="0577CEA2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84</w:t>
            </w:r>
          </w:p>
        </w:tc>
      </w:tr>
      <w:tr w:rsidR="00BB0E48" w:rsidRPr="00A10602" w14:paraId="084A607A" w14:textId="6A1B7EE6" w:rsidTr="005F636B">
        <w:tc>
          <w:tcPr>
            <w:tcW w:w="10954" w:type="dxa"/>
            <w:shd w:val="clear" w:color="auto" w:fill="F2F2F2" w:themeFill="background1" w:themeFillShade="F2"/>
          </w:tcPr>
          <w:p w14:paraId="5F69A481" w14:textId="79339222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22.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Overall Assessment</w:t>
            </w:r>
          </w:p>
          <w:p w14:paraId="6338776C" w14:textId="72D8CF70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comparative analysis identifies important guideline discrepancies worth exploring further.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0845A611" w14:textId="76E22E6C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4.5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3BE0385D" w14:textId="702C609F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6A58600E" w14:textId="23DF1676" w:rsidTr="00F01F46">
        <w:tc>
          <w:tcPr>
            <w:tcW w:w="10954" w:type="dxa"/>
          </w:tcPr>
          <w:p w14:paraId="667324D1" w14:textId="582843D9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23.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Do you agree with the content and priorities outlined in the table? If not, please specify which aspects you disagree with or believe should be amended.</w:t>
            </w:r>
          </w:p>
        </w:tc>
        <w:tc>
          <w:tcPr>
            <w:tcW w:w="1072" w:type="dxa"/>
          </w:tcPr>
          <w:p w14:paraId="75642710" w14:textId="77777777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</w:p>
        </w:tc>
        <w:tc>
          <w:tcPr>
            <w:tcW w:w="1094" w:type="dxa"/>
          </w:tcPr>
          <w:p w14:paraId="406D7C11" w14:textId="3A9082D6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0BFA98A5" w14:textId="433D71CA" w:rsidTr="005F636B">
        <w:tc>
          <w:tcPr>
            <w:tcW w:w="10954" w:type="dxa"/>
            <w:shd w:val="clear" w:color="auto" w:fill="F2F2F2" w:themeFill="background1" w:themeFillShade="F2"/>
          </w:tcPr>
          <w:p w14:paraId="0524154B" w14:textId="2ED092F3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24.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Diagnostic Criteria and Tools</w:t>
            </w:r>
          </w:p>
          <w:p w14:paraId="5B69FC22" w14:textId="5451874F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Conducting research to unify diagnostic criteria and develop pediatric-specific diagnostic tools is a critical priority.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6E6AD5DF" w14:textId="2F68F06A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4.5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27433584" w14:textId="6C18517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4B0404F5" w14:textId="5868C857" w:rsidTr="00F01F46">
        <w:tc>
          <w:tcPr>
            <w:tcW w:w="10954" w:type="dxa"/>
          </w:tcPr>
          <w:p w14:paraId="567D5685" w14:textId="77777777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 xml:space="preserve">25.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Treatment Modalities and Approaches</w:t>
            </w:r>
          </w:p>
          <w:p w14:paraId="1F459223" w14:textId="6D4DA344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Investigating optimal treatment methods, tailored to variables like stone size, location, and individual patient factors, is crucial.</w:t>
            </w:r>
          </w:p>
        </w:tc>
        <w:tc>
          <w:tcPr>
            <w:tcW w:w="1072" w:type="dxa"/>
          </w:tcPr>
          <w:p w14:paraId="56923E38" w14:textId="7C88D219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46DAA512" w14:textId="636E792A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3735179E" w14:textId="4CFB79DB" w:rsidTr="005F636B">
        <w:tc>
          <w:tcPr>
            <w:tcW w:w="10954" w:type="dxa"/>
            <w:shd w:val="clear" w:color="auto" w:fill="F2F2F2" w:themeFill="background1" w:themeFillShade="F2"/>
          </w:tcPr>
          <w:p w14:paraId="5C91704B" w14:textId="09E816BD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26.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Treatment Modalities and Approaches</w:t>
            </w:r>
          </w:p>
          <w:p w14:paraId="148B186F" w14:textId="528DD9D1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Research into the use of miniaturized scopes and the impact of emerging technologies on treatment is necessary.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4B89B164" w14:textId="43245201" w:rsidR="007C1F24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4.4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667EA9FD" w14:textId="75677C0E" w:rsidR="00BB0E48" w:rsidRPr="005F636B" w:rsidRDefault="00F01F46" w:rsidP="00F01F46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88</w:t>
            </w:r>
          </w:p>
        </w:tc>
      </w:tr>
      <w:tr w:rsidR="00BB0E48" w:rsidRPr="00A10602" w14:paraId="47A04366" w14:textId="6630278B" w:rsidTr="00F01F46">
        <w:tc>
          <w:tcPr>
            <w:tcW w:w="10954" w:type="dxa"/>
          </w:tcPr>
          <w:p w14:paraId="112102D4" w14:textId="4A42471B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lastRenderedPageBreak/>
              <w:t xml:space="preserve">27.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Monitoring and Follow-up Care</w:t>
            </w:r>
          </w:p>
          <w:p w14:paraId="0902B32C" w14:textId="3A7643F3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Standardizing follow-up protocols and reducing radiation exposure during imaging are key research priorities.</w:t>
            </w:r>
          </w:p>
        </w:tc>
        <w:tc>
          <w:tcPr>
            <w:tcW w:w="1072" w:type="dxa"/>
          </w:tcPr>
          <w:p w14:paraId="4F4EA9DB" w14:textId="0608BF4E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4.8</w:t>
            </w:r>
          </w:p>
        </w:tc>
        <w:tc>
          <w:tcPr>
            <w:tcW w:w="1094" w:type="dxa"/>
          </w:tcPr>
          <w:p w14:paraId="6069FB33" w14:textId="004C4FC9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00DC01DF" w14:textId="66A945EE" w:rsidTr="005F636B">
        <w:tc>
          <w:tcPr>
            <w:tcW w:w="10954" w:type="dxa"/>
            <w:shd w:val="clear" w:color="auto" w:fill="F2F2F2" w:themeFill="background1" w:themeFillShade="F2"/>
          </w:tcPr>
          <w:p w14:paraId="7E942EB6" w14:textId="2E86FD97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28.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Monitoring and Follow-up Care</w:t>
            </w:r>
          </w:p>
          <w:p w14:paraId="65120F26" w14:textId="15D1029E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Developing long-term monitoring strategies and managing residual fragments are crucial for preventing recurrence.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029F4C29" w14:textId="297191E3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06EC9AB3" w14:textId="7FC41298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1540FF6C" w14:textId="655DDCB4" w:rsidTr="00F01F46">
        <w:tc>
          <w:tcPr>
            <w:tcW w:w="10954" w:type="dxa"/>
          </w:tcPr>
          <w:p w14:paraId="30763AAA" w14:textId="6ABD1DA2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29.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Evidence and Guidelines</w:t>
            </w:r>
          </w:p>
          <w:p w14:paraId="653AA10B" w14:textId="42B556D6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Addressing the lack of pediatric-specific evidence to develop more standardized guidelines is needed.</w:t>
            </w:r>
          </w:p>
        </w:tc>
        <w:tc>
          <w:tcPr>
            <w:tcW w:w="1072" w:type="dxa"/>
          </w:tcPr>
          <w:p w14:paraId="35EBF43A" w14:textId="3AF8E111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4.7</w:t>
            </w:r>
          </w:p>
        </w:tc>
        <w:tc>
          <w:tcPr>
            <w:tcW w:w="1094" w:type="dxa"/>
          </w:tcPr>
          <w:p w14:paraId="5CE8C021" w14:textId="2273A6A2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58E69168" w14:textId="0553D231" w:rsidTr="005F636B">
        <w:tc>
          <w:tcPr>
            <w:tcW w:w="10954" w:type="dxa"/>
            <w:shd w:val="clear" w:color="auto" w:fill="F2F2F2" w:themeFill="background1" w:themeFillShade="F2"/>
          </w:tcPr>
          <w:p w14:paraId="02E1A950" w14:textId="15473550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30.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Socioeconomic and Institutional Factors</w:t>
            </w:r>
          </w:p>
          <w:p w14:paraId="6D00F5E7" w14:textId="11C19A16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Examining the influence of socioeconomic and institutional factors on the management of pediatric urolithiasis is important.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43DC89AC" w14:textId="5C15DBEA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4.4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7BB3434A" w14:textId="70D26157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88</w:t>
            </w:r>
          </w:p>
        </w:tc>
      </w:tr>
      <w:tr w:rsidR="00BB0E48" w:rsidRPr="00A10602" w14:paraId="1D07BB7C" w14:textId="61472D52" w:rsidTr="00F01F46">
        <w:tc>
          <w:tcPr>
            <w:tcW w:w="10954" w:type="dxa"/>
          </w:tcPr>
          <w:p w14:paraId="632E0FF8" w14:textId="17047F64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31.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Professional Training and Specialization</w:t>
            </w:r>
          </w:p>
          <w:p w14:paraId="7DFE3A19" w14:textId="7C85C3E9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Specialized training and the need for dedicated pediatric urologists should be a significant focus of research.</w:t>
            </w:r>
          </w:p>
        </w:tc>
        <w:tc>
          <w:tcPr>
            <w:tcW w:w="1072" w:type="dxa"/>
          </w:tcPr>
          <w:p w14:paraId="342A9428" w14:textId="51753A05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02A2961C" w14:textId="3D2740FE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88</w:t>
            </w:r>
          </w:p>
        </w:tc>
      </w:tr>
      <w:tr w:rsidR="00BB0E48" w:rsidRPr="00A10602" w14:paraId="15B5B9EC" w14:textId="7AC50EAF" w:rsidTr="005F636B">
        <w:tc>
          <w:tcPr>
            <w:tcW w:w="10954" w:type="dxa"/>
            <w:shd w:val="clear" w:color="auto" w:fill="F2F2F2" w:themeFill="background1" w:themeFillShade="F2"/>
          </w:tcPr>
          <w:p w14:paraId="1A51DF4B" w14:textId="47FEAC89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32.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Collaborative Efforts and Global Perspectives</w:t>
            </w:r>
          </w:p>
          <w:p w14:paraId="2E412F06" w14:textId="51F0124B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Working towards consensus guidelines and global standardization is a priority that encompasses collaborative research, inclusivity, and assessing the environmental impact of new disposables.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40C543E4" w14:textId="23DACEC6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4.5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74D156F7" w14:textId="28C9EDF1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305883E9" w14:textId="64839FB6" w:rsidTr="00F01F46">
        <w:tc>
          <w:tcPr>
            <w:tcW w:w="10954" w:type="dxa"/>
          </w:tcPr>
          <w:p w14:paraId="5AAD28E4" w14:textId="31A6F2EE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33.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Treatment Equipment and Innovation</w:t>
            </w:r>
          </w:p>
          <w:p w14:paraId="27D84EEC" w14:textId="55695823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Advancing research into the miniaturization of surgical instruments and suction devices, the development of new disposable materials, and the application of innovative technologies such as AI is essential.</w:t>
            </w:r>
          </w:p>
        </w:tc>
        <w:tc>
          <w:tcPr>
            <w:tcW w:w="1072" w:type="dxa"/>
          </w:tcPr>
          <w:p w14:paraId="7E246D59" w14:textId="6EF4373F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4.4</w:t>
            </w:r>
          </w:p>
        </w:tc>
        <w:tc>
          <w:tcPr>
            <w:tcW w:w="1094" w:type="dxa"/>
          </w:tcPr>
          <w:p w14:paraId="2892FEAE" w14:textId="37A59F24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84</w:t>
            </w:r>
          </w:p>
        </w:tc>
      </w:tr>
      <w:tr w:rsidR="00BB0E48" w:rsidRPr="00A10602" w14:paraId="2669821C" w14:textId="3295FD69" w:rsidTr="005F636B">
        <w:tc>
          <w:tcPr>
            <w:tcW w:w="10954" w:type="dxa"/>
            <w:shd w:val="clear" w:color="auto" w:fill="F2F2F2" w:themeFill="background1" w:themeFillShade="F2"/>
          </w:tcPr>
          <w:p w14:paraId="1365A88B" w14:textId="23BE07E6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34.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Long-Term Impact and Comparative Studies</w:t>
            </w:r>
          </w:p>
          <w:p w14:paraId="61376D50" w14:textId="11B42CC9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Studying the long-term effects of SWL, the thermal effects of lasers, and comparing different treatment modalities through multicentric RCTs is vital</w:t>
            </w:r>
            <w:r w:rsidR="00D76049"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60D4EB59" w14:textId="5A84361E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3F27723F" w14:textId="7DCD6453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92</w:t>
            </w:r>
          </w:p>
        </w:tc>
      </w:tr>
      <w:tr w:rsidR="00BB0E48" w:rsidRPr="00A10602" w14:paraId="4B7B09F4" w14:textId="362E540D" w:rsidTr="00F01F46">
        <w:tc>
          <w:tcPr>
            <w:tcW w:w="10954" w:type="dxa"/>
          </w:tcPr>
          <w:p w14:paraId="267E0463" w14:textId="724AADB4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35.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Do you agree with the content and priorities outlined in the table? If not, please specify which aspects you disagree with or believe should be amended.</w:t>
            </w:r>
          </w:p>
        </w:tc>
        <w:tc>
          <w:tcPr>
            <w:tcW w:w="1072" w:type="dxa"/>
          </w:tcPr>
          <w:p w14:paraId="7EC87AFF" w14:textId="77777777" w:rsidR="00BB0E48" w:rsidRPr="005F636B" w:rsidRDefault="00BB0E48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</w:p>
        </w:tc>
        <w:tc>
          <w:tcPr>
            <w:tcW w:w="1094" w:type="dxa"/>
          </w:tcPr>
          <w:p w14:paraId="2A5B59B4" w14:textId="3F716469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22C00B57" w14:textId="0D8D2636" w:rsidTr="005F636B">
        <w:tc>
          <w:tcPr>
            <w:tcW w:w="10954" w:type="dxa"/>
            <w:shd w:val="clear" w:color="auto" w:fill="F2F2F2" w:themeFill="background1" w:themeFillShade="F2"/>
          </w:tcPr>
          <w:p w14:paraId="4197E38B" w14:textId="3C7ADD3D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36.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Survey Preparation and Distribution</w:t>
            </w:r>
          </w:p>
          <w:p w14:paraId="4A39B420" w14:textId="7B011838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initial 10-question survey was appropriately designed to capture a comprehensive understanding of expert opinions on pediatric urolithiasis.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29317E45" w14:textId="666C24D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7AFF9498" w14:textId="5234659D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7AFFF212" w14:textId="75AB2CE6" w:rsidTr="00F01F46">
        <w:tc>
          <w:tcPr>
            <w:tcW w:w="10954" w:type="dxa"/>
          </w:tcPr>
          <w:p w14:paraId="3AD621D1" w14:textId="330B421E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37.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Data Collection</w:t>
            </w:r>
          </w:p>
          <w:p w14:paraId="3EDB37FE" w14:textId="43DC2B03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process used for collecting the surveys was systematic and reliable, ensuring that all expert responses were gathered and aggregated correctly.</w:t>
            </w:r>
          </w:p>
        </w:tc>
        <w:tc>
          <w:tcPr>
            <w:tcW w:w="1072" w:type="dxa"/>
          </w:tcPr>
          <w:p w14:paraId="0F75989B" w14:textId="555E940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4.7</w:t>
            </w:r>
          </w:p>
        </w:tc>
        <w:tc>
          <w:tcPr>
            <w:tcW w:w="1094" w:type="dxa"/>
          </w:tcPr>
          <w:p w14:paraId="42E67927" w14:textId="744699C5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5384FB1A" w14:textId="0BC006E2" w:rsidTr="005F636B">
        <w:tc>
          <w:tcPr>
            <w:tcW w:w="10954" w:type="dxa"/>
            <w:shd w:val="clear" w:color="auto" w:fill="F2F2F2" w:themeFill="background1" w:themeFillShade="F2"/>
          </w:tcPr>
          <w:p w14:paraId="58144608" w14:textId="400E778F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38.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Data Analysis and Theme Identification</w:t>
            </w:r>
          </w:p>
          <w:p w14:paraId="15A7701E" w14:textId="1CCF75F4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analysis of the aggregated data was conducted rigorously to identify key issues in pediatric urolithiasis accurately.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6734B2BC" w14:textId="244AA1F9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60D4C0D9" w14:textId="35E0039A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4E3B5EFE" w14:textId="7F0DECEF" w:rsidTr="00F01F46">
        <w:tc>
          <w:tcPr>
            <w:tcW w:w="10954" w:type="dxa"/>
          </w:tcPr>
          <w:p w14:paraId="6BA43E83" w14:textId="0912DD9B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39.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Data Analysis and Theme Identification</w:t>
            </w:r>
          </w:p>
          <w:p w14:paraId="1E200A64" w14:textId="16FF1F1A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methodology used was effective in distilling main themes that reflect the current state of pediatric urolithiasis management.</w:t>
            </w:r>
          </w:p>
        </w:tc>
        <w:tc>
          <w:tcPr>
            <w:tcW w:w="1072" w:type="dxa"/>
          </w:tcPr>
          <w:p w14:paraId="18CE5F20" w14:textId="08BD2707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54478FCC" w14:textId="0B32EFE8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5C000AD2" w14:textId="6C8D0C3D" w:rsidTr="005F636B">
        <w:tc>
          <w:tcPr>
            <w:tcW w:w="10954" w:type="dxa"/>
            <w:shd w:val="clear" w:color="auto" w:fill="F2F2F2" w:themeFill="background1" w:themeFillShade="F2"/>
          </w:tcPr>
          <w:p w14:paraId="5C809512" w14:textId="20A1C071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40.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Guideline Review and Comparison</w:t>
            </w:r>
          </w:p>
          <w:p w14:paraId="0E7FE850" w14:textId="4BE3C3EE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review process of the EAU, AUA, and IAU guidelines was robust and critical in finding responses to the controversial issues identified in the study.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05750AD5" w14:textId="0290C3B2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7A1B6310" w14:textId="2FDEA1A9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50DB0365" w14:textId="541AC601" w:rsidTr="00F01F46">
        <w:tc>
          <w:tcPr>
            <w:tcW w:w="10954" w:type="dxa"/>
          </w:tcPr>
          <w:p w14:paraId="71AF691A" w14:textId="5A745B60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41.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Guideline Review and Comparison</w:t>
            </w:r>
          </w:p>
          <w:p w14:paraId="12D357C6" w14:textId="0D208D12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comparative analysis of the guidelines was comprehensive and provided a detailed assessment of discrepancies and areas of consensus.</w:t>
            </w:r>
          </w:p>
        </w:tc>
        <w:tc>
          <w:tcPr>
            <w:tcW w:w="1072" w:type="dxa"/>
          </w:tcPr>
          <w:p w14:paraId="2C75FF8C" w14:textId="5441DFE2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4.6</w:t>
            </w:r>
          </w:p>
        </w:tc>
        <w:tc>
          <w:tcPr>
            <w:tcW w:w="1094" w:type="dxa"/>
          </w:tcPr>
          <w:p w14:paraId="222AFE3D" w14:textId="15090D3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1A4269C2" w14:textId="11C38E03" w:rsidTr="005F636B">
        <w:tc>
          <w:tcPr>
            <w:tcW w:w="10954" w:type="dxa"/>
            <w:shd w:val="clear" w:color="auto" w:fill="F2F2F2" w:themeFill="background1" w:themeFillShade="F2"/>
          </w:tcPr>
          <w:p w14:paraId="525A687A" w14:textId="42B91455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42.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Expert Panel Deliberation</w:t>
            </w:r>
          </w:p>
          <w:p w14:paraId="4D92F80A" w14:textId="7166FE3D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methodology for conducting the second survey among experts promoted a constructive dialogue aimed at reaching a consensus on controversial issues.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730AF3BF" w14:textId="314A8CAD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4.8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162BBC1E" w14:textId="63960954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BB0E48" w:rsidRPr="00A10602" w14:paraId="652405FA" w14:textId="14125138" w:rsidTr="00F01F46">
        <w:tc>
          <w:tcPr>
            <w:tcW w:w="10954" w:type="dxa"/>
          </w:tcPr>
          <w:p w14:paraId="1CF256BD" w14:textId="4B8D93D0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43.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Expert Panel Deliberation</w:t>
            </w:r>
          </w:p>
          <w:p w14:paraId="2126B615" w14:textId="5D61873B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process of integrating insights from the guideline review into expert panel deliberations was transparent and contributed meaningfully to the discussions.</w:t>
            </w:r>
          </w:p>
        </w:tc>
        <w:tc>
          <w:tcPr>
            <w:tcW w:w="1072" w:type="dxa"/>
          </w:tcPr>
          <w:p w14:paraId="476B485D" w14:textId="7F60149D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4.7</w:t>
            </w:r>
          </w:p>
        </w:tc>
        <w:tc>
          <w:tcPr>
            <w:tcW w:w="1094" w:type="dxa"/>
          </w:tcPr>
          <w:p w14:paraId="1DC28BDD" w14:textId="3DE3F400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BB0E48" w:rsidRPr="00A10602" w14:paraId="7ED71C6E" w14:textId="69D956C2" w:rsidTr="005F636B">
        <w:tc>
          <w:tcPr>
            <w:tcW w:w="10954" w:type="dxa"/>
            <w:shd w:val="clear" w:color="auto" w:fill="F2F2F2" w:themeFill="background1" w:themeFillShade="F2"/>
          </w:tcPr>
          <w:p w14:paraId="19D85D72" w14:textId="05C75194" w:rsidR="00BB0E48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 xml:space="preserve">44. </w:t>
            </w:r>
            <w:r w:rsidR="00BB0E48"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Consensus Statement</w:t>
            </w:r>
          </w:p>
          <w:p w14:paraId="26DCC750" w14:textId="52012A13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approach taken to draft the consensus statement effectively addressed the identified issues and integrated expert panel insights.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479D885F" w14:textId="0EE806A6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4.5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51E250D4" w14:textId="37023238" w:rsidR="00BB0E48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  <w:tr w:rsidR="00742CF3" w:rsidRPr="00A10602" w14:paraId="1F63ED3E" w14:textId="2172CA7D" w:rsidTr="00F01F46">
        <w:tc>
          <w:tcPr>
            <w:tcW w:w="10954" w:type="dxa"/>
          </w:tcPr>
          <w:p w14:paraId="6B27A206" w14:textId="1C1C2102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45. Consensus Statement</w:t>
            </w:r>
          </w:p>
          <w:p w14:paraId="37825E2E" w14:textId="6A7FB2E5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i/>
                <w:iCs/>
                <w:color w:val="0C0C0C"/>
                <w:sz w:val="15"/>
                <w:szCs w:val="15"/>
                <w:lang w:val="en-US"/>
              </w:rPr>
              <w:t>The final consensus statement is a product of a collaborative effort that accurately reflects the expert consensus on the methodology used in the study.</w:t>
            </w:r>
          </w:p>
        </w:tc>
        <w:tc>
          <w:tcPr>
            <w:tcW w:w="1072" w:type="dxa"/>
          </w:tcPr>
          <w:p w14:paraId="22FC188F" w14:textId="1A5ED3BC" w:rsidR="00742CF3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4.7</w:t>
            </w:r>
          </w:p>
        </w:tc>
        <w:tc>
          <w:tcPr>
            <w:tcW w:w="1094" w:type="dxa"/>
          </w:tcPr>
          <w:p w14:paraId="4BCEE44B" w14:textId="31463E57" w:rsidR="00742CF3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96</w:t>
            </w:r>
          </w:p>
        </w:tc>
      </w:tr>
      <w:tr w:rsidR="00742CF3" w:rsidRPr="00A10602" w14:paraId="02D8379E" w14:textId="09B6CC8E" w:rsidTr="005F636B">
        <w:tc>
          <w:tcPr>
            <w:tcW w:w="10954" w:type="dxa"/>
            <w:shd w:val="clear" w:color="auto" w:fill="F2F2F2" w:themeFill="background1" w:themeFillShade="F2"/>
          </w:tcPr>
          <w:p w14:paraId="787A31DF" w14:textId="624A031B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46. Do you agree with the content and priorities outlined in the table? If not, please specify which aspects you disagree with or believe should be amended.</w:t>
            </w:r>
          </w:p>
        </w:tc>
        <w:tc>
          <w:tcPr>
            <w:tcW w:w="1072" w:type="dxa"/>
            <w:shd w:val="clear" w:color="auto" w:fill="F2F2F2" w:themeFill="background1" w:themeFillShade="F2"/>
          </w:tcPr>
          <w:p w14:paraId="4BF2748E" w14:textId="77777777" w:rsidR="00742CF3" w:rsidRPr="005F636B" w:rsidRDefault="00742CF3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</w:p>
        </w:tc>
        <w:tc>
          <w:tcPr>
            <w:tcW w:w="1094" w:type="dxa"/>
            <w:shd w:val="clear" w:color="auto" w:fill="F2F2F2" w:themeFill="background1" w:themeFillShade="F2"/>
          </w:tcPr>
          <w:p w14:paraId="44D21198" w14:textId="311F737F" w:rsidR="00742CF3" w:rsidRPr="005F636B" w:rsidRDefault="00F01F46" w:rsidP="00D76049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</w:pPr>
            <w:r w:rsidRPr="005F636B">
              <w:rPr>
                <w:rFonts w:ascii="Times New Roman" w:hAnsi="Times New Roman" w:cs="Times New Roman"/>
                <w:color w:val="0C0C0C"/>
                <w:sz w:val="15"/>
                <w:szCs w:val="15"/>
                <w:lang w:val="en-US"/>
              </w:rPr>
              <w:t>100</w:t>
            </w:r>
          </w:p>
        </w:tc>
      </w:tr>
    </w:tbl>
    <w:p w14:paraId="25C11244" w14:textId="77777777" w:rsidR="00E65B4B" w:rsidRDefault="00E65B4B" w:rsidP="00D76049">
      <w:pPr>
        <w:rPr>
          <w:rFonts w:ascii="Times New Roman" w:hAnsi="Times New Roman" w:cs="Times New Roman"/>
          <w:lang w:val="en-US"/>
        </w:rPr>
      </w:pPr>
    </w:p>
    <w:p w14:paraId="6B0E4BEC" w14:textId="77777777" w:rsidR="00A10602" w:rsidRDefault="00A10602" w:rsidP="00D76049">
      <w:pPr>
        <w:rPr>
          <w:rFonts w:ascii="Times New Roman" w:hAnsi="Times New Roman" w:cs="Times New Roman"/>
          <w:lang w:val="en-US"/>
        </w:rPr>
      </w:pPr>
    </w:p>
    <w:p w14:paraId="36A1DD8B" w14:textId="77777777" w:rsidR="00A10602" w:rsidRPr="00A10602" w:rsidRDefault="00A10602" w:rsidP="00D76049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10602" w:rsidRPr="00A10602" w14:paraId="5E770C21" w14:textId="77777777" w:rsidTr="001D2DAA">
        <w:tc>
          <w:tcPr>
            <w:tcW w:w="5098" w:type="dxa"/>
            <w:shd w:val="clear" w:color="auto" w:fill="8FD7E5"/>
          </w:tcPr>
          <w:p w14:paraId="0F371486" w14:textId="20E86CB6" w:rsidR="00A10602" w:rsidRPr="00A10602" w:rsidRDefault="00A10602" w:rsidP="00404810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b/>
                <w:bCs/>
                <w:sz w:val="15"/>
                <w:szCs w:val="15"/>
                <w:lang w:val="en-US"/>
              </w:rPr>
              <w:t>Years of experience according to Pediatric Urolithiasis Survey Step I</w:t>
            </w:r>
          </w:p>
        </w:tc>
        <w:tc>
          <w:tcPr>
            <w:tcW w:w="3964" w:type="dxa"/>
            <w:shd w:val="clear" w:color="auto" w:fill="8FD7E5"/>
          </w:tcPr>
          <w:p w14:paraId="4F1B1EBD" w14:textId="77777777" w:rsidR="00A10602" w:rsidRPr="00A10602" w:rsidRDefault="00A10602" w:rsidP="00404810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b/>
                <w:bCs/>
                <w:sz w:val="15"/>
                <w:szCs w:val="15"/>
                <w:lang w:val="en-US"/>
              </w:rPr>
              <w:t>Number of respondents</w:t>
            </w:r>
          </w:p>
        </w:tc>
      </w:tr>
      <w:tr w:rsidR="00A10602" w:rsidRPr="00A10602" w14:paraId="44C378C4" w14:textId="77777777" w:rsidTr="00A10602">
        <w:tc>
          <w:tcPr>
            <w:tcW w:w="5098" w:type="dxa"/>
          </w:tcPr>
          <w:p w14:paraId="1819352B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16 + years</w:t>
            </w:r>
          </w:p>
          <w:p w14:paraId="1A196AAC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11-15 years</w:t>
            </w:r>
          </w:p>
          <w:p w14:paraId="5C1DF6DD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6-10 years</w:t>
            </w:r>
          </w:p>
          <w:p w14:paraId="049466D6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0-5 years</w:t>
            </w:r>
          </w:p>
        </w:tc>
        <w:tc>
          <w:tcPr>
            <w:tcW w:w="3964" w:type="dxa"/>
          </w:tcPr>
          <w:p w14:paraId="4C39DE75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20</w:t>
            </w:r>
          </w:p>
          <w:p w14:paraId="6318099D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</w:t>
            </w:r>
          </w:p>
          <w:p w14:paraId="2C35C772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</w:t>
            </w:r>
          </w:p>
          <w:p w14:paraId="26311A1C" w14:textId="77777777" w:rsidR="00A10602" w:rsidRPr="00A10602" w:rsidRDefault="00A10602" w:rsidP="0040481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060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6</w:t>
            </w:r>
          </w:p>
        </w:tc>
      </w:tr>
    </w:tbl>
    <w:p w14:paraId="1654CCB8" w14:textId="2DE0CE98" w:rsidR="00086EEA" w:rsidRDefault="00086EEA" w:rsidP="00D76049">
      <w:pPr>
        <w:rPr>
          <w:rFonts w:ascii="Times New Roman" w:hAnsi="Times New Roman" w:cs="Times New Roman"/>
          <w:lang w:val="en-US"/>
        </w:rPr>
      </w:pPr>
    </w:p>
    <w:p w14:paraId="14A76EE6" w14:textId="44A2E507" w:rsidR="00925037" w:rsidRDefault="00925037" w:rsidP="00D76049">
      <w:pPr>
        <w:rPr>
          <w:rFonts w:ascii="Times New Roman" w:hAnsi="Times New Roman" w:cs="Times New Roman"/>
          <w:noProof/>
          <w:lang w:val="en-US"/>
        </w:rPr>
      </w:pPr>
    </w:p>
    <w:p w14:paraId="01C9F633" w14:textId="77777777" w:rsidR="00E635D3" w:rsidRDefault="00E635D3" w:rsidP="00D76049">
      <w:pPr>
        <w:rPr>
          <w:rFonts w:ascii="Times New Roman" w:hAnsi="Times New Roman" w:cs="Times New Roman"/>
          <w:noProof/>
          <w:lang w:val="en-US"/>
        </w:rPr>
      </w:pPr>
    </w:p>
    <w:p w14:paraId="21904B82" w14:textId="77777777" w:rsidR="00E635D3" w:rsidRDefault="00E635D3" w:rsidP="00D76049">
      <w:pPr>
        <w:rPr>
          <w:rFonts w:ascii="Times New Roman" w:hAnsi="Times New Roman" w:cs="Times New Roman"/>
          <w:noProof/>
          <w:lang w:val="en-US"/>
        </w:rPr>
      </w:pPr>
    </w:p>
    <w:p w14:paraId="183BABAE" w14:textId="77777777" w:rsidR="00E635D3" w:rsidRDefault="00E635D3" w:rsidP="00D76049">
      <w:pPr>
        <w:rPr>
          <w:rFonts w:ascii="Times New Roman" w:hAnsi="Times New Roman" w:cs="Times New Roman"/>
          <w:noProof/>
          <w:lang w:val="en-US"/>
        </w:rPr>
      </w:pPr>
    </w:p>
    <w:p w14:paraId="63999885" w14:textId="77777777" w:rsidR="00E635D3" w:rsidRDefault="00E635D3" w:rsidP="00D76049">
      <w:pPr>
        <w:rPr>
          <w:rFonts w:ascii="Times New Roman" w:hAnsi="Times New Roman" w:cs="Times New Roman"/>
          <w:noProof/>
          <w:lang w:val="en-US"/>
        </w:rPr>
      </w:pPr>
    </w:p>
    <w:p w14:paraId="57FCA7DA" w14:textId="77777777" w:rsidR="00E635D3" w:rsidRDefault="00E635D3" w:rsidP="00D76049">
      <w:pPr>
        <w:rPr>
          <w:rFonts w:ascii="Times New Roman" w:hAnsi="Times New Roman" w:cs="Times New Roman"/>
          <w:noProof/>
          <w:lang w:val="en-US"/>
        </w:rPr>
      </w:pPr>
    </w:p>
    <w:p w14:paraId="74B73BA4" w14:textId="77777777" w:rsidR="00E635D3" w:rsidRDefault="00E635D3" w:rsidP="00D76049">
      <w:pPr>
        <w:rPr>
          <w:rFonts w:ascii="Times New Roman" w:hAnsi="Times New Roman" w:cs="Times New Roman"/>
          <w:noProof/>
          <w:lang w:val="en-US"/>
        </w:rPr>
      </w:pPr>
    </w:p>
    <w:p w14:paraId="7B0404EB" w14:textId="77777777" w:rsidR="00E635D3" w:rsidRDefault="00E635D3" w:rsidP="00D76049">
      <w:pPr>
        <w:rPr>
          <w:rFonts w:ascii="Times New Roman" w:hAnsi="Times New Roman" w:cs="Times New Roman"/>
          <w:noProof/>
          <w:lang w:val="en-US"/>
        </w:rPr>
      </w:pPr>
    </w:p>
    <w:p w14:paraId="2A9EB296" w14:textId="77777777" w:rsidR="00E635D3" w:rsidRDefault="00E635D3" w:rsidP="00D76049">
      <w:pPr>
        <w:rPr>
          <w:rFonts w:ascii="Times New Roman" w:hAnsi="Times New Roman" w:cs="Times New Roman"/>
          <w:lang w:val="en-US"/>
        </w:rPr>
      </w:pPr>
    </w:p>
    <w:p w14:paraId="62466000" w14:textId="77777777" w:rsidR="00790DC0" w:rsidRDefault="00790DC0" w:rsidP="00D76049">
      <w:pPr>
        <w:rPr>
          <w:rFonts w:ascii="Times New Roman" w:hAnsi="Times New Roman" w:cs="Times New Roman"/>
          <w:lang w:val="en-US"/>
        </w:rPr>
      </w:pPr>
    </w:p>
    <w:p w14:paraId="63905564" w14:textId="1C771466" w:rsidR="00CE56F7" w:rsidRPr="00E635D3" w:rsidRDefault="00CE56F7" w:rsidP="00D76049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E635D3">
        <w:rPr>
          <w:rFonts w:ascii="Times New Roman" w:hAnsi="Times New Roman" w:cs="Times New Roman"/>
          <w:sz w:val="16"/>
          <w:szCs w:val="16"/>
          <w:lang w:val="en-US"/>
        </w:rPr>
        <w:t xml:space="preserve">Figure 1. The results of related questions about “Themes identified from initial survey” </w:t>
      </w:r>
      <w:r w:rsidR="00E635D3">
        <w:rPr>
          <w:rFonts w:ascii="Times New Roman" w:hAnsi="Times New Roman" w:cs="Times New Roman"/>
          <w:sz w:val="16"/>
          <w:szCs w:val="16"/>
          <w:lang w:val="en-US"/>
        </w:rPr>
        <w:t xml:space="preserve">from 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>Pediatric Urolithiasis Survey Step 2</w:t>
      </w:r>
    </w:p>
    <w:p w14:paraId="25CD86D3" w14:textId="5F056091" w:rsidR="00E635D3" w:rsidRDefault="00790DC0" w:rsidP="00D7604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088BCE1" wp14:editId="1A84C3DC">
            <wp:extent cx="5486400" cy="3200400"/>
            <wp:effectExtent l="0" t="0" r="12700" b="12700"/>
            <wp:docPr id="1211204207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AD8378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AB3F98C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AED341A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1C70D5F6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66244918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565B443F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2E6CFC79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7ADF5F34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492578D5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41464BBF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B927BE8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C6152E9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7F6BA069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16FC6C23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174F3584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1E9F6A0B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6598245D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65A35C69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FC22822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573F9556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C4239CE" w14:textId="77777777" w:rsidR="00E635D3" w:rsidRDefault="00E635D3" w:rsidP="00E635D3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D0DC501" w14:textId="1A8B756A" w:rsidR="00E635D3" w:rsidRPr="00E635D3" w:rsidRDefault="00E635D3" w:rsidP="00D76049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E635D3">
        <w:rPr>
          <w:rFonts w:ascii="Times New Roman" w:hAnsi="Times New Roman" w:cs="Times New Roman"/>
          <w:sz w:val="16"/>
          <w:szCs w:val="16"/>
          <w:lang w:val="en-US"/>
        </w:rPr>
        <w:t xml:space="preserve">Figure 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>. The results of related questions about “</w:t>
      </w:r>
      <w:r>
        <w:rPr>
          <w:rFonts w:ascii="Times New Roman" w:hAnsi="Times New Roman" w:cs="Times New Roman"/>
          <w:sz w:val="16"/>
          <w:szCs w:val="16"/>
          <w:lang w:val="en-US"/>
        </w:rPr>
        <w:t>Guidelines Comparison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 xml:space="preserve">”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from 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>Pediatric Urolithiasis Survey Step 2</w:t>
      </w:r>
      <w:r w:rsidR="00CE56F7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5F1650E" wp14:editId="69DCD177">
            <wp:extent cx="5486400" cy="3259455"/>
            <wp:effectExtent l="0" t="0" r="12700" b="17145"/>
            <wp:docPr id="1724636685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1C94CAA" w14:textId="4315B07B" w:rsidR="00E635D3" w:rsidRPr="00E635D3" w:rsidRDefault="00E635D3" w:rsidP="00D76049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lastRenderedPageBreak/>
        <w:t>Figure 3.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 xml:space="preserve"> The results of related questions about “</w:t>
      </w:r>
      <w:r w:rsidR="001C546B" w:rsidRPr="001C546B">
        <w:rPr>
          <w:rFonts w:ascii="Times New Roman" w:hAnsi="Times New Roman" w:cs="Times New Roman"/>
          <w:sz w:val="16"/>
          <w:szCs w:val="16"/>
          <w:lang w:val="en-US"/>
        </w:rPr>
        <w:t>Research Priorities in Pediatric Urolithiasis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 xml:space="preserve">”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from 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>Pediatric Urolithiasis Survey Step 2</w:t>
      </w:r>
      <w:r>
        <w:rPr>
          <w:rFonts w:ascii="Times New Roman" w:hAnsi="Times New Roman" w:cs="Times New Roman"/>
          <w:sz w:val="16"/>
          <w:szCs w:val="16"/>
          <w:lang w:val="en-US"/>
        </w:rPr>
        <w:br/>
      </w:r>
      <w:r w:rsidR="00122A1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54F9EF5" wp14:editId="08BDD9F4">
            <wp:extent cx="5486400" cy="3200400"/>
            <wp:effectExtent l="0" t="0" r="12700" b="12700"/>
            <wp:docPr id="1688672893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D26CB96" w14:textId="7B0A91B3" w:rsidR="00CE56F7" w:rsidRPr="00E635D3" w:rsidRDefault="00E635D3" w:rsidP="00D76049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lastRenderedPageBreak/>
        <w:t>Figure 4.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 xml:space="preserve"> The results of related questions about “</w:t>
      </w:r>
      <w:r w:rsidR="001C546B" w:rsidRPr="001C546B">
        <w:rPr>
          <w:rFonts w:ascii="Times New Roman" w:hAnsi="Times New Roman" w:cs="Times New Roman"/>
          <w:sz w:val="16"/>
          <w:szCs w:val="16"/>
          <w:lang w:val="en-US"/>
        </w:rPr>
        <w:t>Consensus Study Development Methodology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 xml:space="preserve">”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from </w:t>
      </w:r>
      <w:r w:rsidRPr="00E635D3">
        <w:rPr>
          <w:rFonts w:ascii="Times New Roman" w:hAnsi="Times New Roman" w:cs="Times New Roman"/>
          <w:sz w:val="16"/>
          <w:szCs w:val="16"/>
          <w:lang w:val="en-US"/>
        </w:rPr>
        <w:t>Pediatric Urolithiasis Survey Step 2</w:t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E04AE8D" wp14:editId="393C81D3">
            <wp:extent cx="5486400" cy="3200400"/>
            <wp:effectExtent l="0" t="0" r="12700" b="12700"/>
            <wp:docPr id="826912475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CF0EC8" w14:textId="77777777" w:rsidR="00790DC0" w:rsidRDefault="00790DC0" w:rsidP="00D76049">
      <w:pPr>
        <w:rPr>
          <w:rFonts w:ascii="Times New Roman" w:hAnsi="Times New Roman" w:cs="Times New Roman"/>
          <w:lang w:val="en-US"/>
        </w:rPr>
      </w:pPr>
    </w:p>
    <w:p w14:paraId="291FF87C" w14:textId="1C3A5622" w:rsidR="00790DC0" w:rsidRPr="00A10602" w:rsidRDefault="00790DC0" w:rsidP="00D76049">
      <w:pPr>
        <w:rPr>
          <w:rFonts w:ascii="Times New Roman" w:hAnsi="Times New Roman" w:cs="Times New Roman"/>
          <w:lang w:val="en-US"/>
        </w:rPr>
      </w:pPr>
    </w:p>
    <w:sectPr w:rsidR="00790DC0" w:rsidRPr="00A10602" w:rsidSect="006B09E8">
      <w:pgSz w:w="15840" w:h="12240" w:orient="landscape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F5AB4" w14:textId="77777777" w:rsidR="00475D53" w:rsidRDefault="00475D53" w:rsidP="005451B8">
      <w:r>
        <w:separator/>
      </w:r>
    </w:p>
  </w:endnote>
  <w:endnote w:type="continuationSeparator" w:id="0">
    <w:p w14:paraId="50CEE98D" w14:textId="77777777" w:rsidR="00475D53" w:rsidRDefault="00475D53" w:rsidP="0054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96DE" w14:textId="77777777" w:rsidR="00475D53" w:rsidRDefault="00475D53" w:rsidP="005451B8">
      <w:r>
        <w:separator/>
      </w:r>
    </w:p>
  </w:footnote>
  <w:footnote w:type="continuationSeparator" w:id="0">
    <w:p w14:paraId="5B201AE8" w14:textId="77777777" w:rsidR="00475D53" w:rsidRDefault="00475D53" w:rsidP="00545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EF1F10"/>
    <w:multiLevelType w:val="hybridMultilevel"/>
    <w:tmpl w:val="30C68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0924406">
    <w:abstractNumId w:val="0"/>
  </w:num>
  <w:num w:numId="2" w16cid:durableId="1730810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AD"/>
    <w:rsid w:val="0006676C"/>
    <w:rsid w:val="00086EEA"/>
    <w:rsid w:val="00122A13"/>
    <w:rsid w:val="001C546B"/>
    <w:rsid w:val="001D2DAA"/>
    <w:rsid w:val="002D4839"/>
    <w:rsid w:val="002D4BCE"/>
    <w:rsid w:val="00305DBC"/>
    <w:rsid w:val="003916A9"/>
    <w:rsid w:val="00397EDE"/>
    <w:rsid w:val="003A0915"/>
    <w:rsid w:val="0046068E"/>
    <w:rsid w:val="00475D53"/>
    <w:rsid w:val="005451B8"/>
    <w:rsid w:val="005F636B"/>
    <w:rsid w:val="0062005D"/>
    <w:rsid w:val="00654FF0"/>
    <w:rsid w:val="006621D2"/>
    <w:rsid w:val="00680055"/>
    <w:rsid w:val="006B09E8"/>
    <w:rsid w:val="006F0797"/>
    <w:rsid w:val="00742CF3"/>
    <w:rsid w:val="00790DC0"/>
    <w:rsid w:val="007C1F24"/>
    <w:rsid w:val="007C1FE2"/>
    <w:rsid w:val="00907253"/>
    <w:rsid w:val="00925037"/>
    <w:rsid w:val="00980249"/>
    <w:rsid w:val="00A10602"/>
    <w:rsid w:val="00AA51F9"/>
    <w:rsid w:val="00AB46BD"/>
    <w:rsid w:val="00AC577E"/>
    <w:rsid w:val="00AC6E9B"/>
    <w:rsid w:val="00B24B13"/>
    <w:rsid w:val="00B40829"/>
    <w:rsid w:val="00BB0E48"/>
    <w:rsid w:val="00CB26CF"/>
    <w:rsid w:val="00CE56F7"/>
    <w:rsid w:val="00D76049"/>
    <w:rsid w:val="00DC58AD"/>
    <w:rsid w:val="00E635D3"/>
    <w:rsid w:val="00E65B4B"/>
    <w:rsid w:val="00EB5939"/>
    <w:rsid w:val="00F0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905030"/>
  <w15:chartTrackingRefBased/>
  <w15:docId w15:val="{3B3CFD0C-83EB-E246-BB04-BE1EE852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5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51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1B8"/>
  </w:style>
  <w:style w:type="paragraph" w:styleId="Footer">
    <w:name w:val="footer"/>
    <w:basedOn w:val="Normal"/>
    <w:link w:val="FooterChar"/>
    <w:uiPriority w:val="99"/>
    <w:unhideWhenUsed/>
    <w:rsid w:val="005451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Average score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Diagnosis Criteria</c:v>
                </c:pt>
                <c:pt idx="1">
                  <c:v>Treatment Approaches</c:v>
                </c:pt>
                <c:pt idx="2">
                  <c:v>Follow-up Protocols</c:v>
                </c:pt>
                <c:pt idx="3">
                  <c:v>Research Gaps</c:v>
                </c:pt>
                <c:pt idx="4">
                  <c:v>Review and Harmonize Guidelines</c:v>
                </c:pt>
                <c:pt idx="5">
                  <c:v>Create Integrated Guidelines</c:v>
                </c:pt>
                <c:pt idx="6">
                  <c:v>Training</c:v>
                </c:pt>
                <c:pt idx="7">
                  <c:v>Technological Advances</c:v>
                </c:pt>
                <c:pt idx="8">
                  <c:v>Patient-Centric Care</c:v>
                </c:pt>
                <c:pt idx="9">
                  <c:v>Collaboration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4.5999999999999996</c:v>
                </c:pt>
                <c:pt idx="1">
                  <c:v>4.5999999999999996</c:v>
                </c:pt>
                <c:pt idx="2">
                  <c:v>4.8</c:v>
                </c:pt>
                <c:pt idx="3">
                  <c:v>4.5999999999999996</c:v>
                </c:pt>
                <c:pt idx="4">
                  <c:v>4.5999999999999996</c:v>
                </c:pt>
                <c:pt idx="5">
                  <c:v>4.5999999999999996</c:v>
                </c:pt>
                <c:pt idx="6">
                  <c:v>4.5999999999999996</c:v>
                </c:pt>
                <c:pt idx="7">
                  <c:v>4.5</c:v>
                </c:pt>
                <c:pt idx="8">
                  <c:v>4.5999999999999996</c:v>
                </c:pt>
                <c:pt idx="9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D-C042-9817-99004EA68A9C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Standard deviation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Diagnosis Criteria</c:v>
                </c:pt>
                <c:pt idx="1">
                  <c:v>Treatment Approaches</c:v>
                </c:pt>
                <c:pt idx="2">
                  <c:v>Follow-up Protocols</c:v>
                </c:pt>
                <c:pt idx="3">
                  <c:v>Research Gaps</c:v>
                </c:pt>
                <c:pt idx="4">
                  <c:v>Review and Harmonize Guidelines</c:v>
                </c:pt>
                <c:pt idx="5">
                  <c:v>Create Integrated Guidelines</c:v>
                </c:pt>
                <c:pt idx="6">
                  <c:v>Training</c:v>
                </c:pt>
                <c:pt idx="7">
                  <c:v>Technological Advances</c:v>
                </c:pt>
                <c:pt idx="8">
                  <c:v>Patient-Centric Care</c:v>
                </c:pt>
                <c:pt idx="9">
                  <c:v>Collaboration</c:v>
                </c:pt>
              </c:strCache>
            </c:strRef>
          </c:cat>
          <c:val>
            <c:numRef>
              <c:f>Sayfa1!$C$2:$C$11</c:f>
              <c:numCache>
                <c:formatCode>General</c:formatCode>
                <c:ptCount val="10"/>
                <c:pt idx="0">
                  <c:v>0.54</c:v>
                </c:pt>
                <c:pt idx="1">
                  <c:v>0.66</c:v>
                </c:pt>
                <c:pt idx="2">
                  <c:v>0.35</c:v>
                </c:pt>
                <c:pt idx="3">
                  <c:v>0.5</c:v>
                </c:pt>
                <c:pt idx="4">
                  <c:v>0.67</c:v>
                </c:pt>
                <c:pt idx="5">
                  <c:v>0.49</c:v>
                </c:pt>
                <c:pt idx="6">
                  <c:v>0.65</c:v>
                </c:pt>
                <c:pt idx="7">
                  <c:v>0.73</c:v>
                </c:pt>
                <c:pt idx="8">
                  <c:v>0.47</c:v>
                </c:pt>
                <c:pt idx="9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D-C042-9817-99004EA68A9C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Acceptance percentage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Diagnosis Criteria</c:v>
                </c:pt>
                <c:pt idx="1">
                  <c:v>Treatment Approaches</c:v>
                </c:pt>
                <c:pt idx="2">
                  <c:v>Follow-up Protocols</c:v>
                </c:pt>
                <c:pt idx="3">
                  <c:v>Research Gaps</c:v>
                </c:pt>
                <c:pt idx="4">
                  <c:v>Review and Harmonize Guidelines</c:v>
                </c:pt>
                <c:pt idx="5">
                  <c:v>Create Integrated Guidelines</c:v>
                </c:pt>
                <c:pt idx="6">
                  <c:v>Training</c:v>
                </c:pt>
                <c:pt idx="7">
                  <c:v>Technological Advances</c:v>
                </c:pt>
                <c:pt idx="8">
                  <c:v>Patient-Centric Care</c:v>
                </c:pt>
                <c:pt idx="9">
                  <c:v>Collaboration</c:v>
                </c:pt>
              </c:strCache>
            </c:strRef>
          </c:cat>
          <c:val>
            <c:numRef>
              <c:f>Sayfa1!$D$2:$D$11</c:f>
              <c:numCache>
                <c:formatCode>0%</c:formatCode>
                <c:ptCount val="10"/>
                <c:pt idx="0">
                  <c:v>0.96</c:v>
                </c:pt>
                <c:pt idx="1">
                  <c:v>0.92</c:v>
                </c:pt>
                <c:pt idx="2">
                  <c:v>1</c:v>
                </c:pt>
                <c:pt idx="3">
                  <c:v>1</c:v>
                </c:pt>
                <c:pt idx="4">
                  <c:v>0.92</c:v>
                </c:pt>
                <c:pt idx="5">
                  <c:v>1</c:v>
                </c:pt>
                <c:pt idx="6">
                  <c:v>0.92</c:v>
                </c:pt>
                <c:pt idx="7">
                  <c:v>0.88</c:v>
                </c:pt>
                <c:pt idx="8">
                  <c:v>0.96</c:v>
                </c:pt>
                <c:pt idx="9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D-C042-9817-99004EA68A9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710816192"/>
        <c:axId val="710817904"/>
      </c:areaChart>
      <c:catAx>
        <c:axId val="71081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TR"/>
          </a:p>
        </c:txPr>
        <c:crossAx val="710817904"/>
        <c:crosses val="autoZero"/>
        <c:auto val="1"/>
        <c:lblAlgn val="ctr"/>
        <c:lblOffset val="100"/>
        <c:noMultiLvlLbl val="0"/>
      </c:catAx>
      <c:valAx>
        <c:axId val="7108179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108161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pct5">
      <a:fgClr>
        <a:schemeClr val="tx2">
          <a:lumMod val="20000"/>
          <a:lumOff val="80000"/>
        </a:schemeClr>
      </a:fgClr>
      <a:bgClr>
        <a:schemeClr val="bg1"/>
      </a:bgClr>
    </a:patt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Average score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Diagnostic Approach</c:v>
                </c:pt>
                <c:pt idx="1">
                  <c:v>Stone Composition</c:v>
                </c:pt>
                <c:pt idx="2">
                  <c:v>Management for Small Stones</c:v>
                </c:pt>
                <c:pt idx="3">
                  <c:v>Shockwave Lithotripsy (SWL)</c:v>
                </c:pt>
                <c:pt idx="4">
                  <c:v>Ureteroscopy (URS)</c:v>
                </c:pt>
                <c:pt idx="5">
                  <c:v>Percutaneous Nephrolithotomy (PCNL)</c:v>
                </c:pt>
                <c:pt idx="6">
                  <c:v>Metabolic Evaluation</c:v>
                </c:pt>
                <c:pt idx="7">
                  <c:v>Minimally Invasive Techniques</c:v>
                </c:pt>
                <c:pt idx="8">
                  <c:v>Age-tailored Management</c:v>
                </c:pt>
                <c:pt idx="9">
                  <c:v>Overall Assessment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4.0999999999999996</c:v>
                </c:pt>
                <c:pt idx="1">
                  <c:v>4.5</c:v>
                </c:pt>
                <c:pt idx="2">
                  <c:v>4.3</c:v>
                </c:pt>
                <c:pt idx="3">
                  <c:v>4.3</c:v>
                </c:pt>
                <c:pt idx="4">
                  <c:v>4.4000000000000004</c:v>
                </c:pt>
                <c:pt idx="5">
                  <c:v>4.4000000000000004</c:v>
                </c:pt>
                <c:pt idx="6">
                  <c:v>4.5999999999999996</c:v>
                </c:pt>
                <c:pt idx="7">
                  <c:v>4.4000000000000004</c:v>
                </c:pt>
                <c:pt idx="8">
                  <c:v>4.4000000000000004</c:v>
                </c:pt>
                <c:pt idx="9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76-304F-BEE7-7008AC898DD6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Standard deviation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Diagnostic Approach</c:v>
                </c:pt>
                <c:pt idx="1">
                  <c:v>Stone Composition</c:v>
                </c:pt>
                <c:pt idx="2">
                  <c:v>Management for Small Stones</c:v>
                </c:pt>
                <c:pt idx="3">
                  <c:v>Shockwave Lithotripsy (SWL)</c:v>
                </c:pt>
                <c:pt idx="4">
                  <c:v>Ureteroscopy (URS)</c:v>
                </c:pt>
                <c:pt idx="5">
                  <c:v>Percutaneous Nephrolithotomy (PCNL)</c:v>
                </c:pt>
                <c:pt idx="6">
                  <c:v>Metabolic Evaluation</c:v>
                </c:pt>
                <c:pt idx="7">
                  <c:v>Minimally Invasive Techniques</c:v>
                </c:pt>
                <c:pt idx="8">
                  <c:v>Age-tailored Management</c:v>
                </c:pt>
                <c:pt idx="9">
                  <c:v>Overall Assessment</c:v>
                </c:pt>
              </c:strCache>
            </c:strRef>
          </c:cat>
          <c:val>
            <c:numRef>
              <c:f>Sayfa1!$C$2:$C$11</c:f>
              <c:numCache>
                <c:formatCode>General</c:formatCode>
                <c:ptCount val="10"/>
                <c:pt idx="0">
                  <c:v>0.95</c:v>
                </c:pt>
                <c:pt idx="1">
                  <c:v>0.66</c:v>
                </c:pt>
                <c:pt idx="2">
                  <c:v>0.56000000000000005</c:v>
                </c:pt>
                <c:pt idx="3">
                  <c:v>0.86</c:v>
                </c:pt>
                <c:pt idx="4">
                  <c:v>0.78</c:v>
                </c:pt>
                <c:pt idx="5">
                  <c:v>0.65</c:v>
                </c:pt>
                <c:pt idx="6">
                  <c:v>0.59</c:v>
                </c:pt>
                <c:pt idx="7">
                  <c:v>0.57999999999999996</c:v>
                </c:pt>
                <c:pt idx="8">
                  <c:v>0.9</c:v>
                </c:pt>
                <c:pt idx="9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76-304F-BEE7-7008AC898DD6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Acceptance percentage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Diagnostic Approach</c:v>
                </c:pt>
                <c:pt idx="1">
                  <c:v>Stone Composition</c:v>
                </c:pt>
                <c:pt idx="2">
                  <c:v>Management for Small Stones</c:v>
                </c:pt>
                <c:pt idx="3">
                  <c:v>Shockwave Lithotripsy (SWL)</c:v>
                </c:pt>
                <c:pt idx="4">
                  <c:v>Ureteroscopy (URS)</c:v>
                </c:pt>
                <c:pt idx="5">
                  <c:v>Percutaneous Nephrolithotomy (PCNL)</c:v>
                </c:pt>
                <c:pt idx="6">
                  <c:v>Metabolic Evaluation</c:v>
                </c:pt>
                <c:pt idx="7">
                  <c:v>Minimally Invasive Techniques</c:v>
                </c:pt>
                <c:pt idx="8">
                  <c:v>Age-tailored Management</c:v>
                </c:pt>
                <c:pt idx="9">
                  <c:v>Overall Assessment</c:v>
                </c:pt>
              </c:strCache>
            </c:strRef>
          </c:cat>
          <c:val>
            <c:numRef>
              <c:f>Sayfa1!$D$2:$D$11</c:f>
              <c:numCache>
                <c:formatCode>0%</c:formatCode>
                <c:ptCount val="10"/>
                <c:pt idx="0">
                  <c:v>0.76</c:v>
                </c:pt>
                <c:pt idx="1">
                  <c:v>0.92</c:v>
                </c:pt>
                <c:pt idx="2">
                  <c:v>0.92</c:v>
                </c:pt>
                <c:pt idx="3">
                  <c:v>0.84</c:v>
                </c:pt>
                <c:pt idx="4">
                  <c:v>0.92</c:v>
                </c:pt>
                <c:pt idx="5">
                  <c:v>0.92</c:v>
                </c:pt>
                <c:pt idx="6">
                  <c:v>0.96</c:v>
                </c:pt>
                <c:pt idx="7">
                  <c:v>0.96</c:v>
                </c:pt>
                <c:pt idx="8">
                  <c:v>0.84</c:v>
                </c:pt>
                <c:pt idx="9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76-304F-BEE7-7008AC898D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710816192"/>
        <c:axId val="710817904"/>
      </c:areaChart>
      <c:catAx>
        <c:axId val="71081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TR"/>
          </a:p>
        </c:txPr>
        <c:crossAx val="710817904"/>
        <c:crosses val="autoZero"/>
        <c:auto val="1"/>
        <c:lblAlgn val="ctr"/>
        <c:lblOffset val="100"/>
        <c:noMultiLvlLbl val="0"/>
      </c:catAx>
      <c:valAx>
        <c:axId val="7108179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108161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pct5">
      <a:fgClr>
        <a:schemeClr val="tx2">
          <a:lumMod val="20000"/>
          <a:lumOff val="80000"/>
        </a:schemeClr>
      </a:fgClr>
      <a:bgClr>
        <a:schemeClr val="bg1"/>
      </a:bgClr>
    </a:patt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Average score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Sayfa1!$A$2:$A$12</c:f>
              <c:strCache>
                <c:ptCount val="11"/>
                <c:pt idx="0">
                  <c:v>Diagnostic Criteria and Tools</c:v>
                </c:pt>
                <c:pt idx="1">
                  <c:v>Treatment Methods</c:v>
                </c:pt>
                <c:pt idx="2">
                  <c:v>Emerging Technologies</c:v>
                </c:pt>
                <c:pt idx="3">
                  <c:v>Follow-up Protocols</c:v>
                </c:pt>
                <c:pt idx="4">
                  <c:v>⁠Long-term Monitoring</c:v>
                </c:pt>
                <c:pt idx="5">
                  <c:v>Evidence and Guidelines</c:v>
                </c:pt>
                <c:pt idx="6">
                  <c:v>Socioeconomic Factors</c:v>
                </c:pt>
                <c:pt idx="7">
                  <c:v>Professional Training</c:v>
                </c:pt>
                <c:pt idx="8">
                  <c:v>Collaborative Efforts</c:v>
                </c:pt>
                <c:pt idx="9">
                  <c:v>Treatment Equipment</c:v>
                </c:pt>
                <c:pt idx="10">
                  <c:v>⁠Long-term Impact</c:v>
                </c:pt>
              </c:strCache>
            </c:strRef>
          </c:cat>
          <c:val>
            <c:numRef>
              <c:f>Sayfa1!$B$2:$B$12</c:f>
              <c:numCache>
                <c:formatCode>General</c:formatCode>
                <c:ptCount val="11"/>
                <c:pt idx="0">
                  <c:v>4.5</c:v>
                </c:pt>
                <c:pt idx="1">
                  <c:v>4.5999999999999996</c:v>
                </c:pt>
                <c:pt idx="2">
                  <c:v>4.4000000000000004</c:v>
                </c:pt>
                <c:pt idx="3">
                  <c:v>4.8</c:v>
                </c:pt>
                <c:pt idx="4">
                  <c:v>4.5999999999999996</c:v>
                </c:pt>
                <c:pt idx="5">
                  <c:v>4.7</c:v>
                </c:pt>
                <c:pt idx="6">
                  <c:v>4.4000000000000004</c:v>
                </c:pt>
                <c:pt idx="7">
                  <c:v>4.5999999999999996</c:v>
                </c:pt>
                <c:pt idx="8">
                  <c:v>4.5</c:v>
                </c:pt>
                <c:pt idx="9">
                  <c:v>4.4000000000000004</c:v>
                </c:pt>
                <c:pt idx="10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5F-4740-87EE-D43377D4CD47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Standard deviation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Sayfa1!$A$2:$A$12</c:f>
              <c:strCache>
                <c:ptCount val="11"/>
                <c:pt idx="0">
                  <c:v>Diagnostic Criteria and Tools</c:v>
                </c:pt>
                <c:pt idx="1">
                  <c:v>Treatment Methods</c:v>
                </c:pt>
                <c:pt idx="2">
                  <c:v>Emerging Technologies</c:v>
                </c:pt>
                <c:pt idx="3">
                  <c:v>Follow-up Protocols</c:v>
                </c:pt>
                <c:pt idx="4">
                  <c:v>⁠Long-term Monitoring</c:v>
                </c:pt>
                <c:pt idx="5">
                  <c:v>Evidence and Guidelines</c:v>
                </c:pt>
                <c:pt idx="6">
                  <c:v>Socioeconomic Factors</c:v>
                </c:pt>
                <c:pt idx="7">
                  <c:v>Professional Training</c:v>
                </c:pt>
                <c:pt idx="8">
                  <c:v>Collaborative Efforts</c:v>
                </c:pt>
                <c:pt idx="9">
                  <c:v>Treatment Equipment</c:v>
                </c:pt>
                <c:pt idx="10">
                  <c:v>⁠Long-term Impact</c:v>
                </c:pt>
              </c:strCache>
            </c:strRef>
          </c:cat>
          <c:val>
            <c:numRef>
              <c:f>Sayfa1!$C$2:$C$12</c:f>
              <c:numCache>
                <c:formatCode>General</c:formatCode>
                <c:ptCount val="11"/>
                <c:pt idx="0">
                  <c:v>0.5</c:v>
                </c:pt>
                <c:pt idx="1">
                  <c:v>0.8</c:v>
                </c:pt>
                <c:pt idx="2">
                  <c:v>0.72</c:v>
                </c:pt>
                <c:pt idx="3">
                  <c:v>0.42</c:v>
                </c:pt>
                <c:pt idx="4">
                  <c:v>0.59</c:v>
                </c:pt>
                <c:pt idx="5">
                  <c:v>0.49</c:v>
                </c:pt>
                <c:pt idx="6">
                  <c:v>0.72</c:v>
                </c:pt>
                <c:pt idx="7">
                  <c:v>0.74</c:v>
                </c:pt>
                <c:pt idx="8">
                  <c:v>0.66</c:v>
                </c:pt>
                <c:pt idx="9">
                  <c:v>0.77</c:v>
                </c:pt>
                <c:pt idx="10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5F-4740-87EE-D43377D4CD47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Acceptance percentage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Sayfa1!$A$2:$A$12</c:f>
              <c:strCache>
                <c:ptCount val="11"/>
                <c:pt idx="0">
                  <c:v>Diagnostic Criteria and Tools</c:v>
                </c:pt>
                <c:pt idx="1">
                  <c:v>Treatment Methods</c:v>
                </c:pt>
                <c:pt idx="2">
                  <c:v>Emerging Technologies</c:v>
                </c:pt>
                <c:pt idx="3">
                  <c:v>Follow-up Protocols</c:v>
                </c:pt>
                <c:pt idx="4">
                  <c:v>⁠Long-term Monitoring</c:v>
                </c:pt>
                <c:pt idx="5">
                  <c:v>Evidence and Guidelines</c:v>
                </c:pt>
                <c:pt idx="6">
                  <c:v>Socioeconomic Factors</c:v>
                </c:pt>
                <c:pt idx="7">
                  <c:v>Professional Training</c:v>
                </c:pt>
                <c:pt idx="8">
                  <c:v>Collaborative Efforts</c:v>
                </c:pt>
                <c:pt idx="9">
                  <c:v>Treatment Equipment</c:v>
                </c:pt>
                <c:pt idx="10">
                  <c:v>⁠Long-term Impact</c:v>
                </c:pt>
              </c:strCache>
            </c:strRef>
          </c:cat>
          <c:val>
            <c:numRef>
              <c:f>Sayfa1!$D$2:$D$12</c:f>
              <c:numCache>
                <c:formatCode>0%</c:formatCode>
                <c:ptCount val="11"/>
                <c:pt idx="0">
                  <c:v>1</c:v>
                </c:pt>
                <c:pt idx="1">
                  <c:v>0.92</c:v>
                </c:pt>
                <c:pt idx="2">
                  <c:v>0.88</c:v>
                </c:pt>
                <c:pt idx="3">
                  <c:v>1</c:v>
                </c:pt>
                <c:pt idx="4">
                  <c:v>0.96</c:v>
                </c:pt>
                <c:pt idx="5">
                  <c:v>1</c:v>
                </c:pt>
                <c:pt idx="6">
                  <c:v>0.88</c:v>
                </c:pt>
                <c:pt idx="7">
                  <c:v>0.88</c:v>
                </c:pt>
                <c:pt idx="8">
                  <c:v>0.92</c:v>
                </c:pt>
                <c:pt idx="9">
                  <c:v>0.84</c:v>
                </c:pt>
                <c:pt idx="10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5F-4740-87EE-D43377D4CD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710816192"/>
        <c:axId val="710817904"/>
      </c:areaChart>
      <c:catAx>
        <c:axId val="71081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TR"/>
          </a:p>
        </c:txPr>
        <c:crossAx val="710817904"/>
        <c:crosses val="autoZero"/>
        <c:auto val="1"/>
        <c:lblAlgn val="ctr"/>
        <c:lblOffset val="100"/>
        <c:noMultiLvlLbl val="0"/>
      </c:catAx>
      <c:valAx>
        <c:axId val="7108179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108161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pct5">
      <a:fgClr>
        <a:schemeClr val="tx2">
          <a:lumMod val="20000"/>
          <a:lumOff val="80000"/>
        </a:schemeClr>
      </a:fgClr>
      <a:bgClr>
        <a:schemeClr val="bg1"/>
      </a:bgClr>
    </a:patt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Average score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Survey Preparation and Distribution</c:v>
                </c:pt>
                <c:pt idx="1">
                  <c:v>Data Collection</c:v>
                </c:pt>
                <c:pt idx="2">
                  <c:v>Key Issues</c:v>
                </c:pt>
                <c:pt idx="3">
                  <c:v>Methodology</c:v>
                </c:pt>
                <c:pt idx="4">
                  <c:v>Review process</c:v>
                </c:pt>
                <c:pt idx="5">
                  <c:v>Comprehensive</c:v>
                </c:pt>
                <c:pt idx="6">
                  <c:v>Constructive Dialogue</c:v>
                </c:pt>
                <c:pt idx="7">
                  <c:v>Transparency</c:v>
                </c:pt>
                <c:pt idx="8">
                  <c:v>Drafting process address the identified issues</c:v>
                </c:pt>
                <c:pt idx="9">
                  <c:v>Reflect expert consensus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4.5999999999999996</c:v>
                </c:pt>
                <c:pt idx="1">
                  <c:v>4.7</c:v>
                </c:pt>
                <c:pt idx="2">
                  <c:v>4.5999999999999996</c:v>
                </c:pt>
                <c:pt idx="3">
                  <c:v>4.5999999999999996</c:v>
                </c:pt>
                <c:pt idx="4">
                  <c:v>4.5999999999999996</c:v>
                </c:pt>
                <c:pt idx="5">
                  <c:v>4.5999999999999996</c:v>
                </c:pt>
                <c:pt idx="6">
                  <c:v>4.8</c:v>
                </c:pt>
                <c:pt idx="7">
                  <c:v>4.7</c:v>
                </c:pt>
                <c:pt idx="8">
                  <c:v>4.5</c:v>
                </c:pt>
                <c:pt idx="9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FC-654E-A1BB-71704C2F2FA4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Standard deviation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Survey Preparation and Distribution</c:v>
                </c:pt>
                <c:pt idx="1">
                  <c:v>Data Collection</c:v>
                </c:pt>
                <c:pt idx="2">
                  <c:v>Key Issues</c:v>
                </c:pt>
                <c:pt idx="3">
                  <c:v>Methodology</c:v>
                </c:pt>
                <c:pt idx="4">
                  <c:v>Review process</c:v>
                </c:pt>
                <c:pt idx="5">
                  <c:v>Comprehensive</c:v>
                </c:pt>
                <c:pt idx="6">
                  <c:v>Constructive Dialogue</c:v>
                </c:pt>
                <c:pt idx="7">
                  <c:v>Transparency</c:v>
                </c:pt>
                <c:pt idx="8">
                  <c:v>Drafting process address the identified issues</c:v>
                </c:pt>
                <c:pt idx="9">
                  <c:v>Reflect expert consensus</c:v>
                </c:pt>
              </c:strCache>
            </c:strRef>
          </c:cat>
          <c:val>
            <c:numRef>
              <c:f>Sayfa1!$C$2:$C$11</c:f>
              <c:numCache>
                <c:formatCode>General</c:formatCode>
                <c:ptCount val="10"/>
                <c:pt idx="0">
                  <c:v>0.5</c:v>
                </c:pt>
                <c:pt idx="1">
                  <c:v>0.47</c:v>
                </c:pt>
                <c:pt idx="2">
                  <c:v>0.5</c:v>
                </c:pt>
                <c:pt idx="3">
                  <c:v>0.5</c:v>
                </c:pt>
                <c:pt idx="4">
                  <c:v>0.59</c:v>
                </c:pt>
                <c:pt idx="5">
                  <c:v>0.59</c:v>
                </c:pt>
                <c:pt idx="6">
                  <c:v>0.45</c:v>
                </c:pt>
                <c:pt idx="7">
                  <c:v>0.57999999999999996</c:v>
                </c:pt>
                <c:pt idx="8">
                  <c:v>0.5</c:v>
                </c:pt>
                <c:pt idx="9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FC-654E-A1BB-71704C2F2FA4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Acceptance percentage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Sayfa1!$A$2:$A$11</c:f>
              <c:strCache>
                <c:ptCount val="10"/>
                <c:pt idx="0">
                  <c:v>Survey Preparation and Distribution</c:v>
                </c:pt>
                <c:pt idx="1">
                  <c:v>Data Collection</c:v>
                </c:pt>
                <c:pt idx="2">
                  <c:v>Key Issues</c:v>
                </c:pt>
                <c:pt idx="3">
                  <c:v>Methodology</c:v>
                </c:pt>
                <c:pt idx="4">
                  <c:v>Review process</c:v>
                </c:pt>
                <c:pt idx="5">
                  <c:v>Comprehensive</c:v>
                </c:pt>
                <c:pt idx="6">
                  <c:v>Constructive Dialogue</c:v>
                </c:pt>
                <c:pt idx="7">
                  <c:v>Transparency</c:v>
                </c:pt>
                <c:pt idx="8">
                  <c:v>Drafting process address the identified issues</c:v>
                </c:pt>
                <c:pt idx="9">
                  <c:v>Reflect expert consensus</c:v>
                </c:pt>
              </c:strCache>
            </c:strRef>
          </c:cat>
          <c:val>
            <c:numRef>
              <c:f>Sayfa1!$D$2:$D$11</c:f>
              <c:numCache>
                <c:formatCode>0%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0.96</c:v>
                </c:pt>
                <c:pt idx="5">
                  <c:v>0.96</c:v>
                </c:pt>
                <c:pt idx="6">
                  <c:v>1</c:v>
                </c:pt>
                <c:pt idx="7">
                  <c:v>0.96</c:v>
                </c:pt>
                <c:pt idx="8">
                  <c:v>1</c:v>
                </c:pt>
                <c:pt idx="9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FC-654E-A1BB-71704C2F2F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710816192"/>
        <c:axId val="710817904"/>
      </c:areaChart>
      <c:catAx>
        <c:axId val="71081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TR"/>
          </a:p>
        </c:txPr>
        <c:crossAx val="710817904"/>
        <c:crosses val="autoZero"/>
        <c:auto val="1"/>
        <c:lblAlgn val="ctr"/>
        <c:lblOffset val="100"/>
        <c:noMultiLvlLbl val="0"/>
      </c:catAx>
      <c:valAx>
        <c:axId val="7108179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108161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pct5">
      <a:fgClr>
        <a:schemeClr val="tx2">
          <a:lumMod val="20000"/>
          <a:lumOff val="80000"/>
        </a:schemeClr>
      </a:fgClr>
      <a:bgClr>
        <a:schemeClr val="bg1"/>
      </a:bgClr>
    </a:patt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Guven</dc:creator>
  <cp:keywords/>
  <dc:description/>
  <cp:lastModifiedBy>burak akgül</cp:lastModifiedBy>
  <cp:revision>4</cp:revision>
  <dcterms:created xsi:type="dcterms:W3CDTF">2024-05-26T14:51:00Z</dcterms:created>
  <dcterms:modified xsi:type="dcterms:W3CDTF">2024-07-26T23:17:00Z</dcterms:modified>
</cp:coreProperties>
</file>