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B1E" w:rsidRPr="00886005" w:rsidRDefault="00266B1E" w:rsidP="00266B1E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266B1E" w:rsidRPr="00886005" w:rsidRDefault="00266B1E" w:rsidP="00266B1E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86005">
        <w:rPr>
          <w:rFonts w:ascii="Times New Roman" w:hAnsi="Times New Roman" w:cs="Times New Roman"/>
          <w:color w:val="000000" w:themeColor="text1"/>
          <w:sz w:val="32"/>
          <w:szCs w:val="32"/>
        </w:rPr>
        <w:t>Supplementary Figures: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  <w:tblCaption w:val="Figure 4"/>
        <w:tblDescription w:val="RT-PCR-PSA vs Histology"/>
      </w:tblPr>
      <w:tblGrid>
        <w:gridCol w:w="1812"/>
        <w:gridCol w:w="1812"/>
        <w:gridCol w:w="1812"/>
        <w:gridCol w:w="1812"/>
        <w:gridCol w:w="1812"/>
      </w:tblGrid>
      <w:tr w:rsidR="00266B1E" w:rsidRPr="00886005" w:rsidTr="0017233F">
        <w:trPr>
          <w:trHeight w:val="300"/>
        </w:trPr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3624" w:type="dxa"/>
            <w:gridSpan w:val="2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Histology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total</w:t>
            </w:r>
          </w:p>
        </w:tc>
      </w:tr>
      <w:tr w:rsidR="00266B1E" w:rsidRPr="00886005" w:rsidTr="0017233F">
        <w:trPr>
          <w:trHeight w:val="300"/>
        </w:trPr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negative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positive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</w:tr>
      <w:tr w:rsidR="00266B1E" w:rsidRPr="00886005" w:rsidTr="0017233F">
        <w:trPr>
          <w:trHeight w:val="300"/>
        </w:trPr>
        <w:tc>
          <w:tcPr>
            <w:tcW w:w="1812" w:type="dxa"/>
            <w:vMerge w:val="restart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qPCR-PSA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negative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58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61</w:t>
            </w:r>
          </w:p>
        </w:tc>
      </w:tr>
      <w:tr w:rsidR="00266B1E" w:rsidRPr="00886005" w:rsidTr="0017233F">
        <w:trPr>
          <w:trHeight w:val="300"/>
        </w:trPr>
        <w:tc>
          <w:tcPr>
            <w:tcW w:w="1812" w:type="dxa"/>
            <w:vMerge/>
          </w:tcPr>
          <w:p w:rsidR="00266B1E" w:rsidRPr="00886005" w:rsidRDefault="00266B1E" w:rsidP="0017233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positive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34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13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47</w:t>
            </w:r>
          </w:p>
        </w:tc>
      </w:tr>
      <w:tr w:rsidR="00266B1E" w:rsidRPr="00886005" w:rsidTr="0017233F">
        <w:trPr>
          <w:trHeight w:val="300"/>
        </w:trPr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total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92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16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108</w:t>
            </w:r>
          </w:p>
        </w:tc>
      </w:tr>
    </w:tbl>
    <w:p w:rsidR="00266B1E" w:rsidRPr="00886005" w:rsidRDefault="00266B1E" w:rsidP="00266B1E">
      <w:pPr>
        <w:spacing w:line="480" w:lineRule="auto"/>
        <w:jc w:val="center"/>
        <w:rPr>
          <w:rFonts w:ascii="Times New Roman" w:eastAsiaTheme="minorEastAsia" w:hAnsi="Times New Roman" w:cs="Times New Roman"/>
          <w:i/>
          <w:iCs/>
          <w:color w:val="000000" w:themeColor="text1"/>
          <w:sz w:val="32"/>
          <w:szCs w:val="32"/>
        </w:rPr>
      </w:pPr>
      <w:r w:rsidRPr="00886005">
        <w:rPr>
          <w:rFonts w:ascii="Times New Roman" w:eastAsiaTheme="minorEastAsia" w:hAnsi="Times New Roman" w:cs="Times New Roman"/>
          <w:i/>
          <w:iCs/>
          <w:color w:val="000000" w:themeColor="text1"/>
          <w:sz w:val="32"/>
          <w:szCs w:val="32"/>
        </w:rPr>
        <w:t>Figure 4: qPCR vs Histology</w:t>
      </w:r>
    </w:p>
    <w:p w:rsidR="00266B1E" w:rsidRPr="00886005" w:rsidRDefault="00266B1E" w:rsidP="00266B1E">
      <w:pPr>
        <w:spacing w:line="480" w:lineRule="auto"/>
        <w:jc w:val="center"/>
        <w:rPr>
          <w:rFonts w:ascii="Times New Roman" w:eastAsiaTheme="minorEastAsia" w:hAnsi="Times New Roman" w:cs="Times New Roman"/>
          <w:i/>
          <w:iCs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812"/>
        <w:gridCol w:w="1812"/>
        <w:gridCol w:w="1812"/>
        <w:gridCol w:w="1812"/>
        <w:gridCol w:w="1812"/>
      </w:tblGrid>
      <w:tr w:rsidR="00266B1E" w:rsidRPr="00886005" w:rsidTr="0017233F">
        <w:trPr>
          <w:trHeight w:val="300"/>
        </w:trPr>
        <w:tc>
          <w:tcPr>
            <w:tcW w:w="1812" w:type="dxa"/>
            <w:vAlign w:val="center"/>
          </w:tcPr>
          <w:p w:rsidR="00266B1E" w:rsidRPr="00886005" w:rsidRDefault="00266B1E" w:rsidP="0017233F">
            <w:pPr>
              <w:widowControl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i/>
                <w:iCs/>
                <w:color w:val="000000" w:themeColor="text1"/>
                <w:sz w:val="32"/>
                <w:szCs w:val="32"/>
              </w:rPr>
            </w:pPr>
          </w:p>
        </w:tc>
        <w:tc>
          <w:tcPr>
            <w:tcW w:w="3624" w:type="dxa"/>
            <w:gridSpan w:val="2"/>
            <w:vAlign w:val="center"/>
          </w:tcPr>
          <w:p w:rsidR="00266B1E" w:rsidRPr="00886005" w:rsidRDefault="00266B1E" w:rsidP="0017233F">
            <w:pPr>
              <w:widowControl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  <w:t>Biochemical recurrence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  <w:t>total</w:t>
            </w:r>
          </w:p>
        </w:tc>
      </w:tr>
      <w:tr w:rsidR="00266B1E" w:rsidRPr="00886005" w:rsidTr="0017233F">
        <w:trPr>
          <w:trHeight w:val="300"/>
        </w:trPr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i/>
                <w:iCs/>
                <w:color w:val="000000" w:themeColor="text1"/>
                <w:sz w:val="32"/>
                <w:szCs w:val="32"/>
              </w:rPr>
            </w:pP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i/>
                <w:iCs/>
                <w:color w:val="000000" w:themeColor="text1"/>
                <w:sz w:val="32"/>
                <w:szCs w:val="32"/>
              </w:rPr>
            </w:pP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widowControl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  <w:t>negative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widowControl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  <w:t>positive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i/>
                <w:iCs/>
                <w:color w:val="000000" w:themeColor="text1"/>
                <w:sz w:val="32"/>
                <w:szCs w:val="32"/>
              </w:rPr>
            </w:pPr>
          </w:p>
        </w:tc>
      </w:tr>
      <w:tr w:rsidR="00266B1E" w:rsidRPr="00886005" w:rsidTr="0017233F">
        <w:trPr>
          <w:trHeight w:val="300"/>
        </w:trPr>
        <w:tc>
          <w:tcPr>
            <w:tcW w:w="1812" w:type="dxa"/>
            <w:vMerge w:val="restart"/>
            <w:vAlign w:val="center"/>
          </w:tcPr>
          <w:p w:rsidR="00266B1E" w:rsidRPr="00886005" w:rsidRDefault="00266B1E" w:rsidP="0017233F">
            <w:pPr>
              <w:widowControl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  <w:t>Histology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widowControl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  <w:t>negative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widowControl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  <w:t>61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widowControl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  <w:t>29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widowControl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  <w:t>90</w:t>
            </w:r>
          </w:p>
        </w:tc>
      </w:tr>
      <w:tr w:rsidR="00266B1E" w:rsidRPr="00886005" w:rsidTr="0017233F">
        <w:trPr>
          <w:trHeight w:val="300"/>
        </w:trPr>
        <w:tc>
          <w:tcPr>
            <w:tcW w:w="1812" w:type="dxa"/>
            <w:vMerge/>
          </w:tcPr>
          <w:p w:rsidR="00266B1E" w:rsidRPr="00886005" w:rsidRDefault="00266B1E" w:rsidP="0017233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widowControl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  <w:t>positive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widowControl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widowControl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widowControl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  <w:t>16</w:t>
            </w:r>
          </w:p>
        </w:tc>
      </w:tr>
      <w:tr w:rsidR="00266B1E" w:rsidRPr="00886005" w:rsidTr="0017233F">
        <w:trPr>
          <w:trHeight w:val="300"/>
        </w:trPr>
        <w:tc>
          <w:tcPr>
            <w:tcW w:w="1812" w:type="dxa"/>
            <w:vAlign w:val="center"/>
          </w:tcPr>
          <w:p w:rsidR="00266B1E" w:rsidRPr="00886005" w:rsidRDefault="00266B1E" w:rsidP="0017233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  <w:t>total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i/>
                <w:iCs/>
                <w:color w:val="000000" w:themeColor="text1"/>
                <w:sz w:val="32"/>
                <w:szCs w:val="32"/>
              </w:rPr>
            </w:pP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widowControl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  <w:t>69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widowControl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  <w:t>37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widowControl w:val="0"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eastAsiaTheme="minorEastAsia" w:hAnsi="Times New Roman" w:cs="Times New Roman"/>
                <w:color w:val="000000" w:themeColor="text1"/>
                <w:sz w:val="32"/>
                <w:szCs w:val="32"/>
              </w:rPr>
              <w:t>106</w:t>
            </w:r>
          </w:p>
        </w:tc>
      </w:tr>
    </w:tbl>
    <w:p w:rsidR="00266B1E" w:rsidRPr="00886005" w:rsidRDefault="00266B1E" w:rsidP="00266B1E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86005">
        <w:rPr>
          <w:rFonts w:ascii="Times New Roman" w:hAnsi="Times New Roman" w:cs="Times New Roman"/>
          <w:i/>
          <w:iCs/>
          <w:color w:val="000000" w:themeColor="text1"/>
          <w:sz w:val="32"/>
          <w:szCs w:val="32"/>
        </w:rPr>
        <w:t xml:space="preserve">Figure 5: Histology vs Recurrence. </w:t>
      </w:r>
      <w:r w:rsidRPr="00886005">
        <w:rPr>
          <w:rFonts w:ascii="Times New Roman" w:hAnsi="Times New Roman" w:cs="Times New Roman"/>
          <w:color w:val="000000" w:themeColor="text1"/>
          <w:sz w:val="32"/>
          <w:szCs w:val="32"/>
        </w:rPr>
        <w:t>This graph depicts the number of patients who were initially identified as positive in histology and later experienced biochemical recurrence.</w:t>
      </w:r>
      <w:r w:rsidRPr="00886005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886005">
        <w:rPr>
          <w:rFonts w:ascii="Times New Roman" w:hAnsi="Times New Roman" w:cs="Times New Roman"/>
          <w:i/>
          <w:iCs/>
          <w:color w:val="000000" w:themeColor="text1"/>
          <w:sz w:val="32"/>
          <w:szCs w:val="32"/>
        </w:rPr>
        <w:t xml:space="preserve">29 of 37 cases with positive </w:t>
      </w:r>
      <w:proofErr w:type="spellStart"/>
      <w:r w:rsidRPr="00886005">
        <w:rPr>
          <w:rFonts w:ascii="Times New Roman" w:hAnsi="Times New Roman" w:cs="Times New Roman"/>
          <w:i/>
          <w:iCs/>
          <w:color w:val="000000" w:themeColor="text1"/>
          <w:sz w:val="32"/>
          <w:szCs w:val="32"/>
        </w:rPr>
        <w:t>tumor</w:t>
      </w:r>
      <w:proofErr w:type="spellEnd"/>
      <w:r w:rsidRPr="00886005">
        <w:rPr>
          <w:rFonts w:ascii="Times New Roman" w:hAnsi="Times New Roman" w:cs="Times New Roman"/>
          <w:i/>
          <w:iCs/>
          <w:color w:val="000000" w:themeColor="text1"/>
          <w:sz w:val="32"/>
          <w:szCs w:val="32"/>
        </w:rPr>
        <w:t xml:space="preserve"> recurrence were not predicted by </w:t>
      </w:r>
      <w:r w:rsidRPr="00886005">
        <w:rPr>
          <w:rFonts w:ascii="Times New Roman" w:hAnsi="Times New Roman" w:cs="Times New Roman"/>
          <w:i/>
          <w:iCs/>
          <w:color w:val="000000" w:themeColor="text1"/>
          <w:sz w:val="32"/>
          <w:szCs w:val="32"/>
        </w:rPr>
        <w:lastRenderedPageBreak/>
        <w:t>histology.</w:t>
      </w:r>
      <w:r w:rsidRPr="0088600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86005">
        <w:rPr>
          <w:rFonts w:ascii="Times New Roman" w:hAnsi="Times New Roman" w:cs="Times New Roman"/>
          <w:i/>
          <w:iCs/>
          <w:color w:val="000000" w:themeColor="text1"/>
          <w:sz w:val="32"/>
          <w:szCs w:val="32"/>
        </w:rPr>
        <w:t>This results in a sensitivity of 8/37 = 21.6%, specificity of 61/69 = 88.4%</w:t>
      </w:r>
      <w:r w:rsidRPr="0088600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</w:t>
      </w:r>
      <w:r w:rsidRPr="00886005">
        <w:rPr>
          <w:rFonts w:ascii="Times New Roman" w:hAnsi="Times New Roman" w:cs="Times New Roman"/>
          <w:i/>
          <w:iCs/>
          <w:color w:val="000000" w:themeColor="text1"/>
          <w:sz w:val="32"/>
          <w:szCs w:val="32"/>
        </w:rPr>
        <w:t>PPV of 8/16 = 50.0% and NPV of 61/90 = 67.8%.</w:t>
      </w:r>
    </w:p>
    <w:p w:rsidR="00266B1E" w:rsidRPr="00886005" w:rsidRDefault="00266B1E" w:rsidP="00266B1E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  <w:tblCaption w:val="Figure 4"/>
        <w:tblDescription w:val="RT-PCR-PSA vs Histology"/>
      </w:tblPr>
      <w:tblGrid>
        <w:gridCol w:w="1803"/>
        <w:gridCol w:w="1805"/>
        <w:gridCol w:w="1805"/>
        <w:gridCol w:w="1804"/>
        <w:gridCol w:w="1799"/>
      </w:tblGrid>
      <w:tr w:rsidR="00266B1E" w:rsidRPr="00886005" w:rsidTr="0017233F">
        <w:trPr>
          <w:trHeight w:val="300"/>
        </w:trPr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3624" w:type="dxa"/>
            <w:gridSpan w:val="2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Biochemical recurrence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total</w:t>
            </w:r>
          </w:p>
        </w:tc>
      </w:tr>
      <w:tr w:rsidR="00266B1E" w:rsidRPr="00886005" w:rsidTr="0017233F">
        <w:trPr>
          <w:trHeight w:val="300"/>
        </w:trPr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negative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positive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</w:tr>
      <w:tr w:rsidR="00266B1E" w:rsidRPr="00886005" w:rsidTr="0017233F">
        <w:trPr>
          <w:trHeight w:val="300"/>
        </w:trPr>
        <w:tc>
          <w:tcPr>
            <w:tcW w:w="1812" w:type="dxa"/>
            <w:vMerge w:val="restart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qPCR-PSA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negative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41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18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59</w:t>
            </w:r>
          </w:p>
        </w:tc>
      </w:tr>
      <w:tr w:rsidR="00266B1E" w:rsidRPr="00886005" w:rsidTr="0017233F">
        <w:trPr>
          <w:trHeight w:val="300"/>
        </w:trPr>
        <w:tc>
          <w:tcPr>
            <w:tcW w:w="1812" w:type="dxa"/>
            <w:vMerge/>
          </w:tcPr>
          <w:p w:rsidR="00266B1E" w:rsidRPr="00886005" w:rsidRDefault="00266B1E" w:rsidP="0017233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positive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28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19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47</w:t>
            </w:r>
          </w:p>
        </w:tc>
      </w:tr>
      <w:tr w:rsidR="00266B1E" w:rsidRPr="00886005" w:rsidTr="0017233F">
        <w:trPr>
          <w:trHeight w:val="300"/>
        </w:trPr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total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69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37</w:t>
            </w:r>
          </w:p>
        </w:tc>
        <w:tc>
          <w:tcPr>
            <w:tcW w:w="1812" w:type="dxa"/>
            <w:vAlign w:val="center"/>
          </w:tcPr>
          <w:p w:rsidR="00266B1E" w:rsidRPr="00886005" w:rsidRDefault="00266B1E" w:rsidP="001723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8600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106</w:t>
            </w:r>
          </w:p>
        </w:tc>
      </w:tr>
    </w:tbl>
    <w:p w:rsidR="00266B1E" w:rsidRPr="00886005" w:rsidRDefault="00266B1E" w:rsidP="00266B1E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86005">
        <w:rPr>
          <w:rFonts w:ascii="Times New Roman" w:hAnsi="Times New Roman" w:cs="Times New Roman"/>
          <w:i/>
          <w:iCs/>
          <w:color w:val="000000" w:themeColor="text1"/>
          <w:sz w:val="32"/>
          <w:szCs w:val="32"/>
        </w:rPr>
        <w:t xml:space="preserve">Figure 6: qPCR vs Recurrence. </w:t>
      </w:r>
      <w:r w:rsidRPr="0088600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This graph depicts the number of patients who were initially identified as positive in qPCR and later experienced biochemical recurrence. 18 of 37 cases with positive </w:t>
      </w:r>
      <w:proofErr w:type="spellStart"/>
      <w:r w:rsidRPr="00886005">
        <w:rPr>
          <w:rFonts w:ascii="Times New Roman" w:hAnsi="Times New Roman" w:cs="Times New Roman"/>
          <w:color w:val="000000" w:themeColor="text1"/>
          <w:sz w:val="32"/>
          <w:szCs w:val="32"/>
        </w:rPr>
        <w:t>tumor</w:t>
      </w:r>
      <w:proofErr w:type="spellEnd"/>
      <w:r w:rsidRPr="0088600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recurrence were not predicted by RTPCR. This results in a sensitivity of 19/37 = 51.4%, specificity of 41/69 = 59.4%, PPV of 19/47 = 40.4% and NPV of 41/59 = 69.5%.</w:t>
      </w:r>
    </w:p>
    <w:p w:rsidR="00B557F1" w:rsidRDefault="00B557F1">
      <w:bookmarkStart w:id="0" w:name="_GoBack"/>
      <w:bookmarkEnd w:id="0"/>
    </w:p>
    <w:sectPr w:rsidR="00B557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B1E"/>
    <w:rsid w:val="00005CB2"/>
    <w:rsid w:val="0000757F"/>
    <w:rsid w:val="00012EC7"/>
    <w:rsid w:val="00013657"/>
    <w:rsid w:val="000140D2"/>
    <w:rsid w:val="000169DF"/>
    <w:rsid w:val="000170BB"/>
    <w:rsid w:val="00026F18"/>
    <w:rsid w:val="00050C17"/>
    <w:rsid w:val="00062308"/>
    <w:rsid w:val="00066F20"/>
    <w:rsid w:val="000706B8"/>
    <w:rsid w:val="00077566"/>
    <w:rsid w:val="00077595"/>
    <w:rsid w:val="00081FD1"/>
    <w:rsid w:val="00087748"/>
    <w:rsid w:val="000A08DF"/>
    <w:rsid w:val="000A38D7"/>
    <w:rsid w:val="000B2A13"/>
    <w:rsid w:val="000C17C0"/>
    <w:rsid w:val="000C285A"/>
    <w:rsid w:val="000C43BF"/>
    <w:rsid w:val="000C543B"/>
    <w:rsid w:val="000D1BB9"/>
    <w:rsid w:val="000D72E9"/>
    <w:rsid w:val="000E36DA"/>
    <w:rsid w:val="000F5006"/>
    <w:rsid w:val="000F6B5C"/>
    <w:rsid w:val="00102354"/>
    <w:rsid w:val="001035EB"/>
    <w:rsid w:val="0010468A"/>
    <w:rsid w:val="0011377F"/>
    <w:rsid w:val="001155B5"/>
    <w:rsid w:val="00120B1C"/>
    <w:rsid w:val="0012292D"/>
    <w:rsid w:val="001235E0"/>
    <w:rsid w:val="00124234"/>
    <w:rsid w:val="00137AB1"/>
    <w:rsid w:val="00141DCA"/>
    <w:rsid w:val="0014329C"/>
    <w:rsid w:val="0015466B"/>
    <w:rsid w:val="00154E30"/>
    <w:rsid w:val="00156703"/>
    <w:rsid w:val="00157158"/>
    <w:rsid w:val="00160AF4"/>
    <w:rsid w:val="00165E7E"/>
    <w:rsid w:val="00166BE2"/>
    <w:rsid w:val="00167ED9"/>
    <w:rsid w:val="00172DC4"/>
    <w:rsid w:val="0018193F"/>
    <w:rsid w:val="00182D91"/>
    <w:rsid w:val="00195E7A"/>
    <w:rsid w:val="001A77E3"/>
    <w:rsid w:val="001B4BF8"/>
    <w:rsid w:val="001C0FA9"/>
    <w:rsid w:val="001C1462"/>
    <w:rsid w:val="001C1A43"/>
    <w:rsid w:val="001C50A0"/>
    <w:rsid w:val="001D6B79"/>
    <w:rsid w:val="001E0F56"/>
    <w:rsid w:val="001E11D8"/>
    <w:rsid w:val="001E2941"/>
    <w:rsid w:val="001E72B3"/>
    <w:rsid w:val="0021266C"/>
    <w:rsid w:val="00216293"/>
    <w:rsid w:val="00222034"/>
    <w:rsid w:val="00223668"/>
    <w:rsid w:val="00223E89"/>
    <w:rsid w:val="002275FE"/>
    <w:rsid w:val="00236D1D"/>
    <w:rsid w:val="002447CF"/>
    <w:rsid w:val="00247A01"/>
    <w:rsid w:val="00255ED5"/>
    <w:rsid w:val="00256D61"/>
    <w:rsid w:val="00260A51"/>
    <w:rsid w:val="00260E8B"/>
    <w:rsid w:val="00261B81"/>
    <w:rsid w:val="00262A9F"/>
    <w:rsid w:val="00262B6A"/>
    <w:rsid w:val="00266B1E"/>
    <w:rsid w:val="00282DE2"/>
    <w:rsid w:val="00284FCD"/>
    <w:rsid w:val="002A0529"/>
    <w:rsid w:val="002B581A"/>
    <w:rsid w:val="002B7CBB"/>
    <w:rsid w:val="002C2584"/>
    <w:rsid w:val="002C5BB6"/>
    <w:rsid w:val="002D069E"/>
    <w:rsid w:val="002D4AC3"/>
    <w:rsid w:val="002E5A59"/>
    <w:rsid w:val="002F0DDC"/>
    <w:rsid w:val="002F39CE"/>
    <w:rsid w:val="002F74CA"/>
    <w:rsid w:val="00300786"/>
    <w:rsid w:val="003054A3"/>
    <w:rsid w:val="0030570D"/>
    <w:rsid w:val="00312CFD"/>
    <w:rsid w:val="00313166"/>
    <w:rsid w:val="00315C02"/>
    <w:rsid w:val="00316303"/>
    <w:rsid w:val="00316D8B"/>
    <w:rsid w:val="003325F8"/>
    <w:rsid w:val="003340A8"/>
    <w:rsid w:val="00334A6B"/>
    <w:rsid w:val="00335527"/>
    <w:rsid w:val="00336D68"/>
    <w:rsid w:val="00337F40"/>
    <w:rsid w:val="00340BE4"/>
    <w:rsid w:val="00341023"/>
    <w:rsid w:val="00347CB7"/>
    <w:rsid w:val="00352EC5"/>
    <w:rsid w:val="00363930"/>
    <w:rsid w:val="00364701"/>
    <w:rsid w:val="003707B4"/>
    <w:rsid w:val="003715A0"/>
    <w:rsid w:val="00371ADF"/>
    <w:rsid w:val="003814CB"/>
    <w:rsid w:val="003822C2"/>
    <w:rsid w:val="003A0D39"/>
    <w:rsid w:val="003A37E5"/>
    <w:rsid w:val="003A3BD8"/>
    <w:rsid w:val="003A6F69"/>
    <w:rsid w:val="003D1C79"/>
    <w:rsid w:val="003D2E1B"/>
    <w:rsid w:val="003D5D14"/>
    <w:rsid w:val="003D61D0"/>
    <w:rsid w:val="003D65C6"/>
    <w:rsid w:val="003D6D7F"/>
    <w:rsid w:val="003E2C2E"/>
    <w:rsid w:val="003E4DF0"/>
    <w:rsid w:val="003E7F47"/>
    <w:rsid w:val="003F2442"/>
    <w:rsid w:val="003F2DDD"/>
    <w:rsid w:val="003F31B2"/>
    <w:rsid w:val="003F3E1B"/>
    <w:rsid w:val="003F67FD"/>
    <w:rsid w:val="003F6B4C"/>
    <w:rsid w:val="003F7018"/>
    <w:rsid w:val="0040405E"/>
    <w:rsid w:val="0040534C"/>
    <w:rsid w:val="004071AE"/>
    <w:rsid w:val="0040723F"/>
    <w:rsid w:val="00407FD7"/>
    <w:rsid w:val="00421030"/>
    <w:rsid w:val="00431217"/>
    <w:rsid w:val="0043363A"/>
    <w:rsid w:val="004366CA"/>
    <w:rsid w:val="00440829"/>
    <w:rsid w:val="00440B50"/>
    <w:rsid w:val="004607BA"/>
    <w:rsid w:val="00464BCC"/>
    <w:rsid w:val="00465363"/>
    <w:rsid w:val="00470150"/>
    <w:rsid w:val="00473D3D"/>
    <w:rsid w:val="00473F1E"/>
    <w:rsid w:val="0047434F"/>
    <w:rsid w:val="00476FED"/>
    <w:rsid w:val="00480274"/>
    <w:rsid w:val="00487085"/>
    <w:rsid w:val="00492311"/>
    <w:rsid w:val="004953A5"/>
    <w:rsid w:val="00496BD2"/>
    <w:rsid w:val="004A113D"/>
    <w:rsid w:val="004A193A"/>
    <w:rsid w:val="004A5968"/>
    <w:rsid w:val="004A5D8C"/>
    <w:rsid w:val="004B5567"/>
    <w:rsid w:val="004B5F01"/>
    <w:rsid w:val="004C7495"/>
    <w:rsid w:val="004D2402"/>
    <w:rsid w:val="004D4C66"/>
    <w:rsid w:val="004D4F38"/>
    <w:rsid w:val="004D5CFB"/>
    <w:rsid w:val="004E0FF0"/>
    <w:rsid w:val="004E2DF8"/>
    <w:rsid w:val="004E4AF5"/>
    <w:rsid w:val="004E6F43"/>
    <w:rsid w:val="004F2645"/>
    <w:rsid w:val="00500167"/>
    <w:rsid w:val="0051110B"/>
    <w:rsid w:val="00520605"/>
    <w:rsid w:val="0052323F"/>
    <w:rsid w:val="005249DF"/>
    <w:rsid w:val="00527D5C"/>
    <w:rsid w:val="005328CA"/>
    <w:rsid w:val="005347F8"/>
    <w:rsid w:val="00534ACB"/>
    <w:rsid w:val="005368B1"/>
    <w:rsid w:val="00537607"/>
    <w:rsid w:val="0054102D"/>
    <w:rsid w:val="005431A7"/>
    <w:rsid w:val="00543C39"/>
    <w:rsid w:val="00544106"/>
    <w:rsid w:val="005473F8"/>
    <w:rsid w:val="00551EBE"/>
    <w:rsid w:val="0055310A"/>
    <w:rsid w:val="00555A41"/>
    <w:rsid w:val="005561A8"/>
    <w:rsid w:val="00563829"/>
    <w:rsid w:val="005716CB"/>
    <w:rsid w:val="00580F45"/>
    <w:rsid w:val="00585039"/>
    <w:rsid w:val="00595B2A"/>
    <w:rsid w:val="00597E01"/>
    <w:rsid w:val="005A0452"/>
    <w:rsid w:val="005C1310"/>
    <w:rsid w:val="005C6E32"/>
    <w:rsid w:val="005C769E"/>
    <w:rsid w:val="005D0B45"/>
    <w:rsid w:val="005D2406"/>
    <w:rsid w:val="005D5C6B"/>
    <w:rsid w:val="005D7804"/>
    <w:rsid w:val="005E32C5"/>
    <w:rsid w:val="005E7523"/>
    <w:rsid w:val="005F2B4B"/>
    <w:rsid w:val="005F3B60"/>
    <w:rsid w:val="006011AF"/>
    <w:rsid w:val="00615AA9"/>
    <w:rsid w:val="006174CD"/>
    <w:rsid w:val="006238A4"/>
    <w:rsid w:val="00631A32"/>
    <w:rsid w:val="006354F2"/>
    <w:rsid w:val="00636617"/>
    <w:rsid w:val="0064545B"/>
    <w:rsid w:val="00652144"/>
    <w:rsid w:val="00656A8E"/>
    <w:rsid w:val="00660F87"/>
    <w:rsid w:val="00664683"/>
    <w:rsid w:val="00665AEE"/>
    <w:rsid w:val="00672294"/>
    <w:rsid w:val="0068070B"/>
    <w:rsid w:val="00686016"/>
    <w:rsid w:val="00687042"/>
    <w:rsid w:val="00687B21"/>
    <w:rsid w:val="00691687"/>
    <w:rsid w:val="00697AE6"/>
    <w:rsid w:val="006A109B"/>
    <w:rsid w:val="006A6990"/>
    <w:rsid w:val="006B07C5"/>
    <w:rsid w:val="006B0ADE"/>
    <w:rsid w:val="006B27DC"/>
    <w:rsid w:val="006B2BAF"/>
    <w:rsid w:val="006C048C"/>
    <w:rsid w:val="006C4DFD"/>
    <w:rsid w:val="006C4E5C"/>
    <w:rsid w:val="006D0418"/>
    <w:rsid w:val="006D28B2"/>
    <w:rsid w:val="006D38B8"/>
    <w:rsid w:val="006E15EF"/>
    <w:rsid w:val="006E58FB"/>
    <w:rsid w:val="006E67E5"/>
    <w:rsid w:val="006F4F8F"/>
    <w:rsid w:val="00701160"/>
    <w:rsid w:val="0071689F"/>
    <w:rsid w:val="00721722"/>
    <w:rsid w:val="00732909"/>
    <w:rsid w:val="007344E7"/>
    <w:rsid w:val="007346FB"/>
    <w:rsid w:val="007572DB"/>
    <w:rsid w:val="007621FE"/>
    <w:rsid w:val="007661FE"/>
    <w:rsid w:val="00767414"/>
    <w:rsid w:val="00770FCB"/>
    <w:rsid w:val="00772959"/>
    <w:rsid w:val="007734DB"/>
    <w:rsid w:val="00797B47"/>
    <w:rsid w:val="007A1544"/>
    <w:rsid w:val="007A2022"/>
    <w:rsid w:val="007A624E"/>
    <w:rsid w:val="007B1B84"/>
    <w:rsid w:val="007B3EA1"/>
    <w:rsid w:val="007C4E9F"/>
    <w:rsid w:val="007C50E9"/>
    <w:rsid w:val="007C518B"/>
    <w:rsid w:val="007C69B1"/>
    <w:rsid w:val="007C74EE"/>
    <w:rsid w:val="007D4CB6"/>
    <w:rsid w:val="007D7452"/>
    <w:rsid w:val="007E0098"/>
    <w:rsid w:val="007F184A"/>
    <w:rsid w:val="008000D9"/>
    <w:rsid w:val="00800D49"/>
    <w:rsid w:val="008022B2"/>
    <w:rsid w:val="00803036"/>
    <w:rsid w:val="00803315"/>
    <w:rsid w:val="00812070"/>
    <w:rsid w:val="00814223"/>
    <w:rsid w:val="00814821"/>
    <w:rsid w:val="008249ED"/>
    <w:rsid w:val="00825FA8"/>
    <w:rsid w:val="00832947"/>
    <w:rsid w:val="00835007"/>
    <w:rsid w:val="0083503E"/>
    <w:rsid w:val="008376C1"/>
    <w:rsid w:val="00837FC5"/>
    <w:rsid w:val="00843A50"/>
    <w:rsid w:val="00861AA0"/>
    <w:rsid w:val="00862319"/>
    <w:rsid w:val="00875397"/>
    <w:rsid w:val="00877003"/>
    <w:rsid w:val="00881647"/>
    <w:rsid w:val="008820A4"/>
    <w:rsid w:val="00894349"/>
    <w:rsid w:val="00895BF1"/>
    <w:rsid w:val="008A180C"/>
    <w:rsid w:val="008A6777"/>
    <w:rsid w:val="008A716B"/>
    <w:rsid w:val="008B2907"/>
    <w:rsid w:val="008B2F63"/>
    <w:rsid w:val="008B4AF3"/>
    <w:rsid w:val="008D0C6C"/>
    <w:rsid w:val="008D4A38"/>
    <w:rsid w:val="008D67BA"/>
    <w:rsid w:val="008E0044"/>
    <w:rsid w:val="008E2BA2"/>
    <w:rsid w:val="008E334A"/>
    <w:rsid w:val="008E4DEF"/>
    <w:rsid w:val="008E503D"/>
    <w:rsid w:val="008E62A3"/>
    <w:rsid w:val="008F1E2C"/>
    <w:rsid w:val="008F2634"/>
    <w:rsid w:val="008F5AD0"/>
    <w:rsid w:val="00901769"/>
    <w:rsid w:val="00905226"/>
    <w:rsid w:val="00906B1E"/>
    <w:rsid w:val="00907BF3"/>
    <w:rsid w:val="00910C54"/>
    <w:rsid w:val="0092408A"/>
    <w:rsid w:val="009305E1"/>
    <w:rsid w:val="009358B6"/>
    <w:rsid w:val="00942733"/>
    <w:rsid w:val="00942F28"/>
    <w:rsid w:val="00943BC8"/>
    <w:rsid w:val="00957F25"/>
    <w:rsid w:val="009650AB"/>
    <w:rsid w:val="009715E0"/>
    <w:rsid w:val="00971D78"/>
    <w:rsid w:val="00972006"/>
    <w:rsid w:val="00982B6A"/>
    <w:rsid w:val="00983057"/>
    <w:rsid w:val="00987EB4"/>
    <w:rsid w:val="009932C5"/>
    <w:rsid w:val="009A514A"/>
    <w:rsid w:val="009A64E8"/>
    <w:rsid w:val="009B0358"/>
    <w:rsid w:val="009C06C6"/>
    <w:rsid w:val="009C080F"/>
    <w:rsid w:val="009C68D6"/>
    <w:rsid w:val="009D53FF"/>
    <w:rsid w:val="009D6881"/>
    <w:rsid w:val="009E307E"/>
    <w:rsid w:val="009E711C"/>
    <w:rsid w:val="009E77B0"/>
    <w:rsid w:val="009E7907"/>
    <w:rsid w:val="009F0870"/>
    <w:rsid w:val="00A00F80"/>
    <w:rsid w:val="00A044E7"/>
    <w:rsid w:val="00A05005"/>
    <w:rsid w:val="00A226FC"/>
    <w:rsid w:val="00A33508"/>
    <w:rsid w:val="00A4593A"/>
    <w:rsid w:val="00A50025"/>
    <w:rsid w:val="00A5042B"/>
    <w:rsid w:val="00A50D59"/>
    <w:rsid w:val="00A5294D"/>
    <w:rsid w:val="00A61850"/>
    <w:rsid w:val="00A72A37"/>
    <w:rsid w:val="00A76620"/>
    <w:rsid w:val="00A96BF1"/>
    <w:rsid w:val="00AA0BAF"/>
    <w:rsid w:val="00AA4B06"/>
    <w:rsid w:val="00AA6FB9"/>
    <w:rsid w:val="00AB3E34"/>
    <w:rsid w:val="00AB4426"/>
    <w:rsid w:val="00AC19D6"/>
    <w:rsid w:val="00AC23A3"/>
    <w:rsid w:val="00AC2912"/>
    <w:rsid w:val="00AC7654"/>
    <w:rsid w:val="00AD322A"/>
    <w:rsid w:val="00AD7D18"/>
    <w:rsid w:val="00AE118F"/>
    <w:rsid w:val="00AE78FD"/>
    <w:rsid w:val="00B10B1C"/>
    <w:rsid w:val="00B14849"/>
    <w:rsid w:val="00B16E1A"/>
    <w:rsid w:val="00B263BB"/>
    <w:rsid w:val="00B31291"/>
    <w:rsid w:val="00B31823"/>
    <w:rsid w:val="00B32C7D"/>
    <w:rsid w:val="00B332B6"/>
    <w:rsid w:val="00B33E43"/>
    <w:rsid w:val="00B3563C"/>
    <w:rsid w:val="00B451AD"/>
    <w:rsid w:val="00B557F1"/>
    <w:rsid w:val="00B65098"/>
    <w:rsid w:val="00B72902"/>
    <w:rsid w:val="00B7466E"/>
    <w:rsid w:val="00B768C2"/>
    <w:rsid w:val="00B808C4"/>
    <w:rsid w:val="00B80B2D"/>
    <w:rsid w:val="00B81097"/>
    <w:rsid w:val="00B87CE9"/>
    <w:rsid w:val="00B978A9"/>
    <w:rsid w:val="00BA057D"/>
    <w:rsid w:val="00BA14C7"/>
    <w:rsid w:val="00BB1A41"/>
    <w:rsid w:val="00BB681F"/>
    <w:rsid w:val="00BB7AC8"/>
    <w:rsid w:val="00BD27C6"/>
    <w:rsid w:val="00BD29D1"/>
    <w:rsid w:val="00BD72D0"/>
    <w:rsid w:val="00BE3B21"/>
    <w:rsid w:val="00BF115D"/>
    <w:rsid w:val="00BF4D05"/>
    <w:rsid w:val="00BF5B57"/>
    <w:rsid w:val="00C05603"/>
    <w:rsid w:val="00C06673"/>
    <w:rsid w:val="00C12024"/>
    <w:rsid w:val="00C14FD5"/>
    <w:rsid w:val="00C234C1"/>
    <w:rsid w:val="00C302E3"/>
    <w:rsid w:val="00C30EBC"/>
    <w:rsid w:val="00C35896"/>
    <w:rsid w:val="00C37BFD"/>
    <w:rsid w:val="00C401C9"/>
    <w:rsid w:val="00C51B2B"/>
    <w:rsid w:val="00C51E71"/>
    <w:rsid w:val="00C5342B"/>
    <w:rsid w:val="00C53F27"/>
    <w:rsid w:val="00C57926"/>
    <w:rsid w:val="00C62BF0"/>
    <w:rsid w:val="00C6655A"/>
    <w:rsid w:val="00C73A7A"/>
    <w:rsid w:val="00C81B18"/>
    <w:rsid w:val="00C82439"/>
    <w:rsid w:val="00C830EE"/>
    <w:rsid w:val="00C86E5B"/>
    <w:rsid w:val="00C86F84"/>
    <w:rsid w:val="00C90D6A"/>
    <w:rsid w:val="00C92AB6"/>
    <w:rsid w:val="00C931FF"/>
    <w:rsid w:val="00C93F16"/>
    <w:rsid w:val="00C94A1B"/>
    <w:rsid w:val="00C970D8"/>
    <w:rsid w:val="00C978FA"/>
    <w:rsid w:val="00CA3CED"/>
    <w:rsid w:val="00CB19C4"/>
    <w:rsid w:val="00CB483C"/>
    <w:rsid w:val="00CB5341"/>
    <w:rsid w:val="00CC2B33"/>
    <w:rsid w:val="00CC518D"/>
    <w:rsid w:val="00CD02A3"/>
    <w:rsid w:val="00CD6A97"/>
    <w:rsid w:val="00CF52B1"/>
    <w:rsid w:val="00D03679"/>
    <w:rsid w:val="00D04BF4"/>
    <w:rsid w:val="00D12EC5"/>
    <w:rsid w:val="00D1652E"/>
    <w:rsid w:val="00D23895"/>
    <w:rsid w:val="00D27F2E"/>
    <w:rsid w:val="00D31150"/>
    <w:rsid w:val="00D50AB9"/>
    <w:rsid w:val="00D56BA6"/>
    <w:rsid w:val="00D624A6"/>
    <w:rsid w:val="00D658E7"/>
    <w:rsid w:val="00D66F02"/>
    <w:rsid w:val="00D6792C"/>
    <w:rsid w:val="00D81C2E"/>
    <w:rsid w:val="00D914B1"/>
    <w:rsid w:val="00D939F8"/>
    <w:rsid w:val="00D975FF"/>
    <w:rsid w:val="00DA4A27"/>
    <w:rsid w:val="00DA6D13"/>
    <w:rsid w:val="00DB2C08"/>
    <w:rsid w:val="00DC1734"/>
    <w:rsid w:val="00DC2D4E"/>
    <w:rsid w:val="00DD185A"/>
    <w:rsid w:val="00DD2B29"/>
    <w:rsid w:val="00DD4807"/>
    <w:rsid w:val="00DD50EF"/>
    <w:rsid w:val="00DD61D8"/>
    <w:rsid w:val="00DE3699"/>
    <w:rsid w:val="00DF12E1"/>
    <w:rsid w:val="00DF15CB"/>
    <w:rsid w:val="00E01518"/>
    <w:rsid w:val="00E161FF"/>
    <w:rsid w:val="00E17800"/>
    <w:rsid w:val="00E22B4B"/>
    <w:rsid w:val="00E30E32"/>
    <w:rsid w:val="00E35F34"/>
    <w:rsid w:val="00E376BC"/>
    <w:rsid w:val="00E4573F"/>
    <w:rsid w:val="00E46A00"/>
    <w:rsid w:val="00E51004"/>
    <w:rsid w:val="00E53520"/>
    <w:rsid w:val="00E61BAD"/>
    <w:rsid w:val="00E62355"/>
    <w:rsid w:val="00E6601D"/>
    <w:rsid w:val="00E67421"/>
    <w:rsid w:val="00E679B5"/>
    <w:rsid w:val="00E73F23"/>
    <w:rsid w:val="00E76451"/>
    <w:rsid w:val="00E8321F"/>
    <w:rsid w:val="00E858D5"/>
    <w:rsid w:val="00E90F3C"/>
    <w:rsid w:val="00E97708"/>
    <w:rsid w:val="00EA2E50"/>
    <w:rsid w:val="00EA64D1"/>
    <w:rsid w:val="00EA7D77"/>
    <w:rsid w:val="00EB2511"/>
    <w:rsid w:val="00EB4E94"/>
    <w:rsid w:val="00EC1EEA"/>
    <w:rsid w:val="00EC2414"/>
    <w:rsid w:val="00EC65D9"/>
    <w:rsid w:val="00ED18BA"/>
    <w:rsid w:val="00ED22B4"/>
    <w:rsid w:val="00ED3C4A"/>
    <w:rsid w:val="00ED51E4"/>
    <w:rsid w:val="00EE065F"/>
    <w:rsid w:val="00EE40D8"/>
    <w:rsid w:val="00EF210C"/>
    <w:rsid w:val="00EF6903"/>
    <w:rsid w:val="00F055FA"/>
    <w:rsid w:val="00F11097"/>
    <w:rsid w:val="00F137CF"/>
    <w:rsid w:val="00F13A5F"/>
    <w:rsid w:val="00F21EE2"/>
    <w:rsid w:val="00F227B5"/>
    <w:rsid w:val="00F251EA"/>
    <w:rsid w:val="00F25FE9"/>
    <w:rsid w:val="00F2646C"/>
    <w:rsid w:val="00F270D8"/>
    <w:rsid w:val="00F27ABB"/>
    <w:rsid w:val="00F368DF"/>
    <w:rsid w:val="00F52296"/>
    <w:rsid w:val="00F55C8F"/>
    <w:rsid w:val="00F67080"/>
    <w:rsid w:val="00F67562"/>
    <w:rsid w:val="00F72DA3"/>
    <w:rsid w:val="00F72DBD"/>
    <w:rsid w:val="00F730EA"/>
    <w:rsid w:val="00F814C9"/>
    <w:rsid w:val="00F87CDD"/>
    <w:rsid w:val="00F916FC"/>
    <w:rsid w:val="00F9218A"/>
    <w:rsid w:val="00FA19D6"/>
    <w:rsid w:val="00FA537A"/>
    <w:rsid w:val="00FA6B59"/>
    <w:rsid w:val="00FB1ADF"/>
    <w:rsid w:val="00FC06C0"/>
    <w:rsid w:val="00FC4767"/>
    <w:rsid w:val="00FC51E0"/>
    <w:rsid w:val="00FD2201"/>
    <w:rsid w:val="00FE1C93"/>
    <w:rsid w:val="00FE2B2C"/>
    <w:rsid w:val="00FE42F2"/>
    <w:rsid w:val="00FE7C16"/>
    <w:rsid w:val="00FF17F8"/>
    <w:rsid w:val="00FF26A0"/>
    <w:rsid w:val="00FF3C70"/>
    <w:rsid w:val="00FF537D"/>
    <w:rsid w:val="00FF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492344-5EBC-434A-A7F5-A6B041912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6B1E"/>
    <w:pPr>
      <w:spacing w:after="0" w:line="240" w:lineRule="auto"/>
    </w:pPr>
    <w:rPr>
      <w:kern w:val="2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977</Characters>
  <Application>Microsoft Office Word</Application>
  <DocSecurity>0</DocSecurity>
  <Lines>8</Lines>
  <Paragraphs>2</Paragraphs>
  <ScaleCrop>false</ScaleCrop>
  <Company>HP Inc.</Company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Nithya sudalai</dc:creator>
  <cp:keywords/>
  <dc:description/>
  <cp:lastModifiedBy>Nithya sudalai</cp:lastModifiedBy>
  <cp:revision>1</cp:revision>
  <dcterms:created xsi:type="dcterms:W3CDTF">2024-12-27T05:30:00Z</dcterms:created>
  <dcterms:modified xsi:type="dcterms:W3CDTF">2024-12-27T05:30:00Z</dcterms:modified>
</cp:coreProperties>
</file>