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CE1" w:rsidRPr="003913FD" w:rsidRDefault="00086CE1" w:rsidP="00086CE1">
      <w:pPr>
        <w:pStyle w:val="Heading1"/>
        <w:rPr>
          <w:color w:val="auto"/>
        </w:rPr>
      </w:pPr>
      <w:r w:rsidRPr="003913FD">
        <w:rPr>
          <w:color w:val="auto"/>
        </w:rPr>
        <w:t>Supplementary Material – Measurement Details for Each Participating Team</w:t>
      </w:r>
    </w:p>
    <w:p w:rsidR="00086CE1" w:rsidRPr="003913FD" w:rsidRDefault="00086CE1" w:rsidP="00086CE1">
      <w:pPr>
        <w:pStyle w:val="Heading2"/>
      </w:pPr>
      <w:r w:rsidRPr="003913FD">
        <w:t>University of Rostock (UR)</w:t>
      </w:r>
    </w:p>
    <w:p w:rsidR="00086CE1" w:rsidRPr="003913FD" w:rsidRDefault="00086CE1" w:rsidP="00086CE1">
      <w:pPr>
        <w:pStyle w:val="PaperBody"/>
      </w:pPr>
      <w:r w:rsidRPr="003913FD">
        <w:t>The closed-loop flow system was fed from a 600 L reservoir tank. The fluid temperature in the tank was maintained using an immersion chiller. Flowrates and temperatures in both the main and jet streams were measured using SM6020 and SM4020 flow sensors (IFM, Bochum, Germany), respectively. These sensors provided a flowrate tolerance of ±1% and a temperature precision of ±0.5 K. Additionally, a fiberoptic temperature sensor with a precision of ±0.15 K was placed shortly upstream of the measurement section in the jet line to ensure accurate temperature control (Opsens Solutions Inc, Quebec, Canada). To monitor contamination of the fluid during MRC scans, a conductivity sensor (Conrad Electronic SE, Hirschau, Germany) with a precision of ±1% was used.</w:t>
      </w:r>
    </w:p>
    <w:p w:rsidR="00086CE1" w:rsidRPr="003913FD" w:rsidRDefault="00086CE1" w:rsidP="00086CE1">
      <w:pPr>
        <w:pStyle w:val="PaperBody"/>
      </w:pPr>
      <w:r w:rsidRPr="003913FD">
        <w:t>For the baseline configuration, the tank was filled with deionized water containing 0.006 mol/L CuSO₄ for MRV and MRT. Both pumps drew directly from the tank, and the return fluid was recirculated, forming a closed-loop system. This configuration was used for all MRV measurements. For MRC, the reference concentration was 0.01 mol/l CuSO₄. This concentration was determined through calibration scans, identifying it as the upper limit of the linear range in which the MRI signal magnitude remains linearly proportional to concentration. Within this range, the deviation from linearity was less than 2%. At this concentration, changes in fluid properties were minimal, with density variation below 1% and kinematic viscosity variation around 2%.</w:t>
      </w:r>
    </w:p>
    <w:p w:rsidR="00086CE1" w:rsidRPr="003913FD" w:rsidRDefault="00086CE1" w:rsidP="00086CE1">
      <w:pPr>
        <w:pStyle w:val="PaperBody"/>
      </w:pPr>
      <w:r w:rsidRPr="003913FD">
        <w:t>MRT scans were conducted in an interleaved manner, alternating between heated and nonheated conditions, to mitigate thermal accumulation in the flow loop and minimize magnetic field drift between scan types. For nonheated scans, the baseline setup was used without modifications. Heated scans were performed by supplying the jet flow from a separate tank containing preheated fluid. Although the fluid temperature differed, its composition and flowrate were consistent with the baseline. After each switch between tanks, measurements started only after the fiberoptic sensor confirmed stable jet flow temperatures.</w:t>
      </w:r>
    </w:p>
    <w:p w:rsidR="00086CE1" w:rsidRPr="003913FD" w:rsidRDefault="00086CE1" w:rsidP="00086CE1">
      <w:pPr>
        <w:pStyle w:val="PaperBody"/>
        <w:rPr>
          <w:rFonts w:asciiTheme="minorHAnsi" w:hAnsiTheme="minorHAnsi"/>
          <w:sz w:val="24"/>
        </w:rPr>
      </w:pPr>
      <w:r w:rsidRPr="003913FD">
        <w:t xml:space="preserve">Reference, background, and standard scans for MRC were performed. For the standard MRC scans, the jet </w:t>
      </w:r>
      <w:r w:rsidRPr="003913FD">
        <w:t xml:space="preserve">flow was supplied from a separate tank containing 0.01 mol/L CuSO₄, whereas the main tank initially contained deionized water. As a result of recirculation, CuSO₄ concentration in the main tank gradually increased during the measurement, introducing a bias that was corrected during post-processing. To reduce this contamination, the tank capacity was increased to 1,200 L. Additionally, the fluid in the main tank was replaced whenever the </w:t>
      </w:r>
      <w:bookmarkStart w:id="0" w:name="_Hlk208923204"/>
      <w:r w:rsidRPr="003913FD">
        <w:t>CuSO₄</w:t>
      </w:r>
      <w:bookmarkEnd w:id="0"/>
      <w:r w:rsidRPr="003913FD">
        <w:t xml:space="preserve"> concentration exceeded 0.0007 mol/L, ensuring a maximum background concentration of 7% relative to the jet flow.</w:t>
      </w:r>
    </w:p>
    <w:p w:rsidR="00086CE1" w:rsidRPr="003913FD" w:rsidRDefault="00086CE1" w:rsidP="00086CE1">
      <w:pPr>
        <w:pStyle w:val="PaperBody"/>
      </w:pPr>
      <w:r w:rsidRPr="003913FD">
        <w:t xml:space="preserve">Identical MRI sequences and field-of-view (FOV) settings were used for all MRV, MRC, and MRT measurements. Main sequence parameters are summarized in </w:t>
      </w:r>
      <w:r>
        <w:fldChar w:fldCharType="begin"/>
      </w:r>
      <w:r>
        <w:instrText xml:space="preserve"> REF _Ref227833423 \h  \* MERGEFORMAT </w:instrText>
      </w:r>
      <w:r>
        <w:fldChar w:fldCharType="separate"/>
      </w:r>
      <w:r w:rsidRPr="009A3A51">
        <w:rPr>
          <w:bCs w:val="0"/>
        </w:rPr>
        <w:t xml:space="preserve">Table </w:t>
      </w:r>
      <w:r w:rsidRPr="009A3A51">
        <w:rPr>
          <w:bCs w:val="0"/>
          <w:noProof/>
        </w:rPr>
        <w:t>2</w:t>
      </w:r>
      <w:r>
        <w:fldChar w:fldCharType="end"/>
      </w:r>
      <w:r w:rsidRPr="003913FD">
        <w:t>. The employed sequence was a velocity-sensitive gradient-recalled echo modified to reduce flow-related artifacts. It used 4</w:t>
      </w:r>
      <w:r w:rsidRPr="003913FD">
        <w:noBreakHyphen/>
        <w:t>point VENC, high receiver bandwidth, and partial readout with an echo asymmetry factor of 15%.</w:t>
      </w:r>
    </w:p>
    <w:p w:rsidR="00086CE1" w:rsidRPr="003913FD" w:rsidRDefault="00086CE1" w:rsidP="00086CE1">
      <w:pPr>
        <w:pStyle w:val="PaperBody"/>
      </w:pPr>
      <w:r w:rsidRPr="003913FD">
        <w:t>For MRV, the isotropic spatial resolution was set to 0.5 mm. Additional scans with inverted readout gradients were conducted to capture both sides of the echo, and the partial k-spaces were combined according to Romig et al. (2025) [4]. MRC and MRT scans were acquired using velocity-compensated sequences without inverted readouts. These were acquired at 1.0 mm resolution and subsequently zero-filled in k-space to yield an isotropic resolution of 0.5 mm. Commissioning tests confirmed that neither the zero-filling nor the partial echo reconstruction introduced significant errors. For MRC, 28 repetitions were conducted for each of the background, reference, and standard scans, resulting in a total acquisition time of 4 h 9 min. For MRT, 7 interleaved cycles of 4 heated and 4 nonheated scans (28 repetitions in total for both heated and nonheated scans) were performed, totaling 2 h 45 min of acquisition time. MRV was repeated 10 times with the flow on and twice with the flow off to correct for the background phase. The total measurement time for MRV was approximately 4 h.</w:t>
      </w:r>
    </w:p>
    <w:p w:rsidR="00086CE1" w:rsidRPr="003913FD" w:rsidRDefault="00086CE1" w:rsidP="00086CE1">
      <w:pPr>
        <w:pStyle w:val="PaperBody"/>
        <w:rPr>
          <w:u w:val="single"/>
        </w:rPr>
      </w:pPr>
      <w:r w:rsidRPr="003913FD">
        <w:rPr>
          <w:u w:val="single"/>
        </w:rPr>
        <w:t>Reconstruction</w:t>
      </w:r>
    </w:p>
    <w:p w:rsidR="00086CE1" w:rsidRPr="003913FD" w:rsidRDefault="00086CE1" w:rsidP="00086CE1">
      <w:pPr>
        <w:pStyle w:val="PaperBody"/>
      </w:pPr>
      <w:r w:rsidRPr="003913FD">
        <w:t xml:space="preserve">MRV: Velocity fields were reconstructed using the standard phase-difference method from the four encoding steps. Background phase errors were removed using scans acquired with stationary fluid. MRT: Temperature differences between heated and nonheated scans were derived from phase differences following the method of </w:t>
      </w:r>
      <w:r w:rsidRPr="003913FD">
        <w:fldChar w:fldCharType="begin"/>
      </w:r>
      <w:r>
        <w:instrText xml:space="preserve"> ADDIN EN.CITE &lt;EndNote&gt;&lt;Cite&gt;&lt;Author&gt;Bruschewski&lt;/Author&gt;&lt;Year&gt;2016&lt;/Year&gt;&lt;RecNum&gt;249&lt;/RecNum&gt;&lt;DisplayText&gt;[33]&lt;/DisplayText&gt;&lt;record&gt;&lt;rec-number&gt;249&lt;/rec-number&gt;&lt;foreign-keys&gt;&lt;key app="EN" db-id="0rf0eeefpsx2aqedxs6pzpzu5drept20tv5d" timestamp="1745425658" guid="d59e10f1-c0b1-4f54-996f-e5106c9f4696"&gt;249&lt;/key&gt;&lt;/foreign-keys&gt;&lt;ref-type name="Journal Article"&gt;17&lt;/ref-type&gt;&lt;contributors&gt;&lt;authors&gt;&lt;author&gt;Bruschewski, Martin&lt;/author&gt;&lt;author&gt;Freudenhammer, Daniel&lt;/author&gt;&lt;author&gt;Buchenberg, Waltraud B.&lt;/author&gt;&lt;author&gt;Schiffer, Heinz-Peter&lt;/author&gt;&lt;author&gt;Grundmann, Sven&lt;/author&gt;&lt;/authors&gt;&lt;/contributors&gt;&lt;titles&gt;&lt;title&gt;Estimation of the measurement uncertainty in magnetic resonance velocimetry based on statistical models&lt;/title&gt;&lt;secondary-title&gt;Experiments in Fluids&lt;/secondary-title&gt;&lt;/titles&gt;&lt;periodical&gt;&lt;full-title&gt;Experiments in Fluids&lt;/full-title&gt;&lt;/periodical&gt;&lt;pages&gt;83&lt;/pages&gt;&lt;volume&gt;57&lt;/volume&gt;&lt;number&gt;5&lt;/number&gt;&lt;dates&gt;&lt;year&gt;2016&lt;/year&gt;&lt;pub-dates&gt;&lt;date&gt;2016/05/04&lt;/date&gt;&lt;/pub-dates&gt;&lt;/dates&gt;&lt;isbn&gt;1432-1114&lt;/isbn&gt;&lt;urls&gt;&lt;related-urls&gt;&lt;url&gt;https://doi.org/10.1007/s00348-016-2163-3&lt;/url&gt;&lt;/related-urls&gt;&lt;/urls&gt;&lt;electronic-resource-num&gt;10.1007/s00348-016-2163-3&lt;/electronic-resource-num&gt;&lt;/record&gt;&lt;/Cite&gt;&lt;/EndNote&gt;</w:instrText>
      </w:r>
      <w:r w:rsidRPr="003913FD">
        <w:fldChar w:fldCharType="separate"/>
      </w:r>
      <w:r>
        <w:rPr>
          <w:noProof/>
        </w:rPr>
        <w:t>[33]</w:t>
      </w:r>
      <w:r w:rsidRPr="003913FD">
        <w:fldChar w:fldCharType="end"/>
      </w:r>
      <w:r w:rsidRPr="003913FD">
        <w:t xml:space="preserve">. The phase drift was corrected by subtracting the mean phase in an upstream region unaffected by heating. This correction was performed separately for each of the seven scan pairs. MRC: All data were normalized to the signal of a stationary reference phantom placed near the main </w:t>
      </w:r>
      <w:r w:rsidRPr="003913FD">
        <w:lastRenderedPageBreak/>
        <w:t xml:space="preserve">channel. Concentration fields were reconstructed based on the method of </w:t>
      </w:r>
      <w:r w:rsidRPr="003913FD">
        <w:fldChar w:fldCharType="begin"/>
      </w:r>
      <w:r w:rsidRPr="003913FD">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fldChar w:fldCharType="separate"/>
      </w:r>
      <w:r w:rsidRPr="003913FD">
        <w:rPr>
          <w:noProof/>
        </w:rPr>
        <w:t>[12]</w:t>
      </w:r>
      <w:r w:rsidRPr="003913FD">
        <w:fldChar w:fldCharType="end"/>
      </w:r>
      <w:r w:rsidRPr="003913FD">
        <w:t xml:space="preserve"> using the background, reference, and standard scans. Corrections for increasing background concentration in the main channel were applied based on the contamination model also as proposed in </w:t>
      </w:r>
      <w:r w:rsidRPr="003913FD">
        <w:fldChar w:fldCharType="begin"/>
      </w:r>
      <w:r w:rsidRPr="003913FD">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fldChar w:fldCharType="separate"/>
      </w:r>
      <w:r w:rsidRPr="003913FD">
        <w:rPr>
          <w:noProof/>
        </w:rPr>
        <w:t>[12]</w:t>
      </w:r>
      <w:r w:rsidRPr="003913FD">
        <w:fldChar w:fldCharType="end"/>
      </w:r>
      <w:r w:rsidRPr="003913FD">
        <w:t>.</w:t>
      </w:r>
    </w:p>
    <w:p w:rsidR="00086CE1" w:rsidRPr="003913FD" w:rsidRDefault="00086CE1" w:rsidP="00086CE1">
      <w:pPr>
        <w:pStyle w:val="PaperBody"/>
      </w:pPr>
      <w:r w:rsidRPr="003913FD">
        <w:t xml:space="preserve">Measurement uncertainties for MRV, MRT, and MRC were estimated using the difference method described by Bruschewski et al. </w:t>
      </w:r>
      <w:r w:rsidRPr="003913FD">
        <w:fldChar w:fldCharType="begin"/>
      </w:r>
      <w:r>
        <w:instrText xml:space="preserve"> ADDIN EN.CITE &lt;EndNote&gt;&lt;Cite&gt;&lt;Author&gt;Bruschewski&lt;/Author&gt;&lt;Year&gt;2016&lt;/Year&gt;&lt;RecNum&gt;249&lt;/RecNum&gt;&lt;DisplayText&gt;[33]&lt;/DisplayText&gt;&lt;record&gt;&lt;rec-number&gt;249&lt;/rec-number&gt;&lt;foreign-keys&gt;&lt;key app="EN" db-id="0rf0eeefpsx2aqedxs6pzpzu5drept20tv5d" timestamp="1745425658" guid="d59e10f1-c0b1-4f54-996f-e5106c9f4696"&gt;249&lt;/key&gt;&lt;/foreign-keys&gt;&lt;ref-type name="Journal Article"&gt;17&lt;/ref-type&gt;&lt;contributors&gt;&lt;authors&gt;&lt;author&gt;Bruschewski, Martin&lt;/author&gt;&lt;author&gt;Freudenhammer, Daniel&lt;/author&gt;&lt;author&gt;Buchenberg, Waltraud B.&lt;/author&gt;&lt;author&gt;Schiffer, Heinz-Peter&lt;/author&gt;&lt;author&gt;Grundmann, Sven&lt;/author&gt;&lt;/authors&gt;&lt;/contributors&gt;&lt;titles&gt;&lt;title&gt;Estimation of the measurement uncertainty in magnetic resonance velocimetry based on statistical models&lt;/title&gt;&lt;secondary-title&gt;Experiments in Fluids&lt;/secondary-title&gt;&lt;/titles&gt;&lt;periodical&gt;&lt;full-title&gt;Experiments in Fluids&lt;/full-title&gt;&lt;/periodical&gt;&lt;pages&gt;83&lt;/pages&gt;&lt;volume&gt;57&lt;/volume&gt;&lt;number&gt;5&lt;/number&gt;&lt;dates&gt;&lt;year&gt;2016&lt;/year&gt;&lt;pub-dates&gt;&lt;date&gt;2016/05/04&lt;/date&gt;&lt;/pub-dates&gt;&lt;/dates&gt;&lt;isbn&gt;1432-1114&lt;/isbn&gt;&lt;urls&gt;&lt;related-urls&gt;&lt;url&gt;https://doi.org/10.1007/s00348-016-2163-3&lt;/url&gt;&lt;/related-urls&gt;&lt;/urls&gt;&lt;electronic-resource-num&gt;10.1007/s00348-016-2163-3&lt;/electronic-resource-num&gt;&lt;/record&gt;&lt;/Cite&gt;&lt;/EndNote&gt;</w:instrText>
      </w:r>
      <w:r w:rsidRPr="003913FD">
        <w:fldChar w:fldCharType="separate"/>
      </w:r>
      <w:r>
        <w:rPr>
          <w:noProof/>
        </w:rPr>
        <w:t>[33]</w:t>
      </w:r>
      <w:r w:rsidRPr="003913FD">
        <w:fldChar w:fldCharType="end"/>
      </w:r>
      <w:r w:rsidRPr="003913FD">
        <w:t>. The standard deviation in velocity measurements was 0.02 m/s, corresponding to approximately 3% of the bulk velocity. The MRC uncertainty was 0.46%, and MRT yielded a relative uncertainty of 3.3% for the normalized temperature values. Sensor tolerances contributed to uncertainties in boundary conditions. The flowmeter tolerance (±1%) led to a bulk velocity uncertainty of 0.006 m/s for the main channel and 0.007 m/s for the jet. The sensor’s temperature uncertainty introduces additional uncertainty in the MRT results of 0.8%. For MRC, the exact concentration boundary condition does not influence uncertainty if it is constant and within the linear range. The maximum deviation from the linear range was below 2%, as mentioned earlier. This number can serve as a conservative estimate of the MRC’s boundary condition uncertainty.</w:t>
      </w:r>
      <w:r w:rsidRPr="003913FD">
        <w:rPr>
          <w:rFonts w:eastAsia="Times New Roman" w:cs="Times New Roman"/>
          <w:sz w:val="24"/>
        </w:rPr>
        <w:t xml:space="preserve"> </w:t>
      </w:r>
    </w:p>
    <w:p w:rsidR="00086CE1" w:rsidRPr="003913FD" w:rsidRDefault="00086CE1" w:rsidP="00086CE1">
      <w:pPr>
        <w:pStyle w:val="Heading2"/>
      </w:pPr>
      <w:r w:rsidRPr="003913FD">
        <w:t>Oak Ridge National Laboratory (ORNL)</w:t>
      </w:r>
    </w:p>
    <w:p w:rsidR="00086CE1" w:rsidRPr="003913FD" w:rsidRDefault="00086CE1" w:rsidP="00086CE1">
      <w:pPr>
        <w:pStyle w:val="PaperBody"/>
      </w:pPr>
      <w:r w:rsidRPr="003913FD">
        <w:t>The setup for MRV consisted of a closed-loop flow system. The CuSO₄–water solution was maintained at temperature using a stainless steel coil immersed in the flow and fed by a ThermoFisher TF14 air-cooled recirculating chiller. A 90 L reservoir supplied water to two pumps: a Finish Thompson DB6HP-M226 centrifugal pump supplied the main flow, and a Little Giant 582002 4-MD magnetic drive centrifugal pump supplied the injector flow. Kobold DUK-12N4HC3T00 and 12NBHC3T00 flowmeters were used to monitor the flowrate and temperature of the primary and injector flows, respectively, for MRV testing. Gate valves were used to manually control the flowrate to the desired values.</w:t>
      </w:r>
    </w:p>
    <w:p w:rsidR="00086CE1" w:rsidRPr="003913FD" w:rsidRDefault="00086CE1" w:rsidP="00086CE1">
      <w:pPr>
        <w:pStyle w:val="PaperBody"/>
      </w:pPr>
      <w:r w:rsidRPr="003913FD">
        <w:t xml:space="preserve">The flow loop for MRC was similar but included additional components to support the multiple configurations required for a full MRC experiment. Each pump was connected to both the 90 L reservoir and a chained pair of 250 L reservoirs, with T-valves used to switch each pump’s supply independently. A valve was also included on the return line so that the return flow could be moved between the two inlet reservoirs and a 200 L, open-topped plastic waste drum. The flowmeters were replaced with Transonic Systems T402-TT two-channel meter and ME10PXL and ME6PXL flow probes. During standard runs, plain water was added to the 250 L reservoirs from </w:t>
      </w:r>
      <w:r w:rsidRPr="003913FD">
        <w:t xml:space="preserve">additional barrels via drum pump, and waste solution was removed into empty barrels via a Little Giant 1/2 hp (0.37 kW) centrifugal pump to prevent any level of flow contamination. In addition to standard, two additional cases termed </w:t>
      </w:r>
      <w:r w:rsidRPr="003913FD">
        <w:rPr>
          <w:i/>
          <w:iCs/>
        </w:rPr>
        <w:t>standard-high</w:t>
      </w:r>
      <w:r w:rsidRPr="003913FD">
        <w:t xml:space="preserve"> and </w:t>
      </w:r>
      <w:r w:rsidRPr="003913FD">
        <w:rPr>
          <w:i/>
          <w:iCs/>
        </w:rPr>
        <w:t>super-high</w:t>
      </w:r>
      <w:r w:rsidRPr="003913FD">
        <w:t xml:space="preserve"> were used to obtain higher-resolution MRC data at concentrations less than 15% and 5%, respectively.</w:t>
      </w:r>
    </w:p>
    <w:p w:rsidR="00086CE1" w:rsidRPr="003913FD" w:rsidRDefault="00086CE1" w:rsidP="00086CE1">
      <w:pPr>
        <w:pStyle w:val="PaperBody"/>
      </w:pPr>
      <w:r w:rsidRPr="003913FD">
        <w:t xml:space="preserve">MRV data were obtained on a Philips 3T MR 77000 system located at the Vanderbilt University Institute for Imaging Sciences in Nashville, Tennessee, USA. The system was running software release 5.9. The gtPackNGo patch and data export tool (Gyrotools LLC, Zurich, Switzerland) were used to copy raw data to an external drive and laptop. The 16-channel head/neck receive coil was used with an isotropic scan resolution of 0.7 mm through the test section, yielding an acquired matrix size of 368 × 132 × 60. Radio frequency (RF) transmit was performed using the body coil. The scan sequence was a standard, 3D, T1-weighted gradient echo (FFE) sequence set to minimum TE and TR with partial readout, elliptical k-space filter, and “quantitative flow” enabled. The water-fat shift was set to 1.258 pixels (this equates to a setting of 62.5 kHz on a GE system). The MRV data were obtained by first measuring a flow-off case, followed by a set of 3 flow-on cases, and repeating until 15 flow-on and 6 flow-off scans were complete. Python and Gyrotools’ ReconFrame software were used to reconstruct a single flow-on and flow-off image after averaging all like cases together in k-space. The velocity field correction described in </w:t>
      </w:r>
      <w:r w:rsidRPr="003913FD">
        <w:fldChar w:fldCharType="begin"/>
      </w:r>
      <w:r>
        <w:instrText xml:space="preserve"> ADDIN EN.CITE &lt;EndNote&gt;&lt;Cite&gt;&lt;Author&gt;Schiavazzi&lt;/Author&gt;&lt;Year&gt;2014&lt;/Year&gt;&lt;RecNum&gt;291&lt;/RecNum&gt;&lt;DisplayText&gt;[43]&lt;/DisplayText&gt;&lt;record&gt;&lt;rec-number&gt;291&lt;/rec-number&gt;&lt;foreign-keys&gt;&lt;key app="EN" db-id="0rf0eeefpsx2aqedxs6pzpzu5drept20tv5d" timestamp="1755189010" guid="71548a72-741f-439e-8c08-4701af01a706"&gt;291&lt;/key&gt;&lt;/foreign-keys&gt;&lt;ref-type name="Journal Article"&gt;17&lt;/ref-type&gt;&lt;contributors&gt;&lt;authors&gt;&lt;author&gt;Schiavazzi, Daniele&lt;/author&gt;&lt;author&gt;Coletti, Filippo&lt;/author&gt;&lt;author&gt;Iaccarino, Gianluca&lt;/author&gt;&lt;author&gt;Eaton, John K.&lt;/author&gt;&lt;/authors&gt;&lt;/contributors&gt;&lt;titles&gt;&lt;title&gt;A matching pursuit approach to solenoidal filtering of three-dimensional velocity measurements&lt;/title&gt;&lt;secondary-title&gt;Journal of Computational Physics&lt;/secondary-title&gt;&lt;/titles&gt;&lt;periodical&gt;&lt;full-title&gt;Journal of Computational Physics&lt;/full-title&gt;&lt;/periodical&gt;&lt;pages&gt;206-221&lt;/pages&gt;&lt;volume&gt;263&lt;/volume&gt;&lt;keywords&gt;&lt;keyword&gt;Divergence-free filtering&lt;/keyword&gt;&lt;keyword&gt;Matching pursuit&lt;/keyword&gt;&lt;keyword&gt;Magnetic resonance velocimetry&lt;/keyword&gt;&lt;keyword&gt;Particle image velocimetry&lt;/keyword&gt;&lt;keyword&gt;Velocity field de-noising&lt;/keyword&gt;&lt;/keywords&gt;&lt;dates&gt;&lt;year&gt;2014&lt;/year&gt;&lt;pub-dates&gt;&lt;date&gt;2014/04/15/&lt;/date&gt;&lt;/pub-dates&gt;&lt;/dates&gt;&lt;isbn&gt;0021-9991&lt;/isbn&gt;&lt;urls&gt;&lt;related-urls&gt;&lt;url&gt;https://www.sciencedirect.com/science/article/pii/S0021999113008577&lt;/url&gt;&lt;/related-urls&gt;&lt;/urls&gt;&lt;electronic-resource-num&gt;https://doi.org/10.1016/j.jcp.2013.12.049&lt;/electronic-resource-num&gt;&lt;/record&gt;&lt;/Cite&gt;&lt;/EndNote&gt;</w:instrText>
      </w:r>
      <w:r w:rsidRPr="003913FD">
        <w:fldChar w:fldCharType="separate"/>
      </w:r>
      <w:r>
        <w:rPr>
          <w:noProof/>
        </w:rPr>
        <w:t>[43]</w:t>
      </w:r>
      <w:r w:rsidRPr="003913FD">
        <w:fldChar w:fldCharType="end"/>
      </w:r>
      <w:r w:rsidRPr="003913FD">
        <w:t xml:space="preserve"> was also applied during this stage.</w:t>
      </w:r>
    </w:p>
    <w:p w:rsidR="00086CE1" w:rsidRPr="003913FD" w:rsidRDefault="00086CE1" w:rsidP="00086CE1">
      <w:pPr>
        <w:pStyle w:val="PaperBody"/>
        <w:rPr>
          <w:kern w:val="0"/>
        </w:rPr>
      </w:pPr>
      <w:r w:rsidRPr="003913FD">
        <w:rPr>
          <w:kern w:val="0"/>
        </w:rPr>
        <w:t>Uncertainty for MRV was estimated based on reconstructions of each individual flow-on and flow-off scan. The data for each scan were transformed from velocity and signal magnitude back into complex (real + imaginary) signal values; once there, the complex phase variance was computed for the flow-on and flow-off sets. The square root of the sum of the two variances was scaled by the VENC to produce a velocity standard deviation field, which was converted into a 95% confidence interval using Student’s t-distribution with (#ons + #offs – 2) degrees of freedom. The resulting confidence interval field was interrogated within a volume of interest comprising 18,000 voxels in the free stream, and the average uncertainty calculated for each velocity component as a fraction of the VENC used in the scan sequence. The calculated uncertainty was less than 3% of the VENC for all three velocity components.</w:t>
      </w:r>
    </w:p>
    <w:p w:rsidR="00086CE1" w:rsidRPr="003913FD" w:rsidRDefault="00086CE1" w:rsidP="00086CE1">
      <w:pPr>
        <w:pStyle w:val="PaperBody"/>
      </w:pPr>
      <w:r w:rsidRPr="003913FD">
        <w:t xml:space="preserve">MRC data were obtained on a system located at the Mayo Clinic Center for Advanced Imaging Research in Rochester, Minnesota, USA, running software release 5.7 SP2. A custom software patch was used </w:t>
      </w:r>
      <w:r w:rsidRPr="003913FD">
        <w:lastRenderedPageBreak/>
        <w:t xml:space="preserve">that combined three components: (1) the gtPackNGo tool for data export, (2) user-defined scaling of the crusher gradient areas to reduce flow-related artifacts, and (3) the commonly used SamePrep patch for Philips systems, which was needed to hold preparation phases constant across scans. The 16-channel torso coil and 8-channel posterior coil were used to collect data, whereas the body coil provided RF transmit. An isotropic voxel size of 0.7 mm was used, which produced a scan matrix of 368 </w:t>
      </w:r>
      <w:r w:rsidRPr="003913FD">
        <w:rPr>
          <w:rFonts w:cs="Times New Roman"/>
        </w:rPr>
        <w:t>×</w:t>
      </w:r>
      <w:r w:rsidRPr="003913FD">
        <w:t xml:space="preserve"> 142 </w:t>
      </w:r>
      <w:r w:rsidRPr="003913FD">
        <w:rPr>
          <w:rFonts w:cs="Times New Roman"/>
        </w:rPr>
        <w:t>×</w:t>
      </w:r>
      <w:r w:rsidRPr="003913FD">
        <w:t xml:space="preserve"> 60. The sequence was similar to that used for MRV with the quantitative flow option disabled. TE/TR were 2.6/11 ms, respectively, and the bandwidth was set to 2.551 pixels (31.25 kHz in GE terminology). Scan time was 1 min 13 s per scan. Following an initial scan under the reference condition, prescan was set to “SamePrep” to prevent any changes in transmit or receive gain for subsequent scans. MRC data were obtained by collecting 30 reference scans, 23 background scans, 23 standard scans, and two standard variations: 22 standard-high scans and 23 super-high scans, which used 4</w:t>
      </w:r>
      <w:r w:rsidRPr="003913FD">
        <w:rPr>
          <w:rFonts w:cs="Times New Roman"/>
        </w:rPr>
        <w:t>×</w:t>
      </w:r>
      <w:r w:rsidRPr="003913FD">
        <w:t xml:space="preserve"> (0.07 mol/L) and 10</w:t>
      </w:r>
      <w:r w:rsidRPr="003913FD">
        <w:rPr>
          <w:rFonts w:cs="Times New Roman"/>
        </w:rPr>
        <w:t>×</w:t>
      </w:r>
      <w:r w:rsidRPr="003913FD">
        <w:t xml:space="preserve"> higher (0.175 mol/L) injected CuSO</w:t>
      </w:r>
      <w:r w:rsidRPr="003913FD">
        <w:rPr>
          <w:vertAlign w:val="subscript"/>
        </w:rPr>
        <w:t>4</w:t>
      </w:r>
      <w:r w:rsidRPr="003913FD">
        <w:t xml:space="preserve"> concentrations, respectively. Following this process, a set of </w:t>
      </w:r>
      <w:r w:rsidRPr="003913FD">
        <w:rPr>
          <w:i/>
          <w:iCs/>
        </w:rPr>
        <w:t>calibration</w:t>
      </w:r>
      <w:r w:rsidRPr="003913FD">
        <w:t xml:space="preserve"> scans was performed; in this process, the concentration in a closed-loop configuration is gradually increased from background to reference levels to confirm signal linearity over the target measurement range. Image reconstruction was performed first using ReconFrame software to create an individual dataset for each scan as well as a k-space averaged dataset for each configuration. These were processed and stitched into the final MRC concentration dataset using MATLAB software (R2024b, MathWorks). Full details of this process are described in </w:t>
      </w:r>
      <w:r w:rsidRPr="003913FD">
        <w:fldChar w:fldCharType="begin"/>
      </w:r>
      <w:r w:rsidRPr="003913FD">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fldChar w:fldCharType="separate"/>
      </w:r>
      <w:r w:rsidRPr="003913FD">
        <w:rPr>
          <w:noProof/>
        </w:rPr>
        <w:t>[12]</w:t>
      </w:r>
      <w:r w:rsidRPr="003913FD">
        <w:fldChar w:fldCharType="end"/>
      </w:r>
      <w:r w:rsidRPr="003913FD">
        <w:t>.</w:t>
      </w:r>
    </w:p>
    <w:p w:rsidR="00086CE1" w:rsidRPr="003913FD" w:rsidRDefault="00086CE1" w:rsidP="00086CE1">
      <w:pPr>
        <w:pStyle w:val="PaperBody"/>
      </w:pPr>
      <w:r w:rsidRPr="003913FD">
        <w:rPr>
          <w:kern w:val="0"/>
        </w:rPr>
        <w:t>The uncertainty calculation for MRC is based on the standard deviation across standard, standard-high, and super-high measurements. The pointwise standard deviation for each series was computed after normalization by the mean reference and background fields. Although this omits the contribution of reference and background noise, the standard (and related) cases are believed to be the primary source of noise because of the smaller number of scans and presence of a fluctuating high-signal jet. A pointwise 95% confidence interval was computed from the standard deviation field using Student’s t-distribution and the number of standard, standard-high, or super-high scans. During the stitching process, uncertainty values for the standard-high and super-high cases were scaled by the same factor used to produce the blended concentration field. Uncertainty was 4.05% of the reported concentration or lower across the entire FOV.</w:t>
      </w:r>
    </w:p>
    <w:p w:rsidR="00086CE1" w:rsidRPr="003913FD" w:rsidRDefault="00086CE1" w:rsidP="00086CE1">
      <w:pPr>
        <w:pStyle w:val="Heading2"/>
      </w:pPr>
      <w:r w:rsidRPr="003913FD">
        <w:t>Hanyang University (HYU)</w:t>
      </w:r>
    </w:p>
    <w:p w:rsidR="00086CE1" w:rsidRPr="003913FD" w:rsidRDefault="00086CE1" w:rsidP="00086CE1">
      <w:pPr>
        <w:pStyle w:val="PaperBody"/>
      </w:pPr>
      <w:r w:rsidRPr="003913FD">
        <w:t>The MRV experiments were conducted using a closed-loop flow system. The main components of the flow system included a 100</w:t>
      </w:r>
      <w:r w:rsidRPr="003913FD">
        <w:rPr>
          <w:rFonts w:ascii="Arial" w:hAnsi="Arial" w:cs="Arial"/>
        </w:rPr>
        <w:t> </w:t>
      </w:r>
      <w:r w:rsidRPr="003913FD">
        <w:t>L reservoir, a cooler</w:t>
      </w:r>
      <w:r w:rsidRPr="003913FD">
        <w:rPr>
          <w:rFonts w:eastAsia="DengXian"/>
          <w:lang w:eastAsia="zh-CN"/>
        </w:rPr>
        <w:t xml:space="preserve"> </w:t>
      </w:r>
      <w:r w:rsidRPr="003913FD">
        <w:t>(RW3-1025, Jeio Tech),</w:t>
      </w:r>
      <w:r w:rsidRPr="003913FD">
        <w:rPr>
          <w:rFonts w:eastAsia="DengXian"/>
          <w:lang w:eastAsia="zh-CN"/>
        </w:rPr>
        <w:t xml:space="preserve"> a thermocouple</w:t>
      </w:r>
      <w:r w:rsidRPr="003913FD">
        <w:t xml:space="preserve"> (</w:t>
      </w:r>
      <w:r w:rsidRPr="003913FD">
        <w:rPr>
          <w:rFonts w:eastAsia="DengXian"/>
          <w:lang w:eastAsia="zh-CN"/>
        </w:rPr>
        <w:t xml:space="preserve">K-type, </w:t>
      </w:r>
      <w:r w:rsidRPr="003913FD">
        <w:t>Omega Engineering)</w:t>
      </w:r>
      <w:r w:rsidRPr="003913FD">
        <w:rPr>
          <w:rFonts w:eastAsia="DengXian"/>
          <w:lang w:eastAsia="zh-CN"/>
        </w:rPr>
        <w:t xml:space="preserve"> with an uncertainty of </w:t>
      </w:r>
      <w:r w:rsidRPr="003913FD">
        <w:rPr>
          <w:rFonts w:eastAsia="DengXian" w:cs="Times New Roman"/>
          <w:lang w:eastAsia="zh-CN"/>
        </w:rPr>
        <w:t>±1°C</w:t>
      </w:r>
      <w:r w:rsidRPr="003913FD">
        <w:rPr>
          <w:rFonts w:eastAsia="DengXian"/>
          <w:lang w:eastAsia="zh-CN"/>
        </w:rPr>
        <w:t xml:space="preserve">, </w:t>
      </w:r>
      <w:r w:rsidRPr="003913FD">
        <w:t xml:space="preserve">a centrifugal pump (PP2-50Y, Hwarang System) connected to the main flow inlet and an electromagnetic flowmeter (KTM-800, Kometer) with an uncertainty of </w:t>
      </w:r>
      <w:r w:rsidRPr="003913FD">
        <w:rPr>
          <w:rFonts w:eastAsia="DengXian" w:cs="Times New Roman"/>
          <w:lang w:eastAsia="zh-CN"/>
        </w:rPr>
        <w:t>±0.5%</w:t>
      </w:r>
      <w:r w:rsidRPr="003913FD">
        <w:t xml:space="preserve"> </w:t>
      </w:r>
      <w:r w:rsidRPr="003913FD">
        <w:rPr>
          <w:rFonts w:eastAsia="DengXian"/>
          <w:lang w:eastAsia="zh-CN"/>
        </w:rPr>
        <w:t>of full scale</w:t>
      </w:r>
      <w:r w:rsidRPr="003913FD">
        <w:t>, as well as a gear pump</w:t>
      </w:r>
      <w:r w:rsidRPr="003913FD">
        <w:rPr>
          <w:rFonts w:eastAsia="DengXian"/>
          <w:lang w:eastAsia="zh-CN"/>
        </w:rPr>
        <w:t xml:space="preserve"> (CT3001F, Lead Fluid)</w:t>
      </w:r>
      <w:r w:rsidRPr="003913FD">
        <w:t xml:space="preserve"> connected to the injection flow inlet and its associated electromagnetic flowmeter (M2000, Badger Meter) </w:t>
      </w:r>
      <w:r w:rsidRPr="003913FD">
        <w:rPr>
          <w:rFonts w:eastAsia="DengXian"/>
          <w:lang w:eastAsia="zh-CN"/>
        </w:rPr>
        <w:t>with a</w:t>
      </w:r>
      <w:r w:rsidRPr="003913FD">
        <w:t xml:space="preserve">n </w:t>
      </w:r>
      <w:r w:rsidRPr="003913FD">
        <w:rPr>
          <w:rFonts w:eastAsia="DengXian"/>
          <w:lang w:eastAsia="zh-CN"/>
        </w:rPr>
        <w:t xml:space="preserve">uncertainty of </w:t>
      </w:r>
      <w:r w:rsidRPr="003913FD">
        <w:rPr>
          <w:rFonts w:eastAsia="DengXian" w:cs="Times New Roman"/>
          <w:lang w:eastAsia="zh-CN"/>
        </w:rPr>
        <w:t>±0.2%</w:t>
      </w:r>
      <w:r w:rsidRPr="003913FD">
        <w:t xml:space="preserve"> </w:t>
      </w:r>
      <w:r w:rsidRPr="003913FD">
        <w:rPr>
          <w:rFonts w:eastAsia="DengXian"/>
          <w:lang w:eastAsia="zh-CN"/>
        </w:rPr>
        <w:t>of the measured value</w:t>
      </w:r>
      <w:r w:rsidRPr="003913FD">
        <w:t xml:space="preserve">. The cooler was installed in parallel with the reservoir to provide cooling, and </w:t>
      </w:r>
      <w:r w:rsidRPr="003913FD">
        <w:rPr>
          <w:rFonts w:eastAsia="DengXian"/>
          <w:lang w:eastAsia="zh-CN"/>
        </w:rPr>
        <w:t>the</w:t>
      </w:r>
      <w:r w:rsidRPr="003913FD">
        <w:t xml:space="preserve"> thermocouple inserted into the reservoir monitored the water temperature.</w:t>
      </w:r>
      <w:r w:rsidRPr="003913FD">
        <w:rPr>
          <w:rFonts w:eastAsia="DengXian"/>
          <w:lang w:eastAsia="zh-CN"/>
        </w:rPr>
        <w:t xml:space="preserve"> </w:t>
      </w:r>
      <w:r w:rsidRPr="003913FD">
        <w:t>Both the centrifugal and gear pumps were operated through inverters</w:t>
      </w:r>
      <w:r w:rsidRPr="003913FD">
        <w:rPr>
          <w:rFonts w:eastAsia="DengXian"/>
          <w:lang w:eastAsia="zh-CN"/>
        </w:rPr>
        <w:t xml:space="preserve"> </w:t>
      </w:r>
      <w:r w:rsidRPr="003913FD">
        <w:t>(SV015 IG5A-1, LSIS</w:t>
      </w:r>
      <w:r w:rsidRPr="003913FD">
        <w:rPr>
          <w:rFonts w:eastAsia="DengXian"/>
          <w:lang w:eastAsia="zh-CN"/>
        </w:rPr>
        <w:t>)</w:t>
      </w:r>
      <w:r w:rsidRPr="003913FD">
        <w:t>, enabling control of the main and injection flowrates. Both pumps drew directly from the reservoir, and the returning fluid was recirculated into the tank, forming a closed-loop system.</w:t>
      </w:r>
    </w:p>
    <w:p w:rsidR="00086CE1" w:rsidRPr="003913FD" w:rsidRDefault="00086CE1" w:rsidP="00086CE1">
      <w:pPr>
        <w:pStyle w:val="PaperBody"/>
        <w:rPr>
          <w:rFonts w:eastAsia="DengXian"/>
          <w:lang w:eastAsia="zh-CN"/>
        </w:rPr>
      </w:pPr>
      <w:r w:rsidRPr="003913FD">
        <w:t>For MRT experiments, a 52 L reservoir and a heater were added to the system. The heater was controlled via a relay and LabVIEW to maintain the reservoir temperature at 33.5°C. A T-valve was installed to connect the 100 L reservoir (containing fluid at 20.5°C) and the 52 L reservoir (containing fluid at 33.5°C) to its two inlet ports, respectively.</w:t>
      </w:r>
      <w:r w:rsidRPr="003913FD">
        <w:rPr>
          <w:rFonts w:eastAsia="DengXian"/>
          <w:lang w:eastAsia="zh-CN"/>
        </w:rPr>
        <w:t xml:space="preserve"> </w:t>
      </w:r>
      <w:r w:rsidRPr="003913FD">
        <w:t>The outlet port of the T-valve was connected to the gear pump and an electromagnetic flowmeter, which together supplied the injection flow.</w:t>
      </w:r>
      <w:r w:rsidRPr="003913FD">
        <w:rPr>
          <w:rFonts w:eastAsia="DengXian"/>
          <w:lang w:eastAsia="zh-CN"/>
        </w:rPr>
        <w:t xml:space="preserve"> </w:t>
      </w:r>
      <w:r w:rsidRPr="003913FD">
        <w:t>During nonheated scans, the T-valve connected the 100 L reservoir at 20.5°C to the injection line. For heated scans, it was switched to the 52 L reservoir at 33.5°C. T</w:t>
      </w:r>
      <w:r w:rsidRPr="003913FD">
        <w:rPr>
          <w:rFonts w:eastAsia="DengXian"/>
          <w:lang w:eastAsia="zh-CN"/>
        </w:rPr>
        <w:t>o suppress thermal accumulation of the test section and reduce magnetic field drift</w:t>
      </w:r>
      <w:r w:rsidRPr="003913FD">
        <w:t>, nonheated and heated scans were alternated systematically</w:t>
      </w:r>
      <w:r w:rsidRPr="003913FD">
        <w:rPr>
          <w:rFonts w:eastAsia="DengXian"/>
          <w:lang w:eastAsia="zh-CN"/>
        </w:rPr>
        <w:t>.</w:t>
      </w:r>
    </w:p>
    <w:p w:rsidR="00086CE1" w:rsidRPr="003913FD" w:rsidRDefault="00086CE1" w:rsidP="00086CE1">
      <w:pPr>
        <w:pStyle w:val="PaperBody"/>
      </w:pPr>
      <w:r w:rsidRPr="003913FD">
        <w:rPr>
          <w:lang w:eastAsia="zh-CN"/>
        </w:rPr>
        <w:t xml:space="preserve">The MRV and MRT experiments </w:t>
      </w:r>
      <w:r w:rsidRPr="003913FD">
        <w:t>were performed</w:t>
      </w:r>
      <w:r w:rsidRPr="003913FD">
        <w:rPr>
          <w:lang w:eastAsia="zh-CN"/>
        </w:rPr>
        <w:t xml:space="preserve"> at the Ochang campus of the Korea Basic Science Institute (KBSI, Chungju, Korea)</w:t>
      </w:r>
      <w:r w:rsidRPr="003913FD">
        <w:t xml:space="preserve">. </w:t>
      </w:r>
    </w:p>
    <w:p w:rsidR="00086CE1" w:rsidRPr="003913FD" w:rsidRDefault="00086CE1" w:rsidP="00086CE1">
      <w:pPr>
        <w:pStyle w:val="PaperBody"/>
        <w:rPr>
          <w:lang w:eastAsia="zh-CN"/>
        </w:rPr>
      </w:pPr>
      <w:r w:rsidRPr="003913FD">
        <w:t>For MRV, the VENC was performed using the Qflow sequence embedded in the Philips MRI system, which employs a six-point phase contrast method.</w:t>
      </w:r>
      <w:r w:rsidRPr="003913FD">
        <w:rPr>
          <w:lang w:eastAsia="zh-CN"/>
        </w:rPr>
        <w:t xml:space="preserve"> To minimize background phase errors, MRV measurements in each flow direction (x, y, and z) were conducted in the order of flow-on, flow-off, and flow-on using identical scan parameters. The final velocity data were obtained by subtracting the flow-off data from the average of the two flow-on datasets.</w:t>
      </w:r>
    </w:p>
    <w:p w:rsidR="00086CE1" w:rsidRPr="003913FD" w:rsidRDefault="00086CE1" w:rsidP="00086CE1">
      <w:pPr>
        <w:pStyle w:val="PaperBody"/>
        <w:rPr>
          <w:lang w:eastAsia="zh-CN"/>
        </w:rPr>
      </w:pPr>
      <w:r w:rsidRPr="003913FD">
        <w:rPr>
          <w:lang w:eastAsia="zh-CN"/>
        </w:rPr>
        <w:lastRenderedPageBreak/>
        <w:t xml:space="preserve">For MRT, </w:t>
      </w:r>
      <w:r w:rsidRPr="003913FD">
        <w:t xml:space="preserve">a separate set of scans was performed using </w:t>
      </w:r>
      <w:r w:rsidRPr="003913FD">
        <w:rPr>
          <w:lang w:eastAsia="zh-CN"/>
        </w:rPr>
        <w:t>the proton resonance frequency shift method</w:t>
      </w:r>
      <w:r w:rsidRPr="003913FD">
        <w:t xml:space="preserve">, </w:t>
      </w:r>
      <w:r w:rsidRPr="003913FD">
        <w:rPr>
          <w:lang w:eastAsia="zh-CN"/>
        </w:rPr>
        <w:t xml:space="preserve">as described by Buchenberg et al. </w:t>
      </w:r>
      <w:r w:rsidRPr="003913FD">
        <w:rPr>
          <w:lang w:eastAsia="zh-CN"/>
        </w:rPr>
        <w:fldChar w:fldCharType="begin"/>
      </w:r>
      <w:r w:rsidRPr="003913FD">
        <w:rPr>
          <w:lang w:eastAsia="zh-CN"/>
        </w:rPr>
        <w:instrText xml:space="preserve"> ADDIN EN.CITE &lt;EndNote&gt;&lt;Cite&gt;&lt;Author&gt;Buchenberg&lt;/Author&gt;&lt;Year&gt;2016&lt;/Year&gt;&lt;RecNum&gt;289&lt;/RecNum&gt;&lt;DisplayText&gt;[28]&lt;/DisplayText&gt;&lt;record&gt;&lt;rec-number&gt;289&lt;/rec-number&gt;&lt;foreign-keys&gt;&lt;key app="EN" db-id="0rf0eeefpsx2aqedxs6pzpzu5drept20tv5d" timestamp="1755102518" guid="f75810a8-78fb-4a38-a2de-ef327cde397e"&gt;289&lt;/key&gt;&lt;/foreign-keys&gt;&lt;ref-type name="Journal Article"&gt;17&lt;/ref-type&gt;&lt;contributors&gt;&lt;authors&gt;&lt;author&gt;Buchenberg, Waltraud B.&lt;/author&gt;&lt;author&gt;Wassermann, Florian&lt;/author&gt;&lt;author&gt;Grundmann, Sven&lt;/author&gt;&lt;author&gt;Jung, Bernd&lt;/author&gt;&lt;author&gt;Simpson, Robin&lt;/author&gt;&lt;/authors&gt;&lt;/contributors&gt;&lt;titles&gt;&lt;title&gt;Acquisition of 3D temperature distributions in fluid flow using proton resonance frequency thermometry&lt;/title&gt;&lt;secondary-title&gt;Magnetic Resonance in Medicine&lt;/secondary-title&gt;&lt;/titles&gt;&lt;periodical&gt;&lt;full-title&gt;Magnetic Resonance in Medicine&lt;/full-title&gt;&lt;/periodical&gt;&lt;pages&gt;145-155&lt;/pages&gt;&lt;volume&gt;76&lt;/volume&gt;&lt;number&gt;1&lt;/number&gt;&lt;dates&gt;&lt;year&gt;2016&lt;/year&gt;&lt;/dates&gt;&lt;isbn&gt;0740-3194&lt;/isbn&gt;&lt;urls&gt;&lt;related-urls&gt;&lt;url&gt;https://onlinelibrary.wiley.com/doi/abs/10.1002/mrm.25874&lt;/url&gt;&lt;/related-urls&gt;&lt;/urls&gt;&lt;electronic-resource-num&gt;https://doi.org/10.1002/mrm.25874&lt;/electronic-resource-num&gt;&lt;/record&gt;&lt;/Cite&gt;&lt;/EndNote&gt;</w:instrText>
      </w:r>
      <w:r w:rsidRPr="003913FD">
        <w:rPr>
          <w:lang w:eastAsia="zh-CN"/>
        </w:rPr>
        <w:fldChar w:fldCharType="separate"/>
      </w:r>
      <w:r w:rsidRPr="003913FD">
        <w:rPr>
          <w:noProof/>
          <w:lang w:eastAsia="zh-CN"/>
        </w:rPr>
        <w:t>[28]</w:t>
      </w:r>
      <w:r w:rsidRPr="003913FD">
        <w:rPr>
          <w:lang w:eastAsia="zh-CN"/>
        </w:rPr>
        <w:fldChar w:fldCharType="end"/>
      </w:r>
      <w:r w:rsidRPr="003913FD">
        <w:rPr>
          <w:lang w:eastAsia="zh-CN"/>
        </w:rPr>
        <w:t>.</w:t>
      </w:r>
      <w:r w:rsidRPr="003913FD">
        <w:t xml:space="preserve"> During MRT scanning, phase contrast and Qflow options were disabled, whereas flow compensation was enabled. </w:t>
      </w:r>
      <w:r w:rsidRPr="003913FD">
        <w:rPr>
          <w:lang w:eastAsia="zh-CN"/>
        </w:rPr>
        <w:t>The MRT scans employed the same FOV, spatial resolution, and flip angle as those of the MRV scans. TE and TR were set to 3.5 ms and 6.8 ms, respectively. Nonheated and heated scans were alternated and performed 12 times each, with the number of signal averages set to 6 for each scan. The duration of each scan was 8 min. The temperature difference was then derived from the phase difference between the averaged phase images of the heated and nonheated scans.</w:t>
      </w:r>
    </w:p>
    <w:p w:rsidR="00086CE1" w:rsidRPr="003913FD" w:rsidRDefault="00086CE1" w:rsidP="00086CE1">
      <w:pPr>
        <w:pStyle w:val="PaperBody"/>
      </w:pPr>
      <w:r w:rsidRPr="003913FD">
        <w:rPr>
          <w:lang w:eastAsia="zh-CN"/>
        </w:rPr>
        <w:t xml:space="preserve">After MRV and MRT data acquisition, the raw MRI data were reconstructed and exported using the software provided with the Philips MRI console and subsequently processed and analyzed in MATLAB (R2022b, MathWorks). </w:t>
      </w:r>
      <w:r w:rsidRPr="003913FD">
        <w:t xml:space="preserve">Both velocity and normalized temperature data were denoised using the split-and-overlap singular value decomposition method </w:t>
      </w:r>
      <w:r w:rsidRPr="003913FD">
        <w:fldChar w:fldCharType="begin"/>
      </w:r>
      <w:r>
        <w:instrText xml:space="preserve"> ADDIN EN.CITE &lt;EndNote&gt;&lt;Cite&gt;&lt;Author&gt;Kang&lt;/Author&gt;&lt;Year&gt;2024&lt;/Year&gt;&lt;RecNum&gt;107&lt;/RecNum&gt;&lt;DisplayText&gt;[30]&lt;/DisplayText&gt;&lt;record&gt;&lt;rec-number&gt;107&lt;/rec-number&gt;&lt;foreign-keys&gt;&lt;key app="EN" db-id="5fpxfv55c2rat5epxpevewaafdfaz9zte9ff" timestamp="1737030292" guid="72903975-f157-4840-94f2-805bde54f48b"&gt;107&lt;/key&gt;&lt;/foreign-keys&gt;&lt;ref-type name="Journal Article"&gt;17&lt;/ref-type&gt;&lt;contributors&gt;&lt;authors&gt;&lt;author&gt;Kang, Seungmin&lt;/author&gt;&lt;author&gt;An, Don-Gwan&lt;/author&gt;&lt;author&gt;Ha, Hojin&lt;/author&gt;&lt;author&gt;Yang, Dong Hyun&lt;/author&gt;&lt;author&gt;Jang, Ilhoon&lt;/author&gt;&lt;author&gt;Song, Simon&lt;/author&gt;&lt;/authors&gt;&lt;/contributors&gt;&lt;titles&gt;&lt;title&gt;Denoising four-dimensional flow magnetic resonance imaging data using a split-and-overlap approach via singular value decomposition&lt;/title&gt;&lt;secondary-title&gt;Physics of Fluids&lt;/secondary-title&gt;&lt;/titles&gt;&lt;periodical&gt;&lt;full-title&gt;Physics of Fluids&lt;/full-title&gt;&lt;/periodical&gt;&lt;volume&gt;36&lt;/volume&gt;&lt;number&gt;1&lt;/number&gt;&lt;dates&gt;&lt;year&gt;2024&lt;/year&gt;&lt;/dates&gt;&lt;isbn&gt;1070-6631&lt;/isbn&gt;&lt;urls&gt;&lt;related-urls&gt;&lt;url&gt;https://doi.org/10.1063/5.0180996&lt;/url&gt;&lt;/related-urls&gt;&lt;/urls&gt;&lt;custom1&gt;011906&lt;/custom1&gt;&lt;electronic-resource-num&gt;10.1063/5.0180996&lt;/electronic-resource-num&gt;&lt;access-date&gt;1/16/2025&lt;/access-date&gt;&lt;/record&gt;&lt;/Cite&gt;&lt;/EndNote&gt;</w:instrText>
      </w:r>
      <w:r w:rsidRPr="003913FD">
        <w:fldChar w:fldCharType="separate"/>
      </w:r>
      <w:r>
        <w:rPr>
          <w:noProof/>
        </w:rPr>
        <w:t>[30]</w:t>
      </w:r>
      <w:r w:rsidRPr="003913FD">
        <w:fldChar w:fldCharType="end"/>
      </w:r>
      <w:r w:rsidRPr="003913FD">
        <w:t xml:space="preserve"> with a subdomain size of 5 and a 75% overlap ratio.</w:t>
      </w:r>
    </w:p>
    <w:p w:rsidR="00086CE1" w:rsidRPr="003913FD" w:rsidRDefault="00086CE1" w:rsidP="00086CE1">
      <w:pPr>
        <w:pStyle w:val="PaperBody"/>
      </w:pPr>
      <w:r w:rsidRPr="003913FD">
        <w:rPr>
          <w:lang w:eastAsia="zh-CN"/>
        </w:rPr>
        <w:t xml:space="preserve">The measurement uncertainties for both MRV and MRT were estimated using the method proposed by Bruschewski et al. </w:t>
      </w:r>
      <w:r w:rsidRPr="003913FD">
        <w:rPr>
          <w:lang w:eastAsia="zh-CN"/>
        </w:rPr>
        <w:fldChar w:fldCharType="begin"/>
      </w:r>
      <w:r>
        <w:rPr>
          <w:lang w:eastAsia="zh-CN"/>
        </w:rPr>
        <w:instrText xml:space="preserve"> ADDIN EN.CITE &lt;EndNote&gt;&lt;Cite&gt;&lt;Author&gt;Bruschewski&lt;/Author&gt;&lt;Year&gt;2016&lt;/Year&gt;&lt;RecNum&gt;249&lt;/RecNum&gt;&lt;DisplayText&gt;[33]&lt;/DisplayText&gt;&lt;record&gt;&lt;rec-number&gt;249&lt;/rec-number&gt;&lt;foreign-keys&gt;&lt;key app="EN" db-id="0rf0eeefpsx2aqedxs6pzpzu5drept20tv5d" timestamp="1745425658" guid="d59e10f1-c0b1-4f54-996f-e5106c9f4696"&gt;249&lt;/key&gt;&lt;/foreign-keys&gt;&lt;ref-type name="Journal Article"&gt;17&lt;/ref-type&gt;&lt;contributors&gt;&lt;authors&gt;&lt;author&gt;Bruschewski, Martin&lt;/author&gt;&lt;author&gt;Freudenhammer, Daniel&lt;/author&gt;&lt;author&gt;Buchenberg, Waltraud B.&lt;/author&gt;&lt;author&gt;Schiffer, Heinz-Peter&lt;/author&gt;&lt;author&gt;Grundmann, Sven&lt;/author&gt;&lt;/authors&gt;&lt;/contributors&gt;&lt;titles&gt;&lt;title&gt;Estimation of the measurement uncertainty in magnetic resonance velocimetry based on statistical models&lt;/title&gt;&lt;secondary-title&gt;Experiments in Fluids&lt;/secondary-title&gt;&lt;/titles&gt;&lt;periodical&gt;&lt;full-title&gt;Experiments in Fluids&lt;/full-title&gt;&lt;/periodical&gt;&lt;pages&gt;83&lt;/pages&gt;&lt;volume&gt;57&lt;/volume&gt;&lt;number&gt;5&lt;/number&gt;&lt;dates&gt;&lt;year&gt;2016&lt;/year&gt;&lt;pub-dates&gt;&lt;date&gt;2016/05/04&lt;/date&gt;&lt;/pub-dates&gt;&lt;/dates&gt;&lt;isbn&gt;1432-1114&lt;/isbn&gt;&lt;urls&gt;&lt;related-urls&gt;&lt;url&gt;https://doi.org/10.1007/s00348-016-2163-3&lt;/url&gt;&lt;/related-urls&gt;&lt;/urls&gt;&lt;electronic-resource-num&gt;10.1007/s00348-016-2163-3&lt;/electronic-resource-num&gt;&lt;/record&gt;&lt;/Cite&gt;&lt;/EndNote&gt;</w:instrText>
      </w:r>
      <w:r w:rsidRPr="003913FD">
        <w:rPr>
          <w:lang w:eastAsia="zh-CN"/>
        </w:rPr>
        <w:fldChar w:fldCharType="separate"/>
      </w:r>
      <w:r>
        <w:rPr>
          <w:noProof/>
          <w:lang w:eastAsia="zh-CN"/>
        </w:rPr>
        <w:t>[33]</w:t>
      </w:r>
      <w:r w:rsidRPr="003913FD">
        <w:rPr>
          <w:lang w:eastAsia="zh-CN"/>
        </w:rPr>
        <w:fldChar w:fldCharType="end"/>
      </w:r>
      <w:r w:rsidRPr="003913FD">
        <w:t>.</w:t>
      </w:r>
      <w:r w:rsidRPr="003913FD">
        <w:rPr>
          <w:lang w:eastAsia="zh-CN"/>
        </w:rPr>
        <w:t xml:space="preserve"> </w:t>
      </w:r>
      <w:r w:rsidRPr="003913FD">
        <w:t>The uncertainties in the velocity components along the x, y, and z directions were 2.7, 1.7, and 1.8 cm/s, respectively, corresponding to approximately 2.7%, 1.7%, and 1.8% of the VENC values. The temperature measurement uncertainty (without denoising) was 0.37 K, equivalent to 3.1% of the normalized temperature scale.</w:t>
      </w:r>
    </w:p>
    <w:p w:rsidR="00086CE1" w:rsidRPr="003913FD" w:rsidRDefault="00086CE1" w:rsidP="00086CE1">
      <w:pPr>
        <w:pStyle w:val="Heading2"/>
      </w:pPr>
      <w:r w:rsidRPr="003913FD">
        <w:t>USMA-Stanford University (USMA)</w:t>
      </w:r>
    </w:p>
    <w:p w:rsidR="00086CE1" w:rsidRPr="003913FD" w:rsidRDefault="00086CE1" w:rsidP="00086CE1">
      <w:pPr>
        <w:pStyle w:val="PaperBody"/>
        <w:rPr>
          <w:szCs w:val="20"/>
        </w:rPr>
      </w:pPr>
      <w:r w:rsidRPr="003913FD">
        <w:t xml:space="preserve">Experiments were performed at the Richard M. Lucas Center for Imaging at Stanford University. The MRV and MRC experiments were conducted using portions of a large flow loop constructed at the facility. It consists of a portable system of reservoirs, flexible tubing, pumps, and valves setup inside the magnet room for the duration of the scan, similar to the configuration shown in Fig. 2. Flow could also be routed to a permanent set of reservoirs installed outside of the facility that provides a large volume of water specifically for the MRC measurements. MRV measurements were conducted using a closed flow loop configuration within the magnet room. </w:t>
      </w:r>
      <w:r w:rsidRPr="003913FD">
        <w:rPr>
          <w:rFonts w:eastAsia="Times New Roman" w:cs="Times New Roman"/>
          <w:bCs w:val="0"/>
          <w:szCs w:val="20"/>
        </w:rPr>
        <w:t xml:space="preserve">A 55 gal reservoir was filled with the working fluid, and the temperature of this reservoir was maintained using a cooling coil attached to the building’s chilled water supply. The main and injector flows were each driven by Little Giant using reinforced flexible tubing. The main flowrate was maintained using an ultrasonic </w:t>
      </w:r>
      <w:r w:rsidRPr="003913FD">
        <w:rPr>
          <w:rFonts w:eastAsia="Times New Roman" w:cs="Times New Roman"/>
          <w:bCs w:val="0"/>
          <w:szCs w:val="20"/>
        </w:rPr>
        <w:t>flowmeter (Transonic Systems 20 MPXL sensor) and manual adjustment of a gate valve during the scans. The injection flow was maintained using an ultrasonic flowmeter (Transonic Systems 6 MPXL sensor) and manual adjustment of a needle valve throughout the scans.</w:t>
      </w:r>
      <w:r w:rsidRPr="003913FD">
        <w:rPr>
          <w:szCs w:val="20"/>
        </w:rPr>
        <w:t xml:space="preserve"> </w:t>
      </w:r>
    </w:p>
    <w:p w:rsidR="00086CE1" w:rsidRPr="003913FD" w:rsidRDefault="00086CE1" w:rsidP="00086CE1">
      <w:pPr>
        <w:pStyle w:val="PaperBody"/>
      </w:pPr>
      <w:r w:rsidRPr="003913FD">
        <w:t xml:space="preserve">MRV data were acquired using a custom gradient echo phase contrast sequence. Cartesian k-space sampling was used without sampling certain high-wavenumber components in the phase and slice directions, referred to as a </w:t>
      </w:r>
      <w:r w:rsidRPr="003913FD">
        <w:rPr>
          <w:i/>
          <w:iCs/>
        </w:rPr>
        <w:t>cutting corners</w:t>
      </w:r>
      <w:r w:rsidRPr="003913FD">
        <w:t xml:space="preserve"> technique. MRV data were processed by combining a series of 9 scans with the flow on and 10 scans with the flow off. The series of flow-on and flow-off scans were acquired in an alternating pattern. For each flow-on scan, the adjacent flow-off scans were averaged together and subtracted from the flow on. This corrects for spurious velocities caused by eddy currents. The resulting datasets were then averaged together to produce the final, time-averaged velocity field. </w:t>
      </w:r>
    </w:p>
    <w:p w:rsidR="00086CE1" w:rsidRPr="003913FD" w:rsidRDefault="00086CE1" w:rsidP="00086CE1">
      <w:pPr>
        <w:pStyle w:val="PaperBody"/>
      </w:pPr>
      <w:r w:rsidRPr="003913FD">
        <w:t>Uncertainty estimates for each velocity component were obtained by computing 95% confidence intervals based on the variance of the individual background subtracted scans and using the Student’s t-distribution. A representative average uncertainty for the image domain was approximately 3% of the VENCs. The MRC experiments involved a series of background, reference, and standard scans. Data from each scan were processed and combined to compute a normalized, time-averaged concentration field, as described in the following sections. Background scans used pure water throughout the entire channel to establish the zero-concentration signal distribution. Reference scans used a concentration 0.015 M CuSO</w:t>
      </w:r>
      <w:r w:rsidRPr="003913FD">
        <w:rPr>
          <w:vertAlign w:val="subscript"/>
        </w:rPr>
        <w:t>4</w:t>
      </w:r>
      <w:r w:rsidRPr="003913FD">
        <w:t xml:space="preserve"> solution throughout the entire channel to establish the signal distribution for 100% concentration. The standard scans were a mixing configuration with the reference concentration used in the injector and pure water in the main flow. In addition, two variants on the standard scans were performed at higher injection concentration to obtain increased signal-to-noise ratio in low-concentration regions of the plume, as described in </w:t>
      </w:r>
      <w:r w:rsidRPr="003913FD">
        <w:fldChar w:fldCharType="begin"/>
      </w:r>
      <w:r w:rsidRPr="003913FD">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fldChar w:fldCharType="separate"/>
      </w:r>
      <w:r w:rsidRPr="003913FD">
        <w:rPr>
          <w:noProof/>
        </w:rPr>
        <w:t>[12]</w:t>
      </w:r>
      <w:r w:rsidRPr="003913FD">
        <w:fldChar w:fldCharType="end"/>
      </w:r>
      <w:r w:rsidRPr="003913FD">
        <w:t>. Specifically, standard-high scans injected a 0.06 M CuSO</w:t>
      </w:r>
      <w:r w:rsidRPr="003913FD">
        <w:rPr>
          <w:vertAlign w:val="subscript"/>
        </w:rPr>
        <w:t>4</w:t>
      </w:r>
      <w:r w:rsidRPr="003913FD">
        <w:t xml:space="preserve"> solution, and super-high scans injected a 0.18 M CuSO</w:t>
      </w:r>
      <w:r w:rsidRPr="003913FD">
        <w:rPr>
          <w:vertAlign w:val="subscript"/>
        </w:rPr>
        <w:t>4</w:t>
      </w:r>
      <w:r w:rsidRPr="003913FD">
        <w:t xml:space="preserve"> solution. The reference concentration was determined using a separate calibration experiment that involved flowing increasingly high-molarity solutions through the channel. This identified the range of concentration, producing a linear relationship between signal magnitude and concentration. The reference concentration, or top of the linear range, was selected as the concentration for which the maximum deviation from linearity was less than 2% of the reference </w:t>
      </w:r>
      <w:r w:rsidRPr="003913FD">
        <w:lastRenderedPageBreak/>
        <w:t>concentration. Because of the convexity of the calibration curve, this occurred near the middle of the linear range, and bias errors at low concentrations are less significant. The standard-high and super-high concentrations were selected to reduce the low-concentration uncertainty to a few percent of the injected concentration. Uncertainty calculations are described in greater detail in the following sections.</w:t>
      </w:r>
    </w:p>
    <w:p w:rsidR="00086CE1" w:rsidRPr="003913FD" w:rsidRDefault="00086CE1" w:rsidP="00086CE1">
      <w:pPr>
        <w:pStyle w:val="PaperBody"/>
        <w:rPr>
          <w:szCs w:val="20"/>
        </w:rPr>
      </w:pPr>
      <w:r w:rsidRPr="003913FD">
        <w:rPr>
          <w:szCs w:val="20"/>
        </w:rPr>
        <w:t>The MRC experiments used the same pumps, valves, and flowmeters described previously. The flow loop was modified to include an additional 55 gal in-room reservoir and the external tank system composed of six 1,000 L reservoirs. One internal reservoir held pure water used for the background scans and the main flow during mixing scans. The second internal reservoir held the CuSO</w:t>
      </w:r>
      <w:r w:rsidRPr="003913FD">
        <w:rPr>
          <w:szCs w:val="20"/>
          <w:vertAlign w:val="subscript"/>
        </w:rPr>
        <w:t>4</w:t>
      </w:r>
      <w:r w:rsidRPr="003913FD">
        <w:rPr>
          <w:szCs w:val="20"/>
        </w:rPr>
        <w:t xml:space="preserve"> solutions for reference scans and the injection line during the mixing scans. During the mixing scans, half of the external tanks were filled with pure water and half were left empty. The flow loop was operated in an open-loop configuration, the water tanks outside were used to replenish the in-room tank, and the outlet of the channel was routed to the waste tanks. This prevented any contamination of the main flow during the mixing experiments.</w:t>
      </w:r>
    </w:p>
    <w:p w:rsidR="00086CE1" w:rsidRPr="003913FD" w:rsidRDefault="00086CE1" w:rsidP="00086CE1">
      <w:pPr>
        <w:pStyle w:val="PaperBody"/>
        <w:rPr>
          <w:szCs w:val="20"/>
        </w:rPr>
      </w:pPr>
      <w:r w:rsidRPr="003913FD">
        <w:rPr>
          <w:szCs w:val="20"/>
        </w:rPr>
        <w:t xml:space="preserve">Scans were conducted using the same MRI system and head coil. A custom fast-spoiled gradient echo sequence was used with compressed timing for the encoding and spoiler gradients, leading to shortened TE and TR. Additionally, partial k-space sampling was used in the frequency direction with a homodyne reconstruction to estimate the unsampled k-space data. As a result, a single scan time of 1 min 40 s was achieved. Sets of 20 scans for each of the reference, background, and mixing configurations were conducted. </w:t>
      </w:r>
    </w:p>
    <w:p w:rsidR="00086CE1" w:rsidRPr="003913FD" w:rsidRDefault="00086CE1" w:rsidP="00086CE1">
      <w:pPr>
        <w:pStyle w:val="PaperBody"/>
        <w:rPr>
          <w:szCs w:val="20"/>
        </w:rPr>
      </w:pPr>
      <w:r w:rsidRPr="003913FD">
        <w:rPr>
          <w:szCs w:val="20"/>
        </w:rPr>
        <w:t xml:space="preserve">The normalized concentration field was obtained from the raw scan data following the procedure outlined in </w:t>
      </w:r>
      <w:r w:rsidRPr="003913FD">
        <w:rPr>
          <w:szCs w:val="20"/>
        </w:rPr>
        <w:fldChar w:fldCharType="begin"/>
      </w:r>
      <w:r w:rsidRPr="003913FD">
        <w:rPr>
          <w:szCs w:val="20"/>
        </w:rPr>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rPr>
          <w:szCs w:val="20"/>
        </w:rPr>
        <w:fldChar w:fldCharType="separate"/>
      </w:r>
      <w:r w:rsidRPr="003913FD">
        <w:rPr>
          <w:noProof/>
          <w:szCs w:val="20"/>
        </w:rPr>
        <w:t>[12]</w:t>
      </w:r>
      <w:r w:rsidRPr="003913FD">
        <w:rPr>
          <w:szCs w:val="20"/>
        </w:rPr>
        <w:fldChar w:fldCharType="end"/>
      </w:r>
      <w:r w:rsidRPr="003913FD">
        <w:rPr>
          <w:szCs w:val="20"/>
        </w:rPr>
        <w:t xml:space="preserve">. Individual scan data were averaged, background subtracted, and normalized using the average, background-subtracted reference scan. Data from the standard-high and super-high cases were combined recursively using a stitching procedure, as described in </w:t>
      </w:r>
      <w:r w:rsidRPr="003913FD">
        <w:rPr>
          <w:szCs w:val="20"/>
        </w:rPr>
        <w:fldChar w:fldCharType="begin"/>
      </w:r>
      <w:r w:rsidRPr="003913FD">
        <w:rPr>
          <w:szCs w:val="20"/>
        </w:rPr>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rPr>
          <w:szCs w:val="20"/>
        </w:rPr>
        <w:fldChar w:fldCharType="separate"/>
      </w:r>
      <w:r w:rsidRPr="003913FD">
        <w:rPr>
          <w:noProof/>
          <w:szCs w:val="20"/>
        </w:rPr>
        <w:t>[12]</w:t>
      </w:r>
      <w:r w:rsidRPr="003913FD">
        <w:rPr>
          <w:szCs w:val="20"/>
        </w:rPr>
        <w:fldChar w:fldCharType="end"/>
      </w:r>
      <w:r w:rsidRPr="003913FD">
        <w:rPr>
          <w:szCs w:val="20"/>
        </w:rPr>
        <w:t xml:space="preserve">. Specifically, low-concentration regions of these high-molarity scans fall in the linear region of the calibration curve. Voxels in an overlap region between the standard–standard-high datasets, and the standard-high–super-high datasets were used to scale the high-molarity data by minimizing the root mean square difference in concentration. The scale factors obtained were consistent with the ratio of the low- and high-molarity cases. </w:t>
      </w:r>
    </w:p>
    <w:p w:rsidR="00086CE1" w:rsidRPr="003913FD" w:rsidRDefault="00086CE1" w:rsidP="00086CE1">
      <w:pPr>
        <w:pStyle w:val="PaperBody"/>
      </w:pPr>
      <w:r w:rsidRPr="003913FD">
        <w:rPr>
          <w:szCs w:val="20"/>
        </w:rPr>
        <w:t xml:space="preserve">Concentration uncertainty estimates were obtained from confidence intervals computed from the variance </w:t>
      </w:r>
      <w:r w:rsidRPr="003913FD">
        <w:rPr>
          <w:szCs w:val="20"/>
        </w:rPr>
        <w:t>across scans and a propagation of the uncertainty through the equations used for background subtraction, normalization, and stitching. A representative average uncertainty within the plume was approximately 3.5% of the injected concentration</w:t>
      </w:r>
      <w:r w:rsidRPr="003913FD">
        <w:t>.</w:t>
      </w:r>
    </w:p>
    <w:p w:rsidR="00086CE1" w:rsidRPr="003913FD" w:rsidRDefault="00086CE1" w:rsidP="00086CE1">
      <w:pPr>
        <w:pStyle w:val="Heading2"/>
      </w:pPr>
      <w:r w:rsidRPr="003913FD">
        <w:t>University of Illinois: Urbana Champaign (UIUC)</w:t>
      </w:r>
    </w:p>
    <w:p w:rsidR="00086CE1" w:rsidRPr="003913FD" w:rsidRDefault="00086CE1" w:rsidP="00086CE1">
      <w:pPr>
        <w:pStyle w:val="PaperBody"/>
      </w:pPr>
      <w:r w:rsidRPr="003913FD">
        <w:t xml:space="preserve">The experimental flow loop was configured to support closed and open loop operation, without moving the flow phantom or the scanner table between scans. The closed loop was used for MRV measurements using 0.06M CuSO4 solution, and for pure water background and 0.014M CuSO4 solution refence MRC scans. MRC scans using pure water for the main flow and different molarity solutions at the injector for three standard scan variants used the open-loop setup configuration. The phantom was located such that the scanner isocenter was at the center-plane, between the 1st and 2nd roughness elements downstream of the injector, and right above them. Two flex coils were combined to maximize the signal and the region of uniform coil sensitivity around isocenter. Previously degassed working fluids were supplied from the same two reservoirs inside the MRI room, Fig.2. A 30-gallon reservoir contained the copper sulfate aqueous solution, and a 60-gallon reservoir was used for pure water.  T-valves allowed flexibility to supply fluid from either or both as needed. The main and injector flows were driven by Little Giant centrifugal pumps, ½ and 1/8 HP, respectively. A Blue-White paddle flow meter (F1000RB), calibrated against a Kobold MIM electromagnetic flow meter, was used to monitor the main flow rate, and a Transonic ME6PXL flow sensor used to monitor the injector flow rate. Gate valves upstream the flow meters were adjusted to ensure constant flow rates, required due to slight variations in back pressure during open or closed loop operation and pressure head variation as the injector high molarity solution decreased during standard scans. The uncertainty on the inlet velocity boundary conditions is 3.4% and 4 % of their nominal value for the main and injector flow, respectively. The working fluid temperature was kept constant within ±0.5C by recirculating the fluid through a copper coil submerged in a separate ice/water bath. </w:t>
      </w:r>
    </w:p>
    <w:p w:rsidR="00086CE1" w:rsidRPr="003913FD" w:rsidRDefault="00086CE1" w:rsidP="00086CE1">
      <w:pPr>
        <w:pStyle w:val="PaperBody"/>
      </w:pPr>
      <w:r w:rsidRPr="003913FD">
        <w:t xml:space="preserve">During open loop operation, degassed pure water was continuously supplied to the pure water reservoir from two in-line 275-gallon tanks outside of the MRI room. The mixed flow leaving the test rig was directed first to an external 60-gallon capacitance reservoir and then pumped into another 275-gallon tank. All fluid lines used wave guides to transfer fluids to and from the scan room. Two additional 1HP centrifugal pumps and </w:t>
      </w:r>
      <w:r w:rsidRPr="003913FD">
        <w:lastRenderedPageBreak/>
        <w:t>flow meters (YFIXTOOL 1’’) ensured constant fluid levels in the main inlet water and return reservoirs.</w:t>
      </w:r>
    </w:p>
    <w:p w:rsidR="00086CE1" w:rsidRPr="003913FD" w:rsidRDefault="00086CE1" w:rsidP="00086CE1">
      <w:pPr>
        <w:pStyle w:val="PaperBody"/>
      </w:pPr>
      <w:r w:rsidRPr="003913FD">
        <w:t xml:space="preserve">MRV data were acquired using the Siemens BEAT FQ 785B flow sequence, with Cartesian k-space sampling and four-point symmetric VENC with flow compensation. RF spoiling and phase encoding rewinders were active. Generalized autocalibrating partially parallel acquisitions (GRAPPA)-based imaging with an acceleration factor of 2 was used along the second phase-encode direction (y), reducing the scan time by nearly a factor of 2 with negligible impact to the measurement accuracy (verified separately). MRV data processing involved subtracting the average of 10 flow-on and 4 flow-off reconstructed scan datasets, performed on an alternating pattern, after confirming no scan-to-scan drift was present. In-housed developed corrections were then applied on the averaged dataset to account for geometric </w:t>
      </w:r>
      <w:r w:rsidRPr="003913FD">
        <w:fldChar w:fldCharType="begin"/>
      </w:r>
      <w:r>
        <w:instrText xml:space="preserve"> ADDIN EN.CITE &lt;EndNote&gt;&lt;Cite&gt;&lt;Author&gt;Jovicich&lt;/Author&gt;&lt;Year&gt;2006&lt;/Year&gt;&lt;RecNum&gt;295&lt;/RecNum&gt;&lt;DisplayText&gt;[31]&lt;/DisplayText&gt;&lt;record&gt;&lt;rec-number&gt;295&lt;/rec-number&gt;&lt;foreign-keys&gt;&lt;key app="EN" db-id="0rf0eeefpsx2aqedxs6pzpzu5drept20tv5d" timestamp="1757353808" guid="03f6bd1d-b1b2-402c-8d4a-ef74d624aba3"&gt;295&lt;/key&gt;&lt;/foreign-keys&gt;&lt;ref-type name="Journal Article"&gt;17&lt;/ref-type&gt;&lt;contributors&gt;&lt;authors&gt;&lt;author&gt;Jovicich, Jorge&lt;/author&gt;&lt;author&gt;Czanner, Silvester&lt;/author&gt;&lt;author&gt;Greve, Douglas&lt;/author&gt;&lt;author&gt;Haley, Elizabeth&lt;/author&gt;&lt;author&gt;van der Kouwe, Andre&lt;/author&gt;&lt;author&gt;Gollub, Randy&lt;/author&gt;&lt;author&gt;Kennedy, David&lt;/author&gt;&lt;author&gt;Schmitt, Franz&lt;/author&gt;&lt;author&gt;Brown, Gregory&lt;/author&gt;&lt;author&gt;MacFall, James&lt;/author&gt;&lt;author&gt;Fischl, Bruce&lt;/author&gt;&lt;author&gt;Dale, Anders&lt;/author&gt;&lt;/authors&gt;&lt;/contributors&gt;&lt;titles&gt;&lt;title&gt;Reliability in multi-site structural MRI studies: Effects of gradient non-linearity correction on phantom and human data&lt;/title&gt;&lt;secondary-title&gt;NeuroImage&lt;/secondary-title&gt;&lt;/titles&gt;&lt;periodical&gt;&lt;full-title&gt;NeuroImage&lt;/full-title&gt;&lt;/periodical&gt;&lt;pages&gt;436-443&lt;/pages&gt;&lt;volume&gt;30&lt;/volume&gt;&lt;number&gt;2&lt;/number&gt;&lt;keywords&gt;&lt;keyword&gt;Multi-site calibration&lt;/keyword&gt;&lt;keyword&gt;Gradient non-linearity distortions&lt;/keyword&gt;&lt;keyword&gt;Human structural MRI&lt;/keyword&gt;&lt;/keywords&gt;&lt;dates&gt;&lt;year&gt;2006&lt;/year&gt;&lt;pub-dates&gt;&lt;date&gt;2006/04/01/&lt;/date&gt;&lt;/pub-dates&gt;&lt;/dates&gt;&lt;isbn&gt;1053-8119&lt;/isbn&gt;&lt;urls&gt;&lt;related-urls&gt;&lt;url&gt;https://www.sciencedirect.com/science/article/pii/S1053811905007299&lt;/url&gt;&lt;/related-urls&gt;&lt;/urls&gt;&lt;electronic-resource-num&gt;https://doi.org/10.1016/j.neuroimage.2005.09.046&lt;/electronic-resource-num&gt;&lt;/record&gt;&lt;/Cite&gt;&lt;/EndNote&gt;</w:instrText>
      </w:r>
      <w:r w:rsidRPr="003913FD">
        <w:fldChar w:fldCharType="separate"/>
      </w:r>
      <w:r>
        <w:rPr>
          <w:noProof/>
        </w:rPr>
        <w:t>[31]</w:t>
      </w:r>
      <w:r w:rsidRPr="003913FD">
        <w:fldChar w:fldCharType="end"/>
      </w:r>
      <w:r w:rsidRPr="003913FD">
        <w:t xml:space="preserve"> and phase distortion </w:t>
      </w:r>
      <w:r w:rsidRPr="003913FD">
        <w:fldChar w:fldCharType="begin"/>
      </w:r>
      <w:r>
        <w:instrText xml:space="preserve"> ADDIN EN.CITE &lt;EndNote&gt;&lt;Cite&gt;&lt;Author&gt;Markl&lt;/Author&gt;&lt;Year&gt;2003&lt;/Year&gt;&lt;RecNum&gt;296&lt;/RecNum&gt;&lt;DisplayText&gt;[32]&lt;/DisplayText&gt;&lt;record&gt;&lt;rec-number&gt;296&lt;/rec-number&gt;&lt;foreign-keys&gt;&lt;key app="EN" db-id="d5parae5yretsne9f9pxa9fos0rz0twp9ae9" timestamp="1756483848"&gt;296&lt;/key&gt;&lt;/foreign-keys&gt;&lt;ref-type name="Journal Article"&gt;17&lt;/ref-type&gt;&lt;contributors&gt;&lt;authors&gt;&lt;author&gt;Markl, M.&lt;/author&gt;&lt;author&gt;Bammer, R.&lt;/author&gt;&lt;author&gt;Alley, M.T.&lt;/author&gt;&lt;author&gt;Elkins, C.J.&lt;/author&gt;&lt;author&gt;Draney, M.T.&lt;/author&gt;&lt;author&gt;Barnett, A.&lt;/author&gt;&lt;author&gt;Moseley, M.E.&lt;/author&gt;&lt;author&gt;Glover, G.H.&lt;/author&gt;&lt;author&gt;Pelc, N.J.&lt;/author&gt;&lt;/authors&gt;&lt;/contributors&gt;&lt;titles&gt;&lt;title&gt;Generalized reconstruction of phase contrast MRI: Analysis and correction of the effect of gradient field distortions&lt;/title&gt;&lt;secondary-title&gt;Magnetic Resonance in Medicine&lt;/secondary-title&gt;&lt;/titles&gt;&lt;periodical&gt;&lt;full-title&gt;Magnetic Resonance in Medicine&lt;/full-title&gt;&lt;/periodical&gt;&lt;pages&gt;791-801&lt;/pages&gt;&lt;volume&gt;50&lt;/volume&gt;&lt;number&gt;4&lt;/number&gt;&lt;dates&gt;&lt;year&gt;2003&lt;/year&gt;&lt;/dates&gt;&lt;isbn&gt;0740-3194&lt;/isbn&gt;&lt;urls&gt;&lt;related-urls&gt;&lt;url&gt;https://onlinelibrary.wiley.com/doi/abs/10.1002/mrm.10582&lt;/url&gt;&lt;/related-urls&gt;&lt;/urls&gt;&lt;electronic-resource-num&gt;https://doi.org/10.1002/mrm.10582&lt;/electronic-resource-num&gt;&lt;/record&gt;&lt;/Cite&gt;&lt;/EndNote&gt;</w:instrText>
      </w:r>
      <w:r w:rsidRPr="003913FD">
        <w:fldChar w:fldCharType="separate"/>
      </w:r>
      <w:r>
        <w:rPr>
          <w:noProof/>
        </w:rPr>
        <w:t>[32]</w:t>
      </w:r>
      <w:r w:rsidRPr="003913FD">
        <w:fldChar w:fldCharType="end"/>
      </w:r>
      <w:r w:rsidRPr="003913FD">
        <w:t xml:space="preserve"> caused by magnetic field non-linearities, which can have a non-negligible effect on the results at large distances from the isocenter. Maps of velocity measurement uncertainty were computed voxel-wise as the standard deviation across independent background subtracted scans and used t-student 95% confidence intervals. For all velocity components the uncertainty is below 3% of the VENC in the freestream, with higher uncertainties up to 6% on average in the recirculation regions behind the roughness elements.</w:t>
      </w:r>
    </w:p>
    <w:p w:rsidR="00086CE1" w:rsidRPr="003913FD" w:rsidRDefault="00086CE1" w:rsidP="00086CE1">
      <w:pPr>
        <w:pStyle w:val="PaperBody"/>
      </w:pPr>
      <w:r w:rsidRPr="003913FD">
        <w:t xml:space="preserve">MRC measurements used the Siemens VIBE sequence, a 3D T1 weighted gradient echo sequence. Preliminary scans included static calibrations with vials at different molarities and flip angles varying between 10 and 60 degrees, and dynamic calibration scans with flow at nominal conditions at increasing levels of CuSO4 molarity. Scans at 90 degrees flip angle varying TR were also performed to estimate the T1 for increasing molarity. Dynamic calibration scans served to verify the range of signal linearity for two candidate flip angles that maximized the dynamic range, to determine the reference molarity and those for the standard scans, and to optimize sequence parameters. Non-selective excitation was used to minimize inlet artifacts, and a strong asymmetric echo was employed to reduce TE times, minimizing flow artifacts in regions of high velocity.  RF and gradient spoiling (crusher gradients) were also employed. The flip angle used was 45 degrees, and 0.014M CuSO4 solution was chosen as the reference, at about 50% of the upper concentration limit for signal linearity. This conservative reference ensured linearity between signal and concentration was maintained in the full domain despite spatial flip angle variations away from isocenter. Standard high and standard super high scans </w:t>
      </w:r>
      <w:r w:rsidRPr="003913FD">
        <w:t xml:space="preserve">used 0.06M and 0.112M solutions, respectively, at the injector to reduce the uncertainty in the low concentration regions. An additional dynamic calibration was performed the day with the phantom and coils at position to obtain a voxel-by-voxel signal versus molarity calibration curve. It was used to directly reconstruct the concentration field from the raw intensity data and used for verification. Each scan required 76 s, with echo and repetition times of TE = 1.57 ms and TR = 9.5 ms, A total of 20 scans was performed for each scan set: background, with only pure water; reference, with only 0.014M solution; and three standard scans with pure water at the main inlet and 0.014M, 0.06M and 0.112M solutions at the injector, corresponding to standard, standard high and standard super high, respectively. </w:t>
      </w:r>
    </w:p>
    <w:p w:rsidR="00086CE1" w:rsidRPr="003913FD" w:rsidRDefault="00086CE1" w:rsidP="00086CE1">
      <w:pPr>
        <w:pStyle w:val="PaperBody"/>
      </w:pPr>
      <w:r w:rsidRPr="003913FD">
        <w:t xml:space="preserve">MRC data processing followed the methodology described in </w:t>
      </w:r>
      <w:r w:rsidRPr="003913FD">
        <w:fldChar w:fldCharType="begin"/>
      </w:r>
      <w:r w:rsidRPr="003913FD">
        <w:instrText xml:space="preserve"> ADDIN EN.CITE &lt;EndNote&gt;&lt;Cite&gt;&lt;Author&gt;Banko&lt;/Author&gt;&lt;Year&gt;2020&lt;/Year&gt;&lt;RecNum&gt;210&lt;/RecNum&gt;&lt;DisplayText&gt;[12]&lt;/DisplayText&gt;&lt;record&gt;&lt;rec-number&gt;210&lt;/rec-number&gt;&lt;foreign-keys&gt;&lt;key app="EN" db-id="0rf0eeefpsx2aqedxs6pzpzu5drept20tv5d" timestamp="1737668703" guid="4e01e48b-cf0e-407e-b081-394b59d1127c"&gt;210&lt;/key&gt;&lt;/foreign-keys&gt;&lt;ref-type name="Journal Article"&gt;17&lt;/ref-type&gt;&lt;contributors&gt;&lt;authors&gt;&lt;author&gt;Banko, Andrew J.&lt;/author&gt;&lt;author&gt;Benson, Michael J.&lt;/author&gt;&lt;author&gt;Gunady, Ian E.&lt;/author&gt;&lt;author&gt;Elkins, Christopher J.&lt;/author&gt;&lt;author&gt;Eaton, John K.&lt;/author&gt;&lt;/authors&gt;&lt;/contributors&gt;&lt;titles&gt;&lt;title&gt;An improved three-dimensional concentration measurement technique using magnetic resonance imaging&lt;/title&gt;&lt;secondary-title&gt;Experiments in Fluids&lt;/secondary-title&gt;&lt;/titles&gt;&lt;periodical&gt;&lt;full-title&gt;Experiments in Fluids&lt;/full-title&gt;&lt;/periodical&gt;&lt;pages&gt;53&lt;/pages&gt;&lt;volume&gt;61&lt;/volume&gt;&lt;number&gt;2&lt;/number&gt;&lt;dates&gt;&lt;year&gt;2020&lt;/year&gt;&lt;pub-dates&gt;&lt;date&gt;2020/01/30&lt;/date&gt;&lt;/pub-dates&gt;&lt;/dates&gt;&lt;isbn&gt;1432-1114&lt;/isbn&gt;&lt;urls&gt;&lt;related-urls&gt;&lt;url&gt;https://doi.org/10.1007/s00348-020-2889-9&lt;/url&gt;&lt;/related-urls&gt;&lt;/urls&gt;&lt;electronic-resource-num&gt;10.1007/s00348-020-2889-9&lt;/electronic-resource-num&gt;&lt;/record&gt;&lt;/Cite&gt;&lt;/EndNote&gt;</w:instrText>
      </w:r>
      <w:r w:rsidRPr="003913FD">
        <w:fldChar w:fldCharType="separate"/>
      </w:r>
      <w:r w:rsidRPr="003913FD">
        <w:rPr>
          <w:noProof/>
        </w:rPr>
        <w:t>[12]</w:t>
      </w:r>
      <w:r w:rsidRPr="003913FD">
        <w:fldChar w:fldCharType="end"/>
      </w:r>
      <w:r w:rsidRPr="003913FD">
        <w:t>. Averaging of the 20 realizations per scan type was done in k-space to minimize biases in low concentration regions, followed by reconstruction into real-space signal magnitude data. The average background was subtracted from each standard scan at different injector molarities and normalized using the difference between the reference standard and background averaged data. The 3 normalized sets of data were combined into a single normalized concentration field by stitching and scaling the data such that only regions where the concentration falls in the linear range were used and the uncertainty on the resultant field was minimized. Effectively, the well-mixed regions downstream of injection fall within the linear range when a high molarity solution is injected (even if near the injection point the signal is not linear with concentration) and provide a higher signal than that obtained from the standard scan. The different datasets were blended smoothly by using 20% overlap regions in normalized concentration between the Standard and Standard-high and the Standard high and Standard super-high, which also served to identify the scaling factors for the two high injector molarity datasets through voxel-wise root-mean-square difference normalized concentration minimization. Scaling factors were within 10% of the ratio between molarities supplied at the injector.</w:t>
      </w:r>
    </w:p>
    <w:p w:rsidR="00086CE1" w:rsidRPr="003913FD" w:rsidRDefault="00086CE1" w:rsidP="00086CE1">
      <w:pPr>
        <w:pStyle w:val="PaperBody"/>
      </w:pPr>
      <w:r w:rsidRPr="003913FD">
        <w:t xml:space="preserve">Concentration uncertainty maps, with corresponding t-student 95% confidence intervals, were estimated by propagating the voxel-wise variance across realizations for each background, reference and standard scan individually, and propagating uncertainties through the calculation of the normalized concentrations and stitching. This procedure yields slightly higher uncertainty values than if the variance is calculated across standard scans using precomputed average reference and background scans.  The </w:t>
      </w:r>
      <w:r w:rsidRPr="003913FD">
        <w:lastRenderedPageBreak/>
        <w:t>uncertainty is highest near the injector release, with local values up to about 10% of the injected concentration upstream of the first roughness element that decrease sharply to uncertainties below 3.5 % downstream within the plume.</w:t>
      </w:r>
    </w:p>
    <w:p w:rsidR="003351B0" w:rsidRDefault="003351B0">
      <w:bookmarkStart w:id="1" w:name="_GoBack"/>
      <w:bookmarkEnd w:id="1"/>
    </w:p>
    <w:sectPr w:rsidR="003351B0" w:rsidSect="00086CE1">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D995F0C"/>
    <w:multiLevelType w:val="multilevel"/>
    <w:tmpl w:val="04090025"/>
    <w:lvl w:ilvl="0">
      <w:start w:val="1"/>
      <w:numFmt w:val="decimal"/>
      <w:pStyle w:val="Heading1"/>
      <w:lvlText w:val="%1"/>
      <w:lvlJc w:val="left"/>
      <w:pPr>
        <w:ind w:left="85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CE1"/>
    <w:rsid w:val="00086CE1"/>
    <w:rsid w:val="000A5098"/>
    <w:rsid w:val="000A590A"/>
    <w:rsid w:val="000F1687"/>
    <w:rsid w:val="00117B9D"/>
    <w:rsid w:val="00264B7C"/>
    <w:rsid w:val="00275A52"/>
    <w:rsid w:val="002B26B3"/>
    <w:rsid w:val="003351B0"/>
    <w:rsid w:val="003F4516"/>
    <w:rsid w:val="00401CC8"/>
    <w:rsid w:val="0047147E"/>
    <w:rsid w:val="00477B37"/>
    <w:rsid w:val="005222D6"/>
    <w:rsid w:val="00723D54"/>
    <w:rsid w:val="00766942"/>
    <w:rsid w:val="008F11C2"/>
    <w:rsid w:val="009D77B5"/>
    <w:rsid w:val="00A51B73"/>
    <w:rsid w:val="00A65FFE"/>
    <w:rsid w:val="00C33DD3"/>
    <w:rsid w:val="00C448BB"/>
    <w:rsid w:val="00D75334"/>
    <w:rsid w:val="00E13776"/>
    <w:rsid w:val="00F13027"/>
    <w:rsid w:val="00F23F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6ACEE2-0113-45A8-B922-42F0A0E1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86CE1"/>
    <w:pPr>
      <w:keepNext/>
      <w:keepLines/>
      <w:numPr>
        <w:numId w:val="1"/>
      </w:numPr>
      <w:spacing w:before="360" w:after="80" w:line="278" w:lineRule="auto"/>
      <w:ind w:left="432"/>
      <w:outlineLvl w:val="0"/>
    </w:pPr>
    <w:rPr>
      <w:rFonts w:asciiTheme="majorHAnsi" w:eastAsiaTheme="majorEastAsia" w:hAnsiTheme="majorHAnsi" w:cstheme="majorBidi"/>
      <w:b/>
      <w:color w:val="000000" w:themeColor="text1"/>
      <w:kern w:val="2"/>
      <w:sz w:val="28"/>
      <w:szCs w:val="40"/>
      <w14:ligatures w14:val="standardContextual"/>
    </w:rPr>
  </w:style>
  <w:style w:type="paragraph" w:styleId="Heading2">
    <w:name w:val="heading 2"/>
    <w:basedOn w:val="Normal"/>
    <w:next w:val="Normal"/>
    <w:link w:val="Heading2Char"/>
    <w:uiPriority w:val="9"/>
    <w:unhideWhenUsed/>
    <w:qFormat/>
    <w:rsid w:val="00086CE1"/>
    <w:pPr>
      <w:keepNext/>
      <w:keepLines/>
      <w:numPr>
        <w:ilvl w:val="1"/>
        <w:numId w:val="1"/>
      </w:numPr>
      <w:spacing w:before="160" w:after="80" w:line="278" w:lineRule="auto"/>
      <w:outlineLvl w:val="1"/>
    </w:pPr>
    <w:rPr>
      <w:rFonts w:asciiTheme="majorHAnsi" w:eastAsiaTheme="majorEastAsia" w:hAnsiTheme="majorHAnsi" w:cstheme="majorBidi"/>
      <w:b/>
      <w:kern w:val="2"/>
      <w:sz w:val="24"/>
      <w:szCs w:val="32"/>
      <w14:ligatures w14:val="standardContextual"/>
    </w:rPr>
  </w:style>
  <w:style w:type="paragraph" w:styleId="Heading3">
    <w:name w:val="heading 3"/>
    <w:basedOn w:val="Normal"/>
    <w:next w:val="Normal"/>
    <w:link w:val="Heading3Char"/>
    <w:uiPriority w:val="9"/>
    <w:unhideWhenUsed/>
    <w:qFormat/>
    <w:rsid w:val="00086CE1"/>
    <w:pPr>
      <w:keepNext/>
      <w:keepLines/>
      <w:numPr>
        <w:ilvl w:val="2"/>
        <w:numId w:val="1"/>
      </w:numPr>
      <w:spacing w:before="160" w:after="80" w:line="278" w:lineRule="auto"/>
      <w:outlineLvl w:val="2"/>
    </w:pPr>
    <w:rPr>
      <w:rFonts w:eastAsiaTheme="majorEastAsia" w:cstheme="majorBidi"/>
      <w:color w:val="2E74B5"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6CE1"/>
    <w:pPr>
      <w:keepNext/>
      <w:keepLines/>
      <w:numPr>
        <w:ilvl w:val="3"/>
        <w:numId w:val="1"/>
      </w:numPr>
      <w:spacing w:before="80" w:after="40" w:line="278" w:lineRule="auto"/>
      <w:outlineLvl w:val="3"/>
    </w:pPr>
    <w:rPr>
      <w:rFonts w:eastAsiaTheme="majorEastAsia"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86CE1"/>
    <w:pPr>
      <w:keepNext/>
      <w:keepLines/>
      <w:numPr>
        <w:ilvl w:val="4"/>
        <w:numId w:val="1"/>
      </w:numPr>
      <w:spacing w:before="80" w:after="40" w:line="278" w:lineRule="auto"/>
      <w:outlineLvl w:val="4"/>
    </w:pPr>
    <w:rPr>
      <w:rFonts w:eastAsiaTheme="majorEastAsia"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86CE1"/>
    <w:pPr>
      <w:keepNext/>
      <w:keepLines/>
      <w:numPr>
        <w:ilvl w:val="5"/>
        <w:numId w:val="1"/>
      </w:numPr>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86CE1"/>
    <w:pPr>
      <w:keepNext/>
      <w:keepLines/>
      <w:numPr>
        <w:ilvl w:val="6"/>
        <w:numId w:val="1"/>
      </w:numPr>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86CE1"/>
    <w:pPr>
      <w:keepNext/>
      <w:keepLines/>
      <w:numPr>
        <w:ilvl w:val="7"/>
        <w:numId w:val="1"/>
      </w:numPr>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86CE1"/>
    <w:pPr>
      <w:keepNext/>
      <w:keepLines/>
      <w:numPr>
        <w:ilvl w:val="8"/>
        <w:numId w:val="1"/>
      </w:numPr>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CE1"/>
    <w:rPr>
      <w:rFonts w:asciiTheme="majorHAnsi" w:eastAsiaTheme="majorEastAsia" w:hAnsiTheme="majorHAnsi" w:cstheme="majorBidi"/>
      <w:b/>
      <w:color w:val="000000" w:themeColor="text1"/>
      <w:kern w:val="2"/>
      <w:sz w:val="28"/>
      <w:szCs w:val="40"/>
      <w14:ligatures w14:val="standardContextual"/>
    </w:rPr>
  </w:style>
  <w:style w:type="character" w:customStyle="1" w:styleId="Heading2Char">
    <w:name w:val="Heading 2 Char"/>
    <w:basedOn w:val="DefaultParagraphFont"/>
    <w:link w:val="Heading2"/>
    <w:uiPriority w:val="9"/>
    <w:rsid w:val="00086CE1"/>
    <w:rPr>
      <w:rFonts w:asciiTheme="majorHAnsi" w:eastAsiaTheme="majorEastAsia" w:hAnsiTheme="majorHAnsi" w:cstheme="majorBidi"/>
      <w:b/>
      <w:kern w:val="2"/>
      <w:sz w:val="24"/>
      <w:szCs w:val="32"/>
      <w14:ligatures w14:val="standardContextual"/>
    </w:rPr>
  </w:style>
  <w:style w:type="character" w:customStyle="1" w:styleId="Heading3Char">
    <w:name w:val="Heading 3 Char"/>
    <w:basedOn w:val="DefaultParagraphFont"/>
    <w:link w:val="Heading3"/>
    <w:uiPriority w:val="9"/>
    <w:rsid w:val="00086CE1"/>
    <w:rPr>
      <w:rFonts w:eastAsiaTheme="majorEastAsia" w:cstheme="majorBidi"/>
      <w:color w:val="2E74B5"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086CE1"/>
    <w:rPr>
      <w:rFonts w:eastAsiaTheme="majorEastAsia" w:cstheme="majorBidi"/>
      <w:i/>
      <w:iCs/>
      <w:color w:val="2E74B5" w:themeColor="accent1" w:themeShade="BF"/>
      <w:kern w:val="2"/>
      <w:sz w:val="24"/>
      <w:szCs w:val="24"/>
      <w14:ligatures w14:val="standardContextual"/>
    </w:rPr>
  </w:style>
  <w:style w:type="character" w:customStyle="1" w:styleId="Heading5Char">
    <w:name w:val="Heading 5 Char"/>
    <w:basedOn w:val="DefaultParagraphFont"/>
    <w:link w:val="Heading5"/>
    <w:uiPriority w:val="9"/>
    <w:semiHidden/>
    <w:rsid w:val="00086CE1"/>
    <w:rPr>
      <w:rFonts w:eastAsiaTheme="majorEastAsia" w:cstheme="majorBidi"/>
      <w:color w:val="2E74B5" w:themeColor="accent1" w:themeShade="BF"/>
      <w:kern w:val="2"/>
      <w:sz w:val="24"/>
      <w:szCs w:val="24"/>
      <w14:ligatures w14:val="standardContextual"/>
    </w:rPr>
  </w:style>
  <w:style w:type="character" w:customStyle="1" w:styleId="Heading6Char">
    <w:name w:val="Heading 6 Char"/>
    <w:basedOn w:val="DefaultParagraphFont"/>
    <w:link w:val="Heading6"/>
    <w:uiPriority w:val="9"/>
    <w:semiHidden/>
    <w:rsid w:val="00086CE1"/>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086CE1"/>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086CE1"/>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086CE1"/>
    <w:rPr>
      <w:rFonts w:eastAsiaTheme="majorEastAsia" w:cstheme="majorBidi"/>
      <w:color w:val="272727" w:themeColor="text1" w:themeTint="D8"/>
      <w:kern w:val="2"/>
      <w:sz w:val="24"/>
      <w:szCs w:val="24"/>
      <w14:ligatures w14:val="standardContextual"/>
    </w:rPr>
  </w:style>
  <w:style w:type="paragraph" w:customStyle="1" w:styleId="PaperBody">
    <w:name w:val="Paper_Body"/>
    <w:basedOn w:val="Normal"/>
    <w:link w:val="PaperBodyChar"/>
    <w:qFormat/>
    <w:rsid w:val="00086CE1"/>
    <w:pPr>
      <w:spacing w:line="240" w:lineRule="auto"/>
      <w:jc w:val="both"/>
    </w:pPr>
    <w:rPr>
      <w:rFonts w:ascii="Times New Roman" w:hAnsi="Times New Roman"/>
      <w:bCs/>
      <w:kern w:val="2"/>
      <w:sz w:val="20"/>
      <w:szCs w:val="24"/>
      <w14:ligatures w14:val="standardContextual"/>
    </w:rPr>
  </w:style>
  <w:style w:type="character" w:customStyle="1" w:styleId="PaperBodyChar">
    <w:name w:val="Paper_Body Char"/>
    <w:basedOn w:val="DefaultParagraphFont"/>
    <w:link w:val="PaperBody"/>
    <w:rsid w:val="00086CE1"/>
    <w:rPr>
      <w:rFonts w:ascii="Times New Roman" w:hAnsi="Times New Roman"/>
      <w:bCs/>
      <w:kern w:val="2"/>
      <w:sz w:val="20"/>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7541</Words>
  <Characters>42990</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50431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Tuslima Sathik Basha</dc:creator>
  <cp:keywords/>
  <dc:description/>
  <cp:lastModifiedBy>Tuslima Sathik Basha</cp:lastModifiedBy>
  <cp:revision>1</cp:revision>
  <dcterms:created xsi:type="dcterms:W3CDTF">2026-05-04T11:17:00Z</dcterms:created>
  <dcterms:modified xsi:type="dcterms:W3CDTF">2026-05-04T11:17:00Z</dcterms:modified>
</cp:coreProperties>
</file>