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0A3A7" w14:textId="48183F3D" w:rsidR="00F55CFB" w:rsidRPr="001C74AD" w:rsidRDefault="00D137CE">
      <w:pPr>
        <w:rPr>
          <w:b/>
          <w:bCs/>
          <w:lang w:val="en-US"/>
        </w:rPr>
      </w:pPr>
      <w:r w:rsidRPr="001C74AD">
        <w:rPr>
          <w:b/>
          <w:bCs/>
          <w:lang w:val="en-US"/>
        </w:rPr>
        <w:t>Supplementary Material</w:t>
      </w:r>
    </w:p>
    <w:p w14:paraId="653EE618" w14:textId="390E05E1" w:rsidR="00D137CE" w:rsidRPr="001C74AD" w:rsidRDefault="00D137CE">
      <w:pPr>
        <w:rPr>
          <w:lang w:val="en-US"/>
        </w:rPr>
      </w:pPr>
    </w:p>
    <w:p w14:paraId="6A045670" w14:textId="4C7C9D38" w:rsidR="00D137CE" w:rsidRPr="001C74AD" w:rsidRDefault="001C74A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3A85B09" wp14:editId="6E4DBE23">
            <wp:extent cx="5607050" cy="3714750"/>
            <wp:effectExtent l="0" t="0" r="0" b="0"/>
            <wp:docPr id="2" name="Grafik 2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Diagramm enthält.&#10;&#10;Automatisch generierte Beschreibu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2" r="2996" b="2489"/>
                    <a:stretch/>
                  </pic:blipFill>
                  <pic:spPr bwMode="auto">
                    <a:xfrm>
                      <a:off x="0" y="0"/>
                      <a:ext cx="5627929" cy="3728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29237" w14:textId="3DEF603D" w:rsidR="00D137CE" w:rsidRPr="00721FC4" w:rsidRDefault="00D137CE">
      <w:pPr>
        <w:rPr>
          <w:sz w:val="18"/>
          <w:szCs w:val="18"/>
          <w:lang w:val="en-US"/>
        </w:rPr>
      </w:pPr>
      <w:r w:rsidRPr="00721FC4">
        <w:rPr>
          <w:b/>
          <w:bCs/>
          <w:sz w:val="18"/>
          <w:szCs w:val="18"/>
          <w:lang w:val="en-US"/>
        </w:rPr>
        <w:t>Fig</w:t>
      </w:r>
      <w:r w:rsidR="00955215" w:rsidRPr="00721FC4">
        <w:rPr>
          <w:b/>
          <w:bCs/>
          <w:sz w:val="18"/>
          <w:szCs w:val="18"/>
          <w:lang w:val="en-US"/>
        </w:rPr>
        <w:t>.</w:t>
      </w:r>
      <w:r w:rsidRPr="00721FC4">
        <w:rPr>
          <w:b/>
          <w:bCs/>
          <w:sz w:val="18"/>
          <w:szCs w:val="18"/>
          <w:lang w:val="en-US"/>
        </w:rPr>
        <w:t xml:space="preserve"> S1</w:t>
      </w:r>
      <w:r w:rsidR="00955215" w:rsidRPr="00721FC4">
        <w:rPr>
          <w:b/>
          <w:bCs/>
          <w:sz w:val="18"/>
          <w:szCs w:val="18"/>
          <w:lang w:val="en-US"/>
        </w:rPr>
        <w:t xml:space="preserve"> </w:t>
      </w:r>
      <w:r w:rsidR="00955215" w:rsidRPr="00721FC4">
        <w:rPr>
          <w:sz w:val="18"/>
          <w:szCs w:val="18"/>
          <w:lang w:val="en-US"/>
        </w:rPr>
        <w:t>A</w:t>
      </w:r>
      <w:r w:rsidR="003045AE" w:rsidRPr="00721FC4">
        <w:rPr>
          <w:sz w:val="18"/>
          <w:szCs w:val="18"/>
          <w:lang w:val="en-US"/>
        </w:rPr>
        <w:t xml:space="preserve">ctivity data for male </w:t>
      </w:r>
      <w:r w:rsidR="003045AE" w:rsidRPr="00721FC4">
        <w:rPr>
          <w:i/>
          <w:iCs/>
          <w:sz w:val="18"/>
          <w:szCs w:val="18"/>
          <w:lang w:val="en-US"/>
        </w:rPr>
        <w:t xml:space="preserve">D. ezoana </w:t>
      </w:r>
      <w:r w:rsidR="003045AE" w:rsidRPr="00721FC4">
        <w:rPr>
          <w:sz w:val="18"/>
          <w:szCs w:val="18"/>
          <w:lang w:val="en-US"/>
        </w:rPr>
        <w:t xml:space="preserve">flies. </w:t>
      </w:r>
      <w:r w:rsidR="003045AE" w:rsidRPr="00721FC4">
        <w:rPr>
          <w:b/>
          <w:bCs/>
          <w:sz w:val="18"/>
          <w:szCs w:val="18"/>
          <w:lang w:val="en-US"/>
        </w:rPr>
        <w:t>a</w:t>
      </w:r>
      <w:r w:rsidR="003045AE" w:rsidRPr="00721FC4">
        <w:rPr>
          <w:sz w:val="18"/>
          <w:szCs w:val="18"/>
          <w:lang w:val="en-US"/>
        </w:rPr>
        <w:t xml:space="preserve"> A</w:t>
      </w:r>
      <w:r w:rsidR="00955215" w:rsidRPr="00721FC4">
        <w:rPr>
          <w:sz w:val="18"/>
          <w:szCs w:val="18"/>
          <w:lang w:val="en-US"/>
        </w:rPr>
        <w:t xml:space="preserve">verage activity profiles </w:t>
      </w:r>
      <w:r w:rsidR="003045AE" w:rsidRPr="00721FC4">
        <w:rPr>
          <w:sz w:val="18"/>
          <w:szCs w:val="18"/>
          <w:lang w:val="en-GB"/>
        </w:rPr>
        <w:t>at the three photoperiods (PP) and two Zeitgeber periods (T). Thick arrows mark the estimated peaks of morning and evening activity, while arrowheads mark the rare visible lights-on and lights-off startle responses.</w:t>
      </w:r>
      <w:r w:rsidR="00955215" w:rsidRPr="00721FC4">
        <w:rPr>
          <w:sz w:val="18"/>
          <w:szCs w:val="18"/>
          <w:lang w:val="en-US"/>
        </w:rPr>
        <w:t xml:space="preserve"> </w:t>
      </w:r>
      <w:r w:rsidR="00955215" w:rsidRPr="00721FC4">
        <w:rPr>
          <w:b/>
          <w:bCs/>
          <w:sz w:val="18"/>
          <w:szCs w:val="18"/>
          <w:lang w:val="en-US"/>
        </w:rPr>
        <w:t>b</w:t>
      </w:r>
      <w:r w:rsidR="00955215" w:rsidRPr="00721FC4">
        <w:rPr>
          <w:sz w:val="18"/>
          <w:szCs w:val="18"/>
          <w:lang w:val="en-US"/>
        </w:rPr>
        <w:t xml:space="preserve"> Boxplots showing the time passed </w:t>
      </w:r>
      <w:r w:rsidR="00955215" w:rsidRPr="00721FC4">
        <w:rPr>
          <w:sz w:val="18"/>
          <w:szCs w:val="18"/>
          <w:lang w:val="en-GB"/>
        </w:rPr>
        <w:t xml:space="preserve">between morning and evening peaks (M – E peak), </w:t>
      </w:r>
      <w:r w:rsidR="003045AE" w:rsidRPr="00721FC4">
        <w:rPr>
          <w:sz w:val="18"/>
          <w:szCs w:val="18"/>
          <w:lang w:val="en-GB"/>
        </w:rPr>
        <w:t>between lights-on and the evening peak (L</w:t>
      </w:r>
      <w:r w:rsidR="003045AE" w:rsidRPr="00721FC4">
        <w:rPr>
          <w:sz w:val="18"/>
          <w:szCs w:val="18"/>
          <w:vertAlign w:val="subscript"/>
          <w:lang w:val="en-GB"/>
        </w:rPr>
        <w:t>on</w:t>
      </w:r>
      <w:r w:rsidR="003045AE" w:rsidRPr="00721FC4">
        <w:rPr>
          <w:sz w:val="18"/>
          <w:szCs w:val="18"/>
          <w:lang w:val="en-GB"/>
        </w:rPr>
        <w:t>-E peak), and between lights-off and the morning peak (L</w:t>
      </w:r>
      <w:r w:rsidR="003045AE" w:rsidRPr="00721FC4">
        <w:rPr>
          <w:sz w:val="18"/>
          <w:szCs w:val="18"/>
          <w:vertAlign w:val="subscript"/>
          <w:lang w:val="en-GB"/>
        </w:rPr>
        <w:t>off</w:t>
      </w:r>
      <w:r w:rsidR="003045AE" w:rsidRPr="00721FC4">
        <w:rPr>
          <w:sz w:val="18"/>
          <w:szCs w:val="18"/>
          <w:lang w:val="en-GB"/>
        </w:rPr>
        <w:t>-M peak) at the 3 photoperiods and 2 Zeitgeber periods. The horizontal stippled lines represent the critical nightlength (c) for diapause induction as determined by Vaze and Helfrich-Förster (2016).</w:t>
      </w:r>
    </w:p>
    <w:sectPr w:rsidR="00D137CE" w:rsidRPr="00721F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CE"/>
    <w:rsid w:val="001C74AD"/>
    <w:rsid w:val="00272A7D"/>
    <w:rsid w:val="003045AE"/>
    <w:rsid w:val="00567AA1"/>
    <w:rsid w:val="00721FC4"/>
    <w:rsid w:val="00955215"/>
    <w:rsid w:val="00D137CE"/>
    <w:rsid w:val="00F17CB7"/>
    <w:rsid w:val="00F5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9FD0"/>
  <w15:chartTrackingRefBased/>
  <w15:docId w15:val="{72D54670-21B5-4A18-96E0-F907397E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2A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72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Wuerzburg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Förster</dc:creator>
  <cp:keywords/>
  <dc:description/>
  <cp:lastModifiedBy>Charlotte Förster</cp:lastModifiedBy>
  <cp:revision>3</cp:revision>
  <dcterms:created xsi:type="dcterms:W3CDTF">2023-04-30T06:54:00Z</dcterms:created>
  <dcterms:modified xsi:type="dcterms:W3CDTF">2023-04-30T06:55:00Z</dcterms:modified>
</cp:coreProperties>
</file>