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F05E2" w14:textId="697EA2E0" w:rsidR="009E6C5D" w:rsidRDefault="00D4602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Table 1: </w:t>
      </w:r>
      <w:r w:rsidR="009D6CCB">
        <w:rPr>
          <w:rFonts w:ascii="Arial" w:eastAsia="Arial" w:hAnsi="Arial" w:cs="Arial"/>
          <w:b/>
        </w:rPr>
        <w:t xml:space="preserve">A comparison of </w:t>
      </w:r>
      <w:r>
        <w:rPr>
          <w:rFonts w:ascii="Arial" w:eastAsia="Arial" w:hAnsi="Arial" w:cs="Arial"/>
          <w:b/>
        </w:rPr>
        <w:t>single cell/nuclei RNA sequencing methods</w:t>
      </w:r>
    </w:p>
    <w:p w14:paraId="22C7AE85" w14:textId="77777777" w:rsidR="00794C8A" w:rsidRDefault="00794C8A">
      <w:pPr>
        <w:rPr>
          <w:rFonts w:ascii="Arial" w:eastAsia="Arial" w:hAnsi="Arial" w:cs="Arial"/>
          <w:b/>
        </w:rPr>
      </w:pPr>
    </w:p>
    <w:tbl>
      <w:tblPr>
        <w:tblStyle w:val="a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3"/>
        <w:gridCol w:w="2465"/>
        <w:gridCol w:w="3827"/>
        <w:gridCol w:w="3260"/>
        <w:gridCol w:w="3686"/>
      </w:tblGrid>
      <w:tr w:rsidR="009E6C5D" w14:paraId="3D0B88C8" w14:textId="77777777" w:rsidTr="00596F7E">
        <w:tc>
          <w:tcPr>
            <w:tcW w:w="1783" w:type="dxa"/>
          </w:tcPr>
          <w:p w14:paraId="02519229" w14:textId="77777777" w:rsidR="009E6C5D" w:rsidRDefault="00D4602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Approach</w:t>
            </w:r>
          </w:p>
        </w:tc>
        <w:tc>
          <w:tcPr>
            <w:tcW w:w="2465" w:type="dxa"/>
          </w:tcPr>
          <w:p w14:paraId="0E60E778" w14:textId="77777777" w:rsidR="009E6C5D" w:rsidRDefault="00D4602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Platform</w:t>
            </w:r>
          </w:p>
        </w:tc>
        <w:tc>
          <w:tcPr>
            <w:tcW w:w="3827" w:type="dxa"/>
          </w:tcPr>
          <w:p w14:paraId="369C9F65" w14:textId="77777777" w:rsidR="009E6C5D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12121"/>
                <w:sz w:val="22"/>
                <w:szCs w:val="22"/>
              </w:rPr>
              <w:t>Methodology</w:t>
            </w:r>
          </w:p>
        </w:tc>
        <w:tc>
          <w:tcPr>
            <w:tcW w:w="3260" w:type="dxa"/>
          </w:tcPr>
          <w:p w14:paraId="319BA408" w14:textId="77777777" w:rsidR="009E6C5D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12121"/>
                <w:sz w:val="22"/>
                <w:szCs w:val="22"/>
              </w:rPr>
              <w:t>Advantages</w:t>
            </w:r>
          </w:p>
        </w:tc>
        <w:tc>
          <w:tcPr>
            <w:tcW w:w="3686" w:type="dxa"/>
          </w:tcPr>
          <w:p w14:paraId="3AF0A58B" w14:textId="77777777" w:rsidR="009E6C5D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12121"/>
                <w:sz w:val="22"/>
                <w:szCs w:val="22"/>
              </w:rPr>
              <w:t>Limitations</w:t>
            </w:r>
          </w:p>
        </w:tc>
      </w:tr>
      <w:tr w:rsidR="009E6C5D" w:rsidRPr="00596F7E" w14:paraId="38BFA220" w14:textId="77777777" w:rsidTr="00596F7E">
        <w:tc>
          <w:tcPr>
            <w:tcW w:w="1783" w:type="dxa"/>
          </w:tcPr>
          <w:p w14:paraId="7E8B3ED6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>Plate based methods</w:t>
            </w:r>
          </w:p>
        </w:tc>
        <w:tc>
          <w:tcPr>
            <w:tcW w:w="2465" w:type="dxa"/>
          </w:tcPr>
          <w:p w14:paraId="74FD90FE" w14:textId="77777777" w:rsid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Smart-seq2 </w:t>
            </w:r>
          </w:p>
          <w:p w14:paraId="3EF6A44F" w14:textId="36444AFD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Picelli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et al 2014)</w:t>
            </w:r>
          </w:p>
          <w:p w14:paraId="170A3B40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D3C7620" w14:textId="52942D5C" w:rsid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So-Smart-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seq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</w:t>
            </w:r>
          </w:p>
          <w:p w14:paraId="7E8FC3D6" w14:textId="199CFA8A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(Wei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&amp; Lee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2025)</w:t>
            </w:r>
          </w:p>
        </w:tc>
        <w:tc>
          <w:tcPr>
            <w:tcW w:w="3827" w:type="dxa"/>
          </w:tcPr>
          <w:p w14:paraId="6C58F4C8" w14:textId="15410F1D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Full-length transcript sequencing from single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cells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2BB3893B" w14:textId="1E297829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High sensitivity and accuracy, detailed transcript information (strand specificity and/or multiple classes of RNA molecules)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14:paraId="21A4578E" w14:textId="37F38BA5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Prone to batch effects, low throughput, labour intensive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</w:tr>
      <w:tr w:rsidR="009E6C5D" w:rsidRPr="00596F7E" w14:paraId="711E7D8A" w14:textId="77777777" w:rsidTr="00596F7E">
        <w:tc>
          <w:tcPr>
            <w:tcW w:w="1783" w:type="dxa"/>
          </w:tcPr>
          <w:p w14:paraId="2ABB80AA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color w:val="212121"/>
                <w:sz w:val="20"/>
                <w:szCs w:val="20"/>
              </w:rPr>
              <w:t>Microfluidic methods</w:t>
            </w:r>
          </w:p>
        </w:tc>
        <w:tc>
          <w:tcPr>
            <w:tcW w:w="2465" w:type="dxa"/>
          </w:tcPr>
          <w:p w14:paraId="0C69DCFD" w14:textId="77777777" w:rsid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10x Genomics Chromium </w:t>
            </w:r>
          </w:p>
          <w:p w14:paraId="7643C7D5" w14:textId="555124DE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see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Danielski</w:t>
            </w:r>
            <w:r w:rsidR="00794C8A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2022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for review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)</w:t>
            </w:r>
          </w:p>
        </w:tc>
        <w:tc>
          <w:tcPr>
            <w:tcW w:w="3827" w:type="dxa"/>
          </w:tcPr>
          <w:p w14:paraId="0FBE9A13" w14:textId="77777777" w:rsidR="009E6C5D" w:rsidRDefault="00794C8A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Encapsulates single cells with barcoded beads in oil droplets, enabling high-throughput processing of thousands of cells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  <w:p w14:paraId="21561A8F" w14:textId="34DE1DE3" w:rsidR="00596F7E" w:rsidRPr="00596F7E" w:rsidRDefault="00596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14:paraId="7F45B43D" w14:textId="44D0ADC9" w:rsidR="009E6C5D" w:rsidRPr="00596F7E" w:rsidRDefault="00794C8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Scalability and efficiency in processing large numbers of cells</w:t>
            </w:r>
            <w:r w:rsidR="00E84E16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 Suitable for small labs.</w:t>
            </w:r>
          </w:p>
          <w:p w14:paraId="302095A0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</w:tcPr>
          <w:p w14:paraId="6D18F290" w14:textId="102D2012" w:rsidR="009E6C5D" w:rsidRPr="00596F7E" w:rsidRDefault="00794C8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Low capture efficiency, increased presence of doublets and 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multiplets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, technical complexity due to the fabrication and operation of microfluidic devices requiring specialized equipment and expertise</w:t>
            </w:r>
          </w:p>
        </w:tc>
      </w:tr>
      <w:tr w:rsidR="009E6C5D" w:rsidRPr="00596F7E" w14:paraId="408C3E4F" w14:textId="77777777" w:rsidTr="00596F7E">
        <w:trPr>
          <w:trHeight w:val="910"/>
        </w:trPr>
        <w:tc>
          <w:tcPr>
            <w:tcW w:w="1783" w:type="dxa"/>
          </w:tcPr>
          <w:p w14:paraId="39C30175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65" w:type="dxa"/>
          </w:tcPr>
          <w:p w14:paraId="505B7F92" w14:textId="77777777" w:rsid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Drop-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seq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</w:t>
            </w:r>
          </w:p>
          <w:p w14:paraId="091BB5C1" w14:textId="6087AF43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Bageritz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et al 2019)</w:t>
            </w:r>
          </w:p>
        </w:tc>
        <w:tc>
          <w:tcPr>
            <w:tcW w:w="3827" w:type="dxa"/>
          </w:tcPr>
          <w:p w14:paraId="07187533" w14:textId="6D0E720C" w:rsidR="009E6C5D" w:rsidRPr="00596F7E" w:rsidRDefault="00794C8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Captures single cells with barcoded beads, facilitating cost-effective transcriptome profiling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260" w:type="dxa"/>
            <w:vMerge/>
          </w:tcPr>
          <w:p w14:paraId="5054CEF6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60949E5D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E6C5D" w:rsidRPr="00596F7E" w14:paraId="5A38CD25" w14:textId="77777777" w:rsidTr="00596F7E">
        <w:tc>
          <w:tcPr>
            <w:tcW w:w="1783" w:type="dxa"/>
          </w:tcPr>
          <w:p w14:paraId="5F3F4573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65" w:type="dxa"/>
          </w:tcPr>
          <w:p w14:paraId="19582412" w14:textId="4510C0F1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Fluidigm C1 </w:t>
            </w:r>
          </w:p>
        </w:tc>
        <w:tc>
          <w:tcPr>
            <w:tcW w:w="3827" w:type="dxa"/>
          </w:tcPr>
          <w:p w14:paraId="7D5E0A0D" w14:textId="77777777" w:rsidR="009E6C5D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Employs microfluidic chips to capture and process individual cells in separate chambers, suitable for detailed analyses, lower throughput compared to droplet-based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systems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  <w:p w14:paraId="656C9177" w14:textId="2D54D987" w:rsidR="00596F7E" w:rsidRPr="00596F7E" w:rsidRDefault="00596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111574A6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7F28C5CA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E6C5D" w:rsidRPr="00596F7E" w14:paraId="61D78C56" w14:textId="77777777" w:rsidTr="00596F7E">
        <w:trPr>
          <w:trHeight w:val="1177"/>
        </w:trPr>
        <w:tc>
          <w:tcPr>
            <w:tcW w:w="1783" w:type="dxa"/>
          </w:tcPr>
          <w:p w14:paraId="5022DA89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color w:val="212121"/>
                <w:sz w:val="20"/>
                <w:szCs w:val="20"/>
              </w:rPr>
              <w:t>Combinatorial indexing methods (split-pool)</w:t>
            </w:r>
          </w:p>
        </w:tc>
        <w:tc>
          <w:tcPr>
            <w:tcW w:w="2465" w:type="dxa"/>
          </w:tcPr>
          <w:p w14:paraId="37AB28ED" w14:textId="77777777" w:rsid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SPLiT-seq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</w:t>
            </w:r>
          </w:p>
          <w:p w14:paraId="6426884B" w14:textId="092A527D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(Kuijpers et al 2024); commercially available from Parse Biosciences</w:t>
            </w:r>
          </w:p>
        </w:tc>
        <w:tc>
          <w:tcPr>
            <w:tcW w:w="3827" w:type="dxa"/>
          </w:tcPr>
          <w:p w14:paraId="35478CDF" w14:textId="1BB49E5E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Applies successive rounds of barcoding in bulk cell populations, enabling the profiling of thousands to millions of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cells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14:paraId="3CC2914F" w14:textId="77777777" w:rsidR="009E6C5D" w:rsidRDefault="00490BEC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Ultra-high throughput capability, reduced batch effects </w:t>
            </w:r>
            <w:r w:rsidRPr="00596F7E">
              <w:rPr>
                <w:rFonts w:ascii="Arial" w:eastAsia="Arial" w:hAnsi="Arial" w:cs="Arial"/>
                <w:sz w:val="20"/>
                <w:szCs w:val="20"/>
              </w:rPr>
              <w:t>through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simultaneous processing of vast numbers of cells, no need for physical isolation of individual cells, reduces reliance on expensive microfluidic devices, lower per unit cost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  <w:p w14:paraId="14F428DF" w14:textId="41770FE8" w:rsidR="00596F7E" w:rsidRPr="00596F7E" w:rsidRDefault="00596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</w:tcPr>
          <w:p w14:paraId="75D0AF07" w14:textId="4D6D09A0" w:rsidR="009E6C5D" w:rsidRPr="00596F7E" w:rsidRDefault="00490BE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Complexity in the library preparation, the multi-step barcoding process can be technically challenging and may require extensive optimization; barcode misassignment, due to errors in barcode assignment, which can lead to incorrect cell identification, affecting data quality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</w:tr>
      <w:tr w:rsidR="009E6C5D" w:rsidRPr="00596F7E" w14:paraId="17E969E5" w14:textId="77777777" w:rsidTr="00596F7E">
        <w:tc>
          <w:tcPr>
            <w:tcW w:w="1783" w:type="dxa"/>
          </w:tcPr>
          <w:p w14:paraId="252FB58E" w14:textId="77777777" w:rsidR="009E6C5D" w:rsidRPr="00596F7E" w:rsidRDefault="009E6C5D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</w:tc>
        <w:tc>
          <w:tcPr>
            <w:tcW w:w="2465" w:type="dxa"/>
          </w:tcPr>
          <w:p w14:paraId="140AB365" w14:textId="77777777" w:rsid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sci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-RNA-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seq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and FIPRESCI </w:t>
            </w:r>
          </w:p>
          <w:p w14:paraId="3254DB28" w14:textId="3C4DE9AF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(Li et al 2023)</w:t>
            </w:r>
          </w:p>
        </w:tc>
        <w:tc>
          <w:tcPr>
            <w:tcW w:w="3827" w:type="dxa"/>
          </w:tcPr>
          <w:p w14:paraId="7C686DD0" w14:textId="7B2C498C" w:rsidR="009E6C5D" w:rsidRPr="00596F7E" w:rsidRDefault="00794C8A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Combine droplet microfluidics with combinatorial indexing to enhance throughput and reduce costs</w:t>
            </w:r>
            <w:r w:rsid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260" w:type="dxa"/>
            <w:vMerge/>
          </w:tcPr>
          <w:p w14:paraId="4D49AE10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1EA76C10" w14:textId="77777777" w:rsidR="009E6C5D" w:rsidRPr="00596F7E" w:rsidRDefault="009E6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</w:tc>
      </w:tr>
    </w:tbl>
    <w:p w14:paraId="709045FD" w14:textId="77777777" w:rsidR="009E6C5D" w:rsidRPr="00596F7E" w:rsidRDefault="009E6C5D">
      <w:pPr>
        <w:rPr>
          <w:rFonts w:ascii="Arial" w:eastAsia="Arial" w:hAnsi="Arial" w:cs="Arial"/>
          <w:b/>
          <w:sz w:val="20"/>
          <w:szCs w:val="20"/>
        </w:rPr>
      </w:pPr>
    </w:p>
    <w:p w14:paraId="2AE74F48" w14:textId="77777777" w:rsidR="00794C8A" w:rsidRDefault="00794C8A">
      <w:pPr>
        <w:rPr>
          <w:rFonts w:ascii="Arial" w:eastAsia="Arial" w:hAnsi="Arial" w:cs="Arial"/>
          <w:b/>
        </w:rPr>
      </w:pPr>
    </w:p>
    <w:p w14:paraId="0578DB48" w14:textId="77777777" w:rsidR="00596F7E" w:rsidRDefault="00596F7E">
      <w:pPr>
        <w:rPr>
          <w:rFonts w:ascii="Arial" w:eastAsia="Arial" w:hAnsi="Arial" w:cs="Arial"/>
          <w:b/>
        </w:rPr>
      </w:pPr>
    </w:p>
    <w:p w14:paraId="59361B60" w14:textId="77777777" w:rsidR="00596F7E" w:rsidRDefault="00596F7E">
      <w:pPr>
        <w:rPr>
          <w:rFonts w:ascii="Arial" w:eastAsia="Arial" w:hAnsi="Arial" w:cs="Arial"/>
          <w:b/>
        </w:rPr>
      </w:pPr>
    </w:p>
    <w:p w14:paraId="254A7005" w14:textId="77777777" w:rsidR="00596F7E" w:rsidRDefault="00596F7E">
      <w:pPr>
        <w:rPr>
          <w:rFonts w:ascii="Arial" w:eastAsia="Arial" w:hAnsi="Arial" w:cs="Arial"/>
          <w:b/>
        </w:rPr>
      </w:pPr>
    </w:p>
    <w:p w14:paraId="69D9E5E8" w14:textId="59CD0FE3" w:rsidR="009E6C5D" w:rsidRDefault="00D4602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Table 2: </w:t>
      </w:r>
      <w:r w:rsidR="009D6CCB">
        <w:rPr>
          <w:rFonts w:ascii="Arial" w:eastAsia="Arial" w:hAnsi="Arial" w:cs="Arial"/>
          <w:b/>
        </w:rPr>
        <w:t xml:space="preserve">A comparison of </w:t>
      </w:r>
      <w:r>
        <w:rPr>
          <w:rFonts w:ascii="Arial" w:eastAsia="Arial" w:hAnsi="Arial" w:cs="Arial"/>
          <w:b/>
        </w:rPr>
        <w:t>spatial transcriptomics methods</w:t>
      </w:r>
    </w:p>
    <w:p w14:paraId="5BCFE568" w14:textId="77777777" w:rsidR="00794C8A" w:rsidRDefault="00794C8A">
      <w:pPr>
        <w:rPr>
          <w:rFonts w:ascii="Arial" w:eastAsia="Arial" w:hAnsi="Arial" w:cs="Arial"/>
          <w:b/>
        </w:rPr>
      </w:pPr>
    </w:p>
    <w:tbl>
      <w:tblPr>
        <w:tblStyle w:val="a0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6"/>
        <w:gridCol w:w="2755"/>
        <w:gridCol w:w="4253"/>
        <w:gridCol w:w="2835"/>
        <w:gridCol w:w="3402"/>
      </w:tblGrid>
      <w:tr w:rsidR="009E6C5D" w:rsidRPr="00794C8A" w14:paraId="2044B25E" w14:textId="77777777" w:rsidTr="00596F7E">
        <w:tc>
          <w:tcPr>
            <w:tcW w:w="1776" w:type="dxa"/>
          </w:tcPr>
          <w:p w14:paraId="6755DDCE" w14:textId="77777777" w:rsidR="009E6C5D" w:rsidRPr="00794C8A" w:rsidRDefault="00D4602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94C8A">
              <w:rPr>
                <w:rFonts w:ascii="Arial" w:eastAsia="Arial" w:hAnsi="Arial" w:cs="Arial"/>
                <w:sz w:val="22"/>
                <w:szCs w:val="22"/>
              </w:rPr>
              <w:t>Approach</w:t>
            </w:r>
          </w:p>
        </w:tc>
        <w:tc>
          <w:tcPr>
            <w:tcW w:w="2755" w:type="dxa"/>
          </w:tcPr>
          <w:p w14:paraId="642B1095" w14:textId="77777777" w:rsidR="009E6C5D" w:rsidRPr="00794C8A" w:rsidRDefault="00D4602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794C8A">
              <w:rPr>
                <w:rFonts w:ascii="Arial" w:eastAsia="Arial" w:hAnsi="Arial" w:cs="Arial"/>
                <w:sz w:val="22"/>
                <w:szCs w:val="22"/>
              </w:rPr>
              <w:t>Platform</w:t>
            </w:r>
          </w:p>
        </w:tc>
        <w:tc>
          <w:tcPr>
            <w:tcW w:w="4253" w:type="dxa"/>
          </w:tcPr>
          <w:p w14:paraId="632821C8" w14:textId="77777777" w:rsidR="009E6C5D" w:rsidRPr="00794C8A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 w:rsidRPr="00794C8A">
              <w:rPr>
                <w:rFonts w:ascii="Arial" w:eastAsia="Arial" w:hAnsi="Arial" w:cs="Arial"/>
                <w:color w:val="212121"/>
                <w:sz w:val="22"/>
                <w:szCs w:val="22"/>
              </w:rPr>
              <w:t>Methodology</w:t>
            </w:r>
          </w:p>
        </w:tc>
        <w:tc>
          <w:tcPr>
            <w:tcW w:w="2835" w:type="dxa"/>
          </w:tcPr>
          <w:p w14:paraId="15A4E6F3" w14:textId="77777777" w:rsidR="009E6C5D" w:rsidRPr="00794C8A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 w:rsidRPr="00794C8A">
              <w:rPr>
                <w:rFonts w:ascii="Arial" w:eastAsia="Arial" w:hAnsi="Arial" w:cs="Arial"/>
                <w:color w:val="212121"/>
                <w:sz w:val="22"/>
                <w:szCs w:val="22"/>
              </w:rPr>
              <w:t>Advantages</w:t>
            </w:r>
          </w:p>
        </w:tc>
        <w:tc>
          <w:tcPr>
            <w:tcW w:w="3402" w:type="dxa"/>
          </w:tcPr>
          <w:p w14:paraId="723CC454" w14:textId="77777777" w:rsidR="009E6C5D" w:rsidRPr="00794C8A" w:rsidRDefault="00D4602B">
            <w:pPr>
              <w:rPr>
                <w:rFonts w:ascii="Arial" w:eastAsia="Arial" w:hAnsi="Arial" w:cs="Arial"/>
                <w:color w:val="212121"/>
                <w:sz w:val="22"/>
                <w:szCs w:val="22"/>
              </w:rPr>
            </w:pPr>
            <w:r w:rsidRPr="00794C8A">
              <w:rPr>
                <w:rFonts w:ascii="Arial" w:eastAsia="Arial" w:hAnsi="Arial" w:cs="Arial"/>
                <w:color w:val="212121"/>
                <w:sz w:val="22"/>
                <w:szCs w:val="22"/>
              </w:rPr>
              <w:t>Limitations</w:t>
            </w:r>
          </w:p>
        </w:tc>
      </w:tr>
      <w:tr w:rsidR="009E6C5D" w:rsidRPr="00794C8A" w14:paraId="3C551C27" w14:textId="77777777" w:rsidTr="00596F7E">
        <w:trPr>
          <w:trHeight w:val="1306"/>
        </w:trPr>
        <w:tc>
          <w:tcPr>
            <w:tcW w:w="1776" w:type="dxa"/>
          </w:tcPr>
          <w:p w14:paraId="067B90B3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 xml:space="preserve">Array-based platforms </w:t>
            </w:r>
          </w:p>
        </w:tc>
        <w:tc>
          <w:tcPr>
            <w:tcW w:w="2755" w:type="dxa"/>
          </w:tcPr>
          <w:p w14:paraId="4D6AE09E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10X Genomics </w:t>
            </w:r>
            <w:proofErr w:type="spellStart"/>
            <w:r w:rsidRPr="00596F7E">
              <w:rPr>
                <w:rFonts w:ascii="Arial" w:eastAsia="Arial" w:hAnsi="Arial" w:cs="Arial"/>
                <w:sz w:val="20"/>
                <w:szCs w:val="20"/>
              </w:rPr>
              <w:t>Visium</w:t>
            </w:r>
            <w:proofErr w:type="spellEnd"/>
          </w:p>
        </w:tc>
        <w:tc>
          <w:tcPr>
            <w:tcW w:w="4253" w:type="dxa"/>
          </w:tcPr>
          <w:p w14:paraId="1837F314" w14:textId="0D9AD2B4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mRNAs are captured from tissue sections using spatially barcoded arrays (analogous to pixels) at a resolution of ~55 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μm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(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Ståhl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et al 2016)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784CE7D3" w14:textId="12A1B78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Suitable for large tissues with </w:t>
            </w:r>
            <w:r w:rsidRPr="00596F7E">
              <w:rPr>
                <w:rFonts w:ascii="Arial" w:eastAsia="Arial" w:hAnsi="Arial" w:cs="Arial"/>
                <w:sz w:val="20"/>
                <w:szCs w:val="20"/>
              </w:rPr>
              <w:t>relative homogeneity of cell types</w:t>
            </w:r>
            <w:r w:rsidR="00596F7E" w:rsidRPr="00596F7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9668ECD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E811FC5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AACA57B" w14:textId="2F33158D" w:rsidR="009E6C5D" w:rsidRPr="00596F7E" w:rsidRDefault="00794C8A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Limited resolution and spatial accuracy of the detected mRNA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</w:tr>
      <w:tr w:rsidR="009E6C5D" w:rsidRPr="00794C8A" w14:paraId="01BA49CA" w14:textId="77777777" w:rsidTr="00596F7E">
        <w:trPr>
          <w:trHeight w:val="1159"/>
        </w:trPr>
        <w:tc>
          <w:tcPr>
            <w:tcW w:w="1776" w:type="dxa"/>
          </w:tcPr>
          <w:p w14:paraId="2825CE0D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55" w:type="dxa"/>
          </w:tcPr>
          <w:p w14:paraId="4D5E7FF2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10X Genomics </w:t>
            </w:r>
            <w:proofErr w:type="spellStart"/>
            <w:r w:rsidRPr="00596F7E">
              <w:rPr>
                <w:rFonts w:ascii="Arial" w:eastAsia="Arial" w:hAnsi="Arial" w:cs="Arial"/>
                <w:sz w:val="20"/>
                <w:szCs w:val="20"/>
              </w:rPr>
              <w:t>Visium</w:t>
            </w:r>
            <w:proofErr w:type="spellEnd"/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 HD</w:t>
            </w:r>
          </w:p>
        </w:tc>
        <w:tc>
          <w:tcPr>
            <w:tcW w:w="4253" w:type="dxa"/>
          </w:tcPr>
          <w:p w14:paraId="3D5F3BBC" w14:textId="302676B6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As above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09836674" w14:textId="390DBE00" w:rsidR="009E6C5D" w:rsidRPr="00596F7E" w:rsidRDefault="00794C8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Dramatically increases the resolution to 2 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μm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by miniaturizing the capture grid (Oliveira et al 2024)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0FE2ABD" w14:textId="77777777" w:rsidR="009E6C5D" w:rsidRPr="00596F7E" w:rsidRDefault="009E6C5D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</w:tc>
      </w:tr>
      <w:tr w:rsidR="009E6C5D" w:rsidRPr="00794C8A" w14:paraId="2722F717" w14:textId="77777777" w:rsidTr="00596F7E">
        <w:trPr>
          <w:trHeight w:val="2111"/>
        </w:trPr>
        <w:tc>
          <w:tcPr>
            <w:tcW w:w="1776" w:type="dxa"/>
          </w:tcPr>
          <w:p w14:paraId="62AD758A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 xml:space="preserve">Bead-based </w:t>
            </w:r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>platforms</w:t>
            </w:r>
          </w:p>
        </w:tc>
        <w:tc>
          <w:tcPr>
            <w:tcW w:w="2755" w:type="dxa"/>
          </w:tcPr>
          <w:p w14:paraId="338320F4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>Slide-seqV2 (Curio Seeker)</w:t>
            </w:r>
          </w:p>
          <w:p w14:paraId="4893F7BF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9442AF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>High-Definition Spatial Transcriptomics (HDST)</w:t>
            </w:r>
          </w:p>
        </w:tc>
        <w:tc>
          <w:tcPr>
            <w:tcW w:w="4253" w:type="dxa"/>
          </w:tcPr>
          <w:p w14:paraId="25CF2DC9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Densely barcoded bead arrays, termed ‘pucks’, are fabricated by split-pool 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phosphoramidite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synthesis and indexed up front using a sequencing-by-ligation strategy. Randomly arrayed or deterministically placed beads, enables finer resolution.</w:t>
            </w:r>
          </w:p>
        </w:tc>
        <w:tc>
          <w:tcPr>
            <w:tcW w:w="2835" w:type="dxa"/>
          </w:tcPr>
          <w:p w14:paraId="181C3563" w14:textId="77777777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Improved spatial resolution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(~10 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μm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for Slide-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seq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V2; subcellular resolution for HDST) (Stickels et al 20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21).</w:t>
            </w:r>
          </w:p>
          <w:p w14:paraId="0D38E7BE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B1F1028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hAnsi="Arial" w:cs="Arial"/>
                <w:color w:val="212121"/>
                <w:sz w:val="20"/>
                <w:szCs w:val="20"/>
              </w:rPr>
              <w:t>Require only the cryo-preservation of samples.</w:t>
            </w:r>
          </w:p>
        </w:tc>
        <w:tc>
          <w:tcPr>
            <w:tcW w:w="3402" w:type="dxa"/>
          </w:tcPr>
          <w:p w14:paraId="51BBA7D8" w14:textId="1BAAE3BB" w:rsidR="009E6C5D" w:rsidRPr="00596F7E" w:rsidRDefault="00BE1C3C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Cryostat needed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</w:tc>
      </w:tr>
      <w:tr w:rsidR="009E6C5D" w:rsidRPr="00794C8A" w14:paraId="7308D3B5" w14:textId="77777777" w:rsidTr="00596F7E">
        <w:tc>
          <w:tcPr>
            <w:tcW w:w="1776" w:type="dxa"/>
          </w:tcPr>
          <w:p w14:paraId="036DFD3C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>Polony</w:t>
            </w:r>
            <w:proofErr w:type="spellEnd"/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>-/Nanoball- based platforms</w:t>
            </w:r>
          </w:p>
        </w:tc>
        <w:tc>
          <w:tcPr>
            <w:tcW w:w="2755" w:type="dxa"/>
          </w:tcPr>
          <w:p w14:paraId="2D988C0A" w14:textId="77777777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Stereo-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seq</w:t>
            </w:r>
            <w:proofErr w:type="spellEnd"/>
          </w:p>
          <w:p w14:paraId="504119AC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C659BDC" w14:textId="77777777" w:rsidR="009E6C5D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DNA nanoballs or polonies (DNBs)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are small, circular DNA structures, typically 220nm in diameter, each with a unique barcode sequence, which acts as a spatial identifier. DNBs are arranged in a patterned array on a chip, with each DNB occupying a specific location. DNB barcodes are sequen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ced </w:t>
            </w:r>
            <w:r w:rsidRPr="00596F7E">
              <w:rPr>
                <w:rFonts w:ascii="Arial" w:eastAsia="Arial" w:hAnsi="Arial" w:cs="Arial"/>
                <w:i/>
                <w:color w:val="212121"/>
                <w:sz w:val="20"/>
                <w:szCs w:val="20"/>
              </w:rPr>
              <w:t xml:space="preserve">in situ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conserving spatial information within a tissue (Chen et al 2022).</w:t>
            </w:r>
          </w:p>
          <w:p w14:paraId="6C82C49B" w14:textId="77777777" w:rsidR="00596F7E" w:rsidRPr="00596F7E" w:rsidRDefault="00596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BD6870" w14:textId="7ADE7EBD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sz w:val="20"/>
                <w:szCs w:val="20"/>
              </w:rPr>
              <w:t xml:space="preserve">Improved spatial resolution; 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distances between spot 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centers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are smaller than 10 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μm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and spots in them are binned into 10 </w:t>
            </w: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μm</w:t>
            </w:r>
            <w:proofErr w:type="spellEnd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-sized spots for visualization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  <w:p w14:paraId="505C93E3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AA24768" w14:textId="05EF3F53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96F7E">
              <w:rPr>
                <w:rFonts w:ascii="Arial" w:hAnsi="Arial" w:cs="Arial"/>
                <w:color w:val="212121"/>
                <w:sz w:val="20"/>
                <w:szCs w:val="20"/>
              </w:rPr>
              <w:t>Require only the cryo-</w:t>
            </w:r>
            <w:r w:rsidRPr="00596F7E">
              <w:rPr>
                <w:rFonts w:ascii="Arial" w:hAnsi="Arial" w:cs="Arial"/>
                <w:color w:val="212121"/>
                <w:sz w:val="20"/>
                <w:szCs w:val="20"/>
              </w:rPr>
              <w:t>preservation of samples</w:t>
            </w:r>
            <w:r w:rsidR="00596F7E" w:rsidRPr="00596F7E">
              <w:rPr>
                <w:rFonts w:ascii="Arial" w:hAnsi="Arial" w:cs="Arial"/>
                <w:color w:val="21212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0E9A0F64" w14:textId="0F6E41E8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Specialist equipment needed</w:t>
            </w:r>
            <w:r w:rsidR="00596F7E"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.</w:t>
            </w:r>
          </w:p>
          <w:p w14:paraId="474D220E" w14:textId="77777777" w:rsidR="009E6C5D" w:rsidRPr="00596F7E" w:rsidRDefault="009E6C5D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  <w:p w14:paraId="75204BCC" w14:textId="018326C4" w:rsidR="009E6C5D" w:rsidRPr="00596F7E" w:rsidRDefault="00D4602B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hAnsi="Arial" w:cs="Arial"/>
                <w:color w:val="212121"/>
                <w:sz w:val="20"/>
                <w:szCs w:val="20"/>
              </w:rPr>
              <w:t>Deep sequencing and optimisation of protocols required</w:t>
            </w:r>
            <w:r w:rsidR="00596F7E" w:rsidRPr="00596F7E">
              <w:rPr>
                <w:rFonts w:ascii="Arial" w:hAnsi="Arial" w:cs="Arial"/>
                <w:color w:val="212121"/>
                <w:sz w:val="20"/>
                <w:szCs w:val="20"/>
              </w:rPr>
              <w:t>.</w:t>
            </w:r>
          </w:p>
        </w:tc>
      </w:tr>
      <w:tr w:rsidR="009E6C5D" w:rsidRPr="00794C8A" w14:paraId="41EF9847" w14:textId="77777777" w:rsidTr="00596F7E">
        <w:tc>
          <w:tcPr>
            <w:tcW w:w="1776" w:type="dxa"/>
          </w:tcPr>
          <w:p w14:paraId="34AEB7AC" w14:textId="77777777" w:rsidR="009E6C5D" w:rsidRPr="00596F7E" w:rsidRDefault="00D4602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b/>
                <w:sz w:val="20"/>
                <w:szCs w:val="20"/>
              </w:rPr>
              <w:t>Microfluidic-based platforms</w:t>
            </w:r>
          </w:p>
        </w:tc>
        <w:tc>
          <w:tcPr>
            <w:tcW w:w="2755" w:type="dxa"/>
          </w:tcPr>
          <w:p w14:paraId="2DC91122" w14:textId="77777777" w:rsidR="009E6C5D" w:rsidRPr="00596F7E" w:rsidRDefault="00D4602B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>DBiT-seq</w:t>
            </w:r>
            <w:proofErr w:type="spellEnd"/>
          </w:p>
        </w:tc>
        <w:tc>
          <w:tcPr>
            <w:tcW w:w="4253" w:type="dxa"/>
          </w:tcPr>
          <w:p w14:paraId="487B7382" w14:textId="77777777" w:rsidR="009E6C5D" w:rsidRDefault="00D4602B">
            <w:pPr>
              <w:rPr>
                <w:rFonts w:ascii="Arial" w:hAnsi="Arial" w:cs="Arial"/>
                <w:color w:val="212121"/>
                <w:sz w:val="20"/>
                <w:szCs w:val="20"/>
              </w:rPr>
            </w:pP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RNA is captured and barcodes are hybridised </w:t>
            </w:r>
            <w:r w:rsidRPr="00596F7E">
              <w:rPr>
                <w:rFonts w:ascii="Arial" w:eastAsia="Arial" w:hAnsi="Arial" w:cs="Arial"/>
                <w:i/>
                <w:color w:val="212121"/>
                <w:sz w:val="20"/>
                <w:szCs w:val="20"/>
              </w:rPr>
              <w:t>in situ</w:t>
            </w:r>
            <w:r w:rsidRPr="00596F7E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 using microfluidic devices using a microfluidic chip containing parallel microchannels </w:t>
            </w:r>
            <w:r w:rsidRPr="00596F7E">
              <w:rPr>
                <w:rFonts w:ascii="Arial" w:hAnsi="Arial" w:cs="Arial"/>
                <w:color w:val="212121"/>
                <w:sz w:val="20"/>
                <w:szCs w:val="20"/>
              </w:rPr>
              <w:t>(Liu et al 2020).</w:t>
            </w:r>
          </w:p>
          <w:p w14:paraId="15A3226A" w14:textId="77777777" w:rsidR="00596F7E" w:rsidRPr="00596F7E" w:rsidRDefault="00596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E6C06EA" w14:textId="77777777" w:rsidR="009E6C5D" w:rsidRPr="00596F7E" w:rsidRDefault="009E6C5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15200A6" w14:textId="77777777" w:rsidR="009E6C5D" w:rsidRPr="00596F7E" w:rsidRDefault="009E6C5D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</w:p>
        </w:tc>
      </w:tr>
    </w:tbl>
    <w:p w14:paraId="5938D1A6" w14:textId="7A579E3C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  <w:r w:rsidRPr="00794C8A">
        <w:rPr>
          <w:rFonts w:ascii="Arial" w:eastAsia="Arial" w:hAnsi="Arial" w:cs="Arial"/>
          <w:b/>
          <w:sz w:val="22"/>
          <w:szCs w:val="22"/>
        </w:rPr>
        <w:t>References:</w:t>
      </w:r>
    </w:p>
    <w:p w14:paraId="44488260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2E400BD8" w14:textId="2DC99B8F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proofErr w:type="spellStart"/>
      <w:r w:rsidRPr="00794C8A">
        <w:rPr>
          <w:rFonts w:ascii="Arial" w:hAnsi="Arial" w:cs="Arial"/>
          <w:sz w:val="22"/>
          <w:szCs w:val="22"/>
        </w:rPr>
        <w:t>Bageritz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J, </w:t>
      </w:r>
      <w:proofErr w:type="spellStart"/>
      <w:r w:rsidRPr="00794C8A">
        <w:rPr>
          <w:rFonts w:ascii="Arial" w:hAnsi="Arial" w:cs="Arial"/>
          <w:sz w:val="22"/>
          <w:szCs w:val="22"/>
        </w:rPr>
        <w:t>Willnow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P, Valentini E, Leible S, Boutros M, Teleman AA</w:t>
      </w:r>
      <w:r w:rsidR="00174EB5">
        <w:rPr>
          <w:rFonts w:ascii="Arial" w:hAnsi="Arial" w:cs="Arial"/>
          <w:sz w:val="22"/>
          <w:szCs w:val="22"/>
        </w:rPr>
        <w:t xml:space="preserve"> (2019)</w:t>
      </w:r>
      <w:r w:rsidRPr="00794C8A">
        <w:rPr>
          <w:rFonts w:ascii="Arial" w:hAnsi="Arial" w:cs="Arial"/>
          <w:sz w:val="22"/>
          <w:szCs w:val="22"/>
        </w:rPr>
        <w:t>. Gene expression atlas of a developing tissue by single cell expression correlation analysis. Nat Methods</w:t>
      </w:r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(8):750-6.</w:t>
      </w:r>
    </w:p>
    <w:p w14:paraId="1F9E4D06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1D37D853" w14:textId="07FCD055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 xml:space="preserve">Chen A, Liao S, Cheng M, Ma K, </w:t>
      </w:r>
      <w:r w:rsidR="00174EB5">
        <w:rPr>
          <w:rFonts w:ascii="Arial" w:hAnsi="Arial" w:cs="Arial"/>
          <w:sz w:val="22"/>
          <w:szCs w:val="22"/>
        </w:rPr>
        <w:t>et al. (2022)</w:t>
      </w:r>
      <w:r w:rsidRPr="00794C8A">
        <w:rPr>
          <w:rFonts w:ascii="Arial" w:hAnsi="Arial" w:cs="Arial"/>
          <w:sz w:val="22"/>
          <w:szCs w:val="22"/>
        </w:rPr>
        <w:t>. Spatiotemporal transcriptomic atlas of mouse organogenesis using DNA nanoball-patterned arrays. Cell</w:t>
      </w:r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(10):1777-92.</w:t>
      </w:r>
    </w:p>
    <w:p w14:paraId="1B611860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067B8D50" w14:textId="49A21524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>Danielski K</w:t>
      </w:r>
      <w:r w:rsidR="00174EB5">
        <w:rPr>
          <w:rFonts w:ascii="Arial" w:hAnsi="Arial" w:cs="Arial"/>
          <w:sz w:val="22"/>
          <w:szCs w:val="22"/>
        </w:rPr>
        <w:t xml:space="preserve"> (2022)</w:t>
      </w:r>
      <w:r w:rsidRPr="00794C8A">
        <w:rPr>
          <w:rFonts w:ascii="Arial" w:hAnsi="Arial" w:cs="Arial"/>
          <w:sz w:val="22"/>
          <w:szCs w:val="22"/>
        </w:rPr>
        <w:t xml:space="preserve">. Guidance on processing the 10x genomics single cell gene expression assay. </w:t>
      </w:r>
      <w:proofErr w:type="spellStart"/>
      <w:r w:rsidRPr="00794C8A">
        <w:rPr>
          <w:rFonts w:ascii="Arial" w:hAnsi="Arial" w:cs="Arial"/>
          <w:sz w:val="22"/>
          <w:szCs w:val="22"/>
        </w:rPr>
        <w:t>InS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ingle Cell Transcriptomics: Methods and Protocols (pp. 1-28). New York, NY: Springer US.</w:t>
      </w:r>
    </w:p>
    <w:p w14:paraId="71ACB769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5C49543E" w14:textId="7D72B5BF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 xml:space="preserve">Kim J, </w:t>
      </w:r>
      <w:proofErr w:type="spellStart"/>
      <w:r w:rsidRPr="00794C8A">
        <w:rPr>
          <w:rFonts w:ascii="Arial" w:hAnsi="Arial" w:cs="Arial"/>
          <w:sz w:val="22"/>
          <w:szCs w:val="22"/>
        </w:rPr>
        <w:t>Marignani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PA</w:t>
      </w:r>
      <w:r w:rsidR="00174EB5">
        <w:rPr>
          <w:rFonts w:ascii="Arial" w:hAnsi="Arial" w:cs="Arial"/>
          <w:sz w:val="22"/>
          <w:szCs w:val="22"/>
        </w:rPr>
        <w:t xml:space="preserve"> (2022)</w:t>
      </w:r>
      <w:r w:rsidRPr="00794C8A">
        <w:rPr>
          <w:rFonts w:ascii="Arial" w:hAnsi="Arial" w:cs="Arial"/>
          <w:sz w:val="22"/>
          <w:szCs w:val="22"/>
        </w:rPr>
        <w:t xml:space="preserve"> Single-Cell RNA Sequencing Analysis Using Fluidigm C1 Platform for Characterization of Heterogeneous Transcriptomes. In</w:t>
      </w:r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Cancer Cell Biology: Methods and Protocols (pp. 261-278). New York, NY: Springer US.</w:t>
      </w:r>
    </w:p>
    <w:p w14:paraId="5A3ECE11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423617CD" w14:textId="435FA92B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 xml:space="preserve">Kuijpers L, Hornung B, van den </w:t>
      </w:r>
      <w:proofErr w:type="spellStart"/>
      <w:r w:rsidRPr="00794C8A">
        <w:rPr>
          <w:rFonts w:ascii="Arial" w:hAnsi="Arial" w:cs="Arial"/>
          <w:sz w:val="22"/>
          <w:szCs w:val="22"/>
        </w:rPr>
        <w:t>Hout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-van </w:t>
      </w:r>
      <w:proofErr w:type="spellStart"/>
      <w:r w:rsidRPr="00794C8A">
        <w:rPr>
          <w:rFonts w:ascii="Arial" w:hAnsi="Arial" w:cs="Arial"/>
          <w:sz w:val="22"/>
          <w:szCs w:val="22"/>
        </w:rPr>
        <w:t>Vroonhoven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MC, van </w:t>
      </w:r>
      <w:proofErr w:type="spellStart"/>
      <w:r w:rsidRPr="00794C8A">
        <w:rPr>
          <w:rFonts w:ascii="Arial" w:hAnsi="Arial" w:cs="Arial"/>
          <w:sz w:val="22"/>
          <w:szCs w:val="22"/>
        </w:rPr>
        <w:t>IJcken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WF, </w:t>
      </w:r>
      <w:proofErr w:type="spellStart"/>
      <w:r w:rsidRPr="00794C8A">
        <w:rPr>
          <w:rFonts w:ascii="Arial" w:hAnsi="Arial" w:cs="Arial"/>
          <w:sz w:val="22"/>
          <w:szCs w:val="22"/>
        </w:rPr>
        <w:t>Grosveld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F, </w:t>
      </w:r>
      <w:proofErr w:type="spellStart"/>
      <w:r w:rsidRPr="00794C8A">
        <w:rPr>
          <w:rFonts w:ascii="Arial" w:hAnsi="Arial" w:cs="Arial"/>
          <w:sz w:val="22"/>
          <w:szCs w:val="22"/>
        </w:rPr>
        <w:t>Mulugeta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E</w:t>
      </w:r>
      <w:r w:rsidR="00174EB5">
        <w:rPr>
          <w:rFonts w:ascii="Arial" w:hAnsi="Arial" w:cs="Arial"/>
          <w:sz w:val="22"/>
          <w:szCs w:val="22"/>
        </w:rPr>
        <w:t xml:space="preserve"> (2024)</w:t>
      </w:r>
      <w:r w:rsidRPr="00794C8A">
        <w:rPr>
          <w:rFonts w:ascii="Arial" w:hAnsi="Arial" w:cs="Arial"/>
          <w:sz w:val="22"/>
          <w:szCs w:val="22"/>
        </w:rPr>
        <w:t>. Split Pool Ligation-based Single-cell Transcriptome sequencing (</w:t>
      </w:r>
      <w:proofErr w:type="spellStart"/>
      <w:r w:rsidRPr="00794C8A">
        <w:rPr>
          <w:rFonts w:ascii="Arial" w:hAnsi="Arial" w:cs="Arial"/>
          <w:sz w:val="22"/>
          <w:szCs w:val="22"/>
        </w:rPr>
        <w:t>SPLiT-seq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) data processing pipeline comparison. BMC </w:t>
      </w:r>
      <w:proofErr w:type="spellStart"/>
      <w:r w:rsidR="00174EB5">
        <w:rPr>
          <w:rFonts w:ascii="Arial" w:hAnsi="Arial" w:cs="Arial"/>
          <w:sz w:val="22"/>
          <w:szCs w:val="22"/>
        </w:rPr>
        <w:t>G</w:t>
      </w:r>
      <w:r w:rsidRPr="00794C8A">
        <w:rPr>
          <w:rFonts w:ascii="Arial" w:hAnsi="Arial" w:cs="Arial"/>
          <w:sz w:val="22"/>
          <w:szCs w:val="22"/>
        </w:rPr>
        <w:t>enom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25(1):361.</w:t>
      </w:r>
    </w:p>
    <w:p w14:paraId="0B23876E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169B7464" w14:textId="65B81A8B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>Li Y, Huang Z, Zhang Z, Wang Q, Li F, Wang S, Ji X, Shu S, Fang X, Jiang L</w:t>
      </w:r>
      <w:r w:rsidR="00174EB5">
        <w:rPr>
          <w:rFonts w:ascii="Arial" w:hAnsi="Arial" w:cs="Arial"/>
          <w:sz w:val="22"/>
          <w:szCs w:val="22"/>
        </w:rPr>
        <w:t xml:space="preserve"> (2023)</w:t>
      </w:r>
      <w:r w:rsidRPr="00794C8A">
        <w:rPr>
          <w:rFonts w:ascii="Arial" w:hAnsi="Arial" w:cs="Arial"/>
          <w:sz w:val="22"/>
          <w:szCs w:val="22"/>
        </w:rPr>
        <w:t xml:space="preserve">. FIPRESCI: droplet microfluidics based combinatorial indexing for massive-scale 5′-end single-cell RNA sequencing. </w:t>
      </w:r>
      <w:proofErr w:type="spellStart"/>
      <w:r w:rsidRPr="00794C8A">
        <w:rPr>
          <w:rFonts w:ascii="Arial" w:hAnsi="Arial" w:cs="Arial"/>
          <w:sz w:val="22"/>
          <w:szCs w:val="22"/>
        </w:rPr>
        <w:t>Genom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Biol. 24(1):70.</w:t>
      </w:r>
    </w:p>
    <w:p w14:paraId="4B5C0B8B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5022110D" w14:textId="1CAFB972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r w:rsidRPr="00794C8A">
        <w:rPr>
          <w:rFonts w:ascii="Arial" w:hAnsi="Arial" w:cs="Arial"/>
          <w:sz w:val="22"/>
          <w:szCs w:val="22"/>
        </w:rPr>
        <w:t xml:space="preserve">Liu Y, Yang M, Deng Y, Su G, </w:t>
      </w:r>
      <w:proofErr w:type="spellStart"/>
      <w:r w:rsidRPr="00794C8A">
        <w:rPr>
          <w:rFonts w:ascii="Arial" w:hAnsi="Arial" w:cs="Arial"/>
          <w:sz w:val="22"/>
          <w:szCs w:val="22"/>
        </w:rPr>
        <w:t>Enninful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A, </w:t>
      </w:r>
      <w:proofErr w:type="spellStart"/>
      <w:r w:rsidRPr="00794C8A">
        <w:rPr>
          <w:rFonts w:ascii="Arial" w:hAnsi="Arial" w:cs="Arial"/>
          <w:sz w:val="22"/>
          <w:szCs w:val="22"/>
        </w:rPr>
        <w:t>Guo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CC, Tebaldi T, Zhang D, Kim D, Bai Z, Norris E</w:t>
      </w:r>
      <w:r w:rsidR="00174EB5">
        <w:rPr>
          <w:rFonts w:ascii="Arial" w:hAnsi="Arial" w:cs="Arial"/>
          <w:sz w:val="22"/>
          <w:szCs w:val="22"/>
        </w:rPr>
        <w:t>, Pan A, Li J, Xiao Y, Halene S, Fan R (2020)</w:t>
      </w:r>
      <w:r w:rsidRPr="00794C8A">
        <w:rPr>
          <w:rFonts w:ascii="Arial" w:hAnsi="Arial" w:cs="Arial"/>
          <w:sz w:val="22"/>
          <w:szCs w:val="22"/>
        </w:rPr>
        <w:t>. High-spatial-resolution multi-omics sequencing via deterministic barcoding in tissue. Cell</w:t>
      </w:r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183(6):1665-81.</w:t>
      </w:r>
    </w:p>
    <w:p w14:paraId="3859B807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6FC67C7E" w14:textId="1920808E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proofErr w:type="spellStart"/>
      <w:r w:rsidRPr="00794C8A">
        <w:rPr>
          <w:rFonts w:ascii="Arial" w:hAnsi="Arial" w:cs="Arial"/>
          <w:sz w:val="22"/>
          <w:szCs w:val="22"/>
        </w:rPr>
        <w:t>Picelli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S, </w:t>
      </w:r>
      <w:proofErr w:type="spellStart"/>
      <w:r w:rsidRPr="00794C8A">
        <w:rPr>
          <w:rFonts w:ascii="Arial" w:hAnsi="Arial" w:cs="Arial"/>
          <w:sz w:val="22"/>
          <w:szCs w:val="22"/>
        </w:rPr>
        <w:t>Faridani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OR, Björklund ÅK, </w:t>
      </w:r>
      <w:proofErr w:type="spellStart"/>
      <w:r w:rsidRPr="00794C8A">
        <w:rPr>
          <w:rFonts w:ascii="Arial" w:hAnsi="Arial" w:cs="Arial"/>
          <w:sz w:val="22"/>
          <w:szCs w:val="22"/>
        </w:rPr>
        <w:t>Winberg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G, </w:t>
      </w:r>
      <w:proofErr w:type="spellStart"/>
      <w:r w:rsidRPr="00794C8A">
        <w:rPr>
          <w:rFonts w:ascii="Arial" w:hAnsi="Arial" w:cs="Arial"/>
          <w:sz w:val="22"/>
          <w:szCs w:val="22"/>
        </w:rPr>
        <w:t>Sagasser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S, Sandberg R</w:t>
      </w:r>
      <w:r w:rsidR="00174EB5">
        <w:rPr>
          <w:rFonts w:ascii="Arial" w:hAnsi="Arial" w:cs="Arial"/>
          <w:sz w:val="22"/>
          <w:szCs w:val="22"/>
        </w:rPr>
        <w:t xml:space="preserve"> (2014)</w:t>
      </w:r>
      <w:r w:rsidRPr="00794C8A">
        <w:rPr>
          <w:rFonts w:ascii="Arial" w:hAnsi="Arial" w:cs="Arial"/>
          <w:sz w:val="22"/>
          <w:szCs w:val="22"/>
        </w:rPr>
        <w:t xml:space="preserve"> Full-length RNA-</w:t>
      </w:r>
      <w:proofErr w:type="spellStart"/>
      <w:r w:rsidRPr="00794C8A">
        <w:rPr>
          <w:rFonts w:ascii="Arial" w:hAnsi="Arial" w:cs="Arial"/>
          <w:sz w:val="22"/>
          <w:szCs w:val="22"/>
        </w:rPr>
        <w:t>seq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from single cells using Smart-seq2. Nat </w:t>
      </w:r>
      <w:proofErr w:type="spellStart"/>
      <w:r w:rsidR="00174EB5">
        <w:rPr>
          <w:rFonts w:ascii="Arial" w:hAnsi="Arial" w:cs="Arial"/>
          <w:sz w:val="22"/>
          <w:szCs w:val="22"/>
        </w:rPr>
        <w:t>P</w:t>
      </w:r>
      <w:r w:rsidRPr="00794C8A">
        <w:rPr>
          <w:rFonts w:ascii="Arial" w:hAnsi="Arial" w:cs="Arial"/>
          <w:sz w:val="22"/>
          <w:szCs w:val="22"/>
        </w:rPr>
        <w:t>rotoc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9(1):171-81.</w:t>
      </w:r>
    </w:p>
    <w:p w14:paraId="1828AC7F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5FC28375" w14:textId="12DF77D4" w:rsidR="00794C8A" w:rsidRPr="00794C8A" w:rsidRDefault="00794C8A" w:rsidP="00794C8A">
      <w:pPr>
        <w:rPr>
          <w:rFonts w:ascii="Arial" w:hAnsi="Arial" w:cs="Arial"/>
          <w:sz w:val="22"/>
          <w:szCs w:val="22"/>
        </w:rPr>
      </w:pPr>
      <w:proofErr w:type="spellStart"/>
      <w:r w:rsidRPr="00794C8A">
        <w:rPr>
          <w:rFonts w:ascii="Arial" w:hAnsi="Arial" w:cs="Arial"/>
          <w:sz w:val="22"/>
          <w:szCs w:val="22"/>
        </w:rPr>
        <w:t>Ståhl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PL, </w:t>
      </w:r>
      <w:proofErr w:type="spellStart"/>
      <w:r w:rsidRPr="00794C8A">
        <w:rPr>
          <w:rFonts w:ascii="Arial" w:hAnsi="Arial" w:cs="Arial"/>
          <w:sz w:val="22"/>
          <w:szCs w:val="22"/>
        </w:rPr>
        <w:t>Salmén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F, </w:t>
      </w:r>
      <w:proofErr w:type="spellStart"/>
      <w:r w:rsidRPr="00794C8A">
        <w:rPr>
          <w:rFonts w:ascii="Arial" w:hAnsi="Arial" w:cs="Arial"/>
          <w:sz w:val="22"/>
          <w:szCs w:val="22"/>
        </w:rPr>
        <w:t>Vickovic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S, Lundmark A, Navarro JF, Magnusson J, </w:t>
      </w:r>
      <w:proofErr w:type="spellStart"/>
      <w:r w:rsidRPr="00794C8A">
        <w:rPr>
          <w:rFonts w:ascii="Arial" w:hAnsi="Arial" w:cs="Arial"/>
          <w:sz w:val="22"/>
          <w:szCs w:val="22"/>
        </w:rPr>
        <w:t>Giacomello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S, Asp M, </w:t>
      </w:r>
      <w:proofErr w:type="spellStart"/>
      <w:r w:rsidRPr="00794C8A">
        <w:rPr>
          <w:rFonts w:ascii="Arial" w:hAnsi="Arial" w:cs="Arial"/>
          <w:sz w:val="22"/>
          <w:szCs w:val="22"/>
        </w:rPr>
        <w:t>Westholm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JO, Huss M, </w:t>
      </w:r>
      <w:proofErr w:type="spellStart"/>
      <w:r w:rsidRPr="00794C8A">
        <w:rPr>
          <w:rFonts w:ascii="Arial" w:hAnsi="Arial" w:cs="Arial"/>
          <w:sz w:val="22"/>
          <w:szCs w:val="22"/>
        </w:rPr>
        <w:t>Mollbrink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A</w:t>
      </w:r>
      <w:r w:rsidR="00174EB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174EB5">
        <w:rPr>
          <w:rFonts w:ascii="Arial" w:hAnsi="Arial" w:cs="Arial"/>
          <w:sz w:val="22"/>
          <w:szCs w:val="22"/>
        </w:rPr>
        <w:t>Linnarssno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S, Codeluppi S, Borg Å, </w:t>
      </w:r>
      <w:proofErr w:type="spellStart"/>
      <w:r w:rsidR="00174EB5">
        <w:rPr>
          <w:rFonts w:ascii="Arial" w:hAnsi="Arial" w:cs="Arial"/>
          <w:sz w:val="22"/>
          <w:szCs w:val="22"/>
        </w:rPr>
        <w:t>Pontén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F, </w:t>
      </w:r>
      <w:proofErr w:type="spellStart"/>
      <w:r w:rsidR="00174EB5">
        <w:rPr>
          <w:rFonts w:ascii="Arial" w:hAnsi="Arial" w:cs="Arial"/>
          <w:sz w:val="22"/>
          <w:szCs w:val="22"/>
        </w:rPr>
        <w:t>Costea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PI, Sahlén P, Mulder J, Bergman O, Lundeberg J, </w:t>
      </w:r>
      <w:proofErr w:type="spellStart"/>
      <w:r w:rsidR="00174EB5">
        <w:rPr>
          <w:rFonts w:ascii="Arial" w:hAnsi="Arial" w:cs="Arial"/>
          <w:sz w:val="22"/>
          <w:szCs w:val="22"/>
        </w:rPr>
        <w:t>Frisén</w:t>
      </w:r>
      <w:proofErr w:type="spellEnd"/>
      <w:r w:rsidR="00174EB5">
        <w:rPr>
          <w:rFonts w:ascii="Arial" w:hAnsi="Arial" w:cs="Arial"/>
          <w:sz w:val="22"/>
          <w:szCs w:val="22"/>
        </w:rPr>
        <w:t xml:space="preserve"> J (2016) </w:t>
      </w:r>
      <w:r w:rsidRPr="00794C8A">
        <w:rPr>
          <w:rFonts w:ascii="Arial" w:hAnsi="Arial" w:cs="Arial"/>
          <w:sz w:val="22"/>
          <w:szCs w:val="22"/>
        </w:rPr>
        <w:t>Visualization and analysis of gene expression in tissue sections by spatial transcriptomics. Science</w:t>
      </w:r>
      <w:r w:rsidR="00174EB5">
        <w:rPr>
          <w:rFonts w:ascii="Arial" w:hAnsi="Arial" w:cs="Arial"/>
          <w:sz w:val="22"/>
          <w:szCs w:val="22"/>
        </w:rPr>
        <w:t xml:space="preserve"> </w:t>
      </w:r>
      <w:r w:rsidRPr="00794C8A">
        <w:rPr>
          <w:rFonts w:ascii="Arial" w:hAnsi="Arial" w:cs="Arial"/>
          <w:sz w:val="22"/>
          <w:szCs w:val="22"/>
        </w:rPr>
        <w:t>353(6294):78-82.</w:t>
      </w:r>
    </w:p>
    <w:p w14:paraId="7B9F4F2B" w14:textId="77777777" w:rsidR="00794C8A" w:rsidRPr="00794C8A" w:rsidRDefault="00794C8A">
      <w:pPr>
        <w:rPr>
          <w:rFonts w:ascii="Arial" w:eastAsia="Arial" w:hAnsi="Arial" w:cs="Arial"/>
          <w:b/>
          <w:sz w:val="22"/>
          <w:szCs w:val="22"/>
        </w:rPr>
      </w:pPr>
    </w:p>
    <w:p w14:paraId="27BE23F9" w14:textId="6B2B94D9" w:rsidR="00794C8A" w:rsidRDefault="00794C8A" w:rsidP="00794C8A">
      <w:r w:rsidRPr="00794C8A">
        <w:rPr>
          <w:rFonts w:ascii="Arial" w:hAnsi="Arial" w:cs="Arial"/>
          <w:sz w:val="22"/>
          <w:szCs w:val="22"/>
        </w:rPr>
        <w:t xml:space="preserve">Stickels RR, Murray E, Kumar P, Li J, Marshall JL, Di Bella DJ, </w:t>
      </w:r>
      <w:proofErr w:type="spellStart"/>
      <w:r w:rsidRPr="00794C8A">
        <w:rPr>
          <w:rFonts w:ascii="Arial" w:hAnsi="Arial" w:cs="Arial"/>
          <w:sz w:val="22"/>
          <w:szCs w:val="22"/>
        </w:rPr>
        <w:t>Arlotta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P, </w:t>
      </w:r>
      <w:proofErr w:type="spellStart"/>
      <w:r w:rsidRPr="00794C8A">
        <w:rPr>
          <w:rFonts w:ascii="Arial" w:hAnsi="Arial" w:cs="Arial"/>
          <w:sz w:val="22"/>
          <w:szCs w:val="22"/>
        </w:rPr>
        <w:t>Macosko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EZ, Chen F</w:t>
      </w:r>
      <w:r w:rsidR="00174EB5">
        <w:rPr>
          <w:rFonts w:ascii="Arial" w:hAnsi="Arial" w:cs="Arial"/>
          <w:sz w:val="22"/>
          <w:szCs w:val="22"/>
        </w:rPr>
        <w:t xml:space="preserve"> (2021)</w:t>
      </w:r>
      <w:r w:rsidRPr="00794C8A">
        <w:rPr>
          <w:rFonts w:ascii="Arial" w:hAnsi="Arial" w:cs="Arial"/>
          <w:sz w:val="22"/>
          <w:szCs w:val="22"/>
        </w:rPr>
        <w:t xml:space="preserve"> Highly sensitive spatial transcriptomics at near-cellular resolution with Slide-seqV2. Na</w:t>
      </w:r>
      <w:r w:rsidR="00174EB5">
        <w:rPr>
          <w:rFonts w:ascii="Arial" w:hAnsi="Arial" w:cs="Arial"/>
          <w:sz w:val="22"/>
          <w:szCs w:val="22"/>
        </w:rPr>
        <w:t>t</w:t>
      </w:r>
      <w:r w:rsidRPr="00794C8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74EB5">
        <w:rPr>
          <w:rFonts w:ascii="Arial" w:hAnsi="Arial" w:cs="Arial"/>
          <w:sz w:val="22"/>
          <w:szCs w:val="22"/>
        </w:rPr>
        <w:t>B</w:t>
      </w:r>
      <w:r w:rsidRPr="00794C8A">
        <w:rPr>
          <w:rFonts w:ascii="Arial" w:hAnsi="Arial" w:cs="Arial"/>
          <w:sz w:val="22"/>
          <w:szCs w:val="22"/>
        </w:rPr>
        <w:t>iotechnol</w:t>
      </w:r>
      <w:proofErr w:type="spellEnd"/>
      <w:r w:rsidRPr="00794C8A">
        <w:rPr>
          <w:rFonts w:ascii="Arial" w:hAnsi="Arial" w:cs="Arial"/>
          <w:sz w:val="22"/>
          <w:szCs w:val="22"/>
        </w:rPr>
        <w:t xml:space="preserve"> </w:t>
      </w:r>
      <w:r w:rsidR="00174EB5">
        <w:rPr>
          <w:rFonts w:ascii="Arial" w:hAnsi="Arial" w:cs="Arial"/>
          <w:sz w:val="22"/>
          <w:szCs w:val="22"/>
        </w:rPr>
        <w:t>39</w:t>
      </w:r>
      <w:r w:rsidRPr="00794C8A">
        <w:rPr>
          <w:rFonts w:ascii="Arial" w:hAnsi="Arial" w:cs="Arial"/>
          <w:sz w:val="22"/>
          <w:szCs w:val="22"/>
        </w:rPr>
        <w:t>(3):313-9</w:t>
      </w:r>
      <w:r>
        <w:t>.</w:t>
      </w:r>
    </w:p>
    <w:p w14:paraId="36FC3AD1" w14:textId="77777777" w:rsidR="00794C8A" w:rsidRDefault="00794C8A">
      <w:pPr>
        <w:rPr>
          <w:rFonts w:ascii="Arial" w:eastAsia="Arial" w:hAnsi="Arial" w:cs="Arial"/>
          <w:b/>
        </w:rPr>
      </w:pPr>
    </w:p>
    <w:p w14:paraId="6728CFA1" w14:textId="77777777" w:rsidR="00D4602B" w:rsidRDefault="00D4602B">
      <w:pPr>
        <w:rPr>
          <w:rFonts w:ascii="Arial" w:eastAsia="Arial" w:hAnsi="Arial" w:cs="Arial"/>
          <w:b/>
        </w:rPr>
      </w:pPr>
    </w:p>
    <w:p w14:paraId="23B24CE0" w14:textId="77777777" w:rsidR="00D4602B" w:rsidRDefault="00D4602B">
      <w:pPr>
        <w:rPr>
          <w:rFonts w:ascii="Arial" w:eastAsia="Arial" w:hAnsi="Arial" w:cs="Arial"/>
          <w:b/>
        </w:rPr>
      </w:pPr>
    </w:p>
    <w:p w14:paraId="39AC7057" w14:textId="77777777" w:rsidR="00D4602B" w:rsidRPr="00F60630" w:rsidRDefault="00D4602B" w:rsidP="00D4602B">
      <w:pPr>
        <w:shd w:val="clear" w:color="auto" w:fill="FFFFFF"/>
        <w:spacing w:line="360" w:lineRule="auto"/>
        <w:rPr>
          <w:b/>
          <w:color w:val="000000"/>
          <w:sz w:val="20"/>
          <w:szCs w:val="20"/>
        </w:rPr>
      </w:pPr>
      <w:r w:rsidRPr="00F60630">
        <w:rPr>
          <w:b/>
          <w:color w:val="000000"/>
          <w:sz w:val="20"/>
          <w:szCs w:val="20"/>
        </w:rPr>
        <w:t>Supplementary Protocols available at DOI:10.17605/OSF.IO/JDM62</w:t>
      </w:r>
    </w:p>
    <w:p w14:paraId="275E97F1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bCs/>
          <w:color w:val="000000"/>
          <w:sz w:val="20"/>
          <w:szCs w:val="20"/>
        </w:rPr>
      </w:pPr>
      <w:r w:rsidRPr="00F60630">
        <w:rPr>
          <w:bCs/>
          <w:color w:val="000000"/>
          <w:sz w:val="20"/>
          <w:szCs w:val="20"/>
        </w:rPr>
        <w:t>Preparation, dissection and fixation of lepidopteran brains, including a table of antibodies that are cross-reactive in Lepidoptera (</w:t>
      </w:r>
      <w:r w:rsidRPr="00F60630">
        <w:rPr>
          <w:rStyle w:val="scripted"/>
          <w:sz w:val="20"/>
          <w:szCs w:val="20"/>
        </w:rPr>
        <w:t>DOI: 10.17605/OSF.IO/AC3PJ</w:t>
      </w:r>
      <w:r w:rsidRPr="00F60630">
        <w:rPr>
          <w:bCs/>
          <w:color w:val="000000"/>
          <w:sz w:val="20"/>
          <w:szCs w:val="20"/>
        </w:rPr>
        <w:t>)</w:t>
      </w:r>
    </w:p>
    <w:p w14:paraId="72F7C653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bCs/>
          <w:color w:val="000000"/>
          <w:sz w:val="20"/>
          <w:szCs w:val="20"/>
        </w:rPr>
      </w:pPr>
      <w:r w:rsidRPr="00F60630">
        <w:rPr>
          <w:bCs/>
          <w:color w:val="000000"/>
          <w:sz w:val="20"/>
          <w:szCs w:val="20"/>
        </w:rPr>
        <w:t xml:space="preserve">Dissection and immunostaining of </w:t>
      </w:r>
      <w:proofErr w:type="spellStart"/>
      <w:r w:rsidRPr="00F60630">
        <w:rPr>
          <w:bCs/>
          <w:i/>
          <w:iCs/>
          <w:color w:val="000000"/>
          <w:sz w:val="20"/>
          <w:szCs w:val="20"/>
        </w:rPr>
        <w:t>Plodia</w:t>
      </w:r>
      <w:proofErr w:type="spellEnd"/>
      <w:r w:rsidRPr="00F60630">
        <w:rPr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F60630">
        <w:rPr>
          <w:bCs/>
          <w:i/>
          <w:iCs/>
          <w:color w:val="000000"/>
          <w:sz w:val="20"/>
          <w:szCs w:val="20"/>
        </w:rPr>
        <w:t>interpunctella</w:t>
      </w:r>
      <w:proofErr w:type="spellEnd"/>
      <w:r w:rsidRPr="00F60630">
        <w:rPr>
          <w:bCs/>
          <w:i/>
          <w:iCs/>
          <w:color w:val="000000"/>
          <w:sz w:val="20"/>
          <w:szCs w:val="20"/>
        </w:rPr>
        <w:t xml:space="preserve"> </w:t>
      </w:r>
      <w:r w:rsidRPr="00F60630">
        <w:rPr>
          <w:bCs/>
          <w:color w:val="000000"/>
          <w:sz w:val="20"/>
          <w:szCs w:val="20"/>
        </w:rPr>
        <w:t>adult brains (</w:t>
      </w:r>
      <w:r w:rsidRPr="00F60630">
        <w:rPr>
          <w:color w:val="000000"/>
          <w:sz w:val="20"/>
          <w:szCs w:val="20"/>
        </w:rPr>
        <w:t>DOI: 10.17605/OSF.IO/AC3PJ)</w:t>
      </w:r>
    </w:p>
    <w:p w14:paraId="26804CD3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bCs/>
          <w:color w:val="000000"/>
          <w:sz w:val="20"/>
          <w:szCs w:val="20"/>
        </w:rPr>
      </w:pPr>
      <w:r w:rsidRPr="00F60630">
        <w:rPr>
          <w:bCs/>
          <w:color w:val="000000"/>
          <w:sz w:val="20"/>
          <w:szCs w:val="20"/>
        </w:rPr>
        <w:t>Immunostaining, imaging and analysis of Lepidoptera brains (</w:t>
      </w:r>
      <w:r w:rsidRPr="00F60630">
        <w:rPr>
          <w:rStyle w:val="scripted"/>
          <w:sz w:val="20"/>
          <w:szCs w:val="20"/>
        </w:rPr>
        <w:t>DOI: 10.17605/OSF.IO/VTUZ9</w:t>
      </w:r>
      <w:r w:rsidRPr="00F60630">
        <w:rPr>
          <w:bCs/>
          <w:color w:val="000000"/>
          <w:sz w:val="20"/>
          <w:szCs w:val="20"/>
        </w:rPr>
        <w:t>)</w:t>
      </w:r>
    </w:p>
    <w:p w14:paraId="230FF912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rStyle w:val="scripted"/>
          <w:bCs/>
          <w:color w:val="000000"/>
          <w:sz w:val="20"/>
          <w:szCs w:val="20"/>
        </w:rPr>
      </w:pPr>
      <w:r w:rsidRPr="00F60630">
        <w:rPr>
          <w:bCs/>
          <w:color w:val="000000"/>
          <w:sz w:val="20"/>
          <w:szCs w:val="20"/>
        </w:rPr>
        <w:t>Differential tetrode recording in tethered flying butterflies (</w:t>
      </w:r>
      <w:r w:rsidRPr="00F60630">
        <w:rPr>
          <w:rStyle w:val="scripted"/>
          <w:sz w:val="20"/>
          <w:szCs w:val="20"/>
        </w:rPr>
        <w:t>DOI: 10.17605/OSF.IO/VE7A9)</w:t>
      </w:r>
    </w:p>
    <w:p w14:paraId="36D2E6C8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rStyle w:val="scripted"/>
          <w:bCs/>
          <w:color w:val="000000"/>
          <w:sz w:val="20"/>
          <w:szCs w:val="20"/>
        </w:rPr>
      </w:pPr>
      <w:r w:rsidRPr="00F60630">
        <w:rPr>
          <w:rStyle w:val="scripted"/>
          <w:sz w:val="20"/>
          <w:szCs w:val="20"/>
        </w:rPr>
        <w:t xml:space="preserve">A portable setup to study butterfly </w:t>
      </w:r>
      <w:proofErr w:type="spellStart"/>
      <w:r w:rsidRPr="00F60630">
        <w:rPr>
          <w:rStyle w:val="scripted"/>
          <w:sz w:val="20"/>
          <w:szCs w:val="20"/>
        </w:rPr>
        <w:t>eyeshine</w:t>
      </w:r>
      <w:proofErr w:type="spellEnd"/>
      <w:r w:rsidRPr="00F60630">
        <w:rPr>
          <w:rStyle w:val="scripted"/>
          <w:sz w:val="20"/>
          <w:szCs w:val="20"/>
        </w:rPr>
        <w:t xml:space="preserve"> (DOI 10.17605/OSF.IO/PH9J6)</w:t>
      </w:r>
    </w:p>
    <w:p w14:paraId="53EC45D2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rStyle w:val="scripted"/>
          <w:bCs/>
          <w:color w:val="000000"/>
          <w:sz w:val="20"/>
          <w:szCs w:val="20"/>
        </w:rPr>
      </w:pPr>
      <w:r w:rsidRPr="00F60630">
        <w:rPr>
          <w:rStyle w:val="scripted"/>
          <w:sz w:val="20"/>
          <w:szCs w:val="20"/>
        </w:rPr>
        <w:t>Lepidoptera eye cuticle dissection and mounting (DOI: 10.17605/OSF.IO/EWBS9)</w:t>
      </w:r>
    </w:p>
    <w:p w14:paraId="2A3F67DA" w14:textId="77777777" w:rsidR="00D4602B" w:rsidRPr="00F60630" w:rsidRDefault="00D4602B" w:rsidP="00D46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bCs/>
          <w:color w:val="000000"/>
          <w:sz w:val="20"/>
          <w:szCs w:val="20"/>
        </w:rPr>
      </w:pPr>
      <w:r w:rsidRPr="00F60630">
        <w:rPr>
          <w:bCs/>
          <w:color w:val="000000"/>
          <w:sz w:val="20"/>
          <w:szCs w:val="20"/>
        </w:rPr>
        <w:t xml:space="preserve">ImageJ/Fiji analysis of eye cuticle, tibia and abdomen measurements of </w:t>
      </w:r>
      <w:proofErr w:type="spellStart"/>
      <w:r w:rsidRPr="00F60630">
        <w:rPr>
          <w:bCs/>
          <w:color w:val="000000"/>
          <w:sz w:val="20"/>
          <w:szCs w:val="20"/>
        </w:rPr>
        <w:t>lepidoptera</w:t>
      </w:r>
      <w:proofErr w:type="spellEnd"/>
      <w:r w:rsidRPr="00F60630">
        <w:rPr>
          <w:bCs/>
          <w:color w:val="000000"/>
          <w:sz w:val="20"/>
          <w:szCs w:val="20"/>
        </w:rPr>
        <w:t xml:space="preserve"> (</w:t>
      </w:r>
      <w:r w:rsidRPr="00F60630">
        <w:rPr>
          <w:rStyle w:val="scripted"/>
          <w:sz w:val="20"/>
          <w:szCs w:val="20"/>
        </w:rPr>
        <w:t>DOI 10.17605/OSF.IO/FM8VP)</w:t>
      </w:r>
    </w:p>
    <w:p w14:paraId="0A3BEABF" w14:textId="77777777" w:rsidR="00D4602B" w:rsidRPr="00794C8A" w:rsidRDefault="00D4602B">
      <w:pPr>
        <w:rPr>
          <w:rFonts w:ascii="Arial" w:eastAsia="Arial" w:hAnsi="Arial" w:cs="Arial"/>
          <w:b/>
        </w:rPr>
      </w:pPr>
      <w:bookmarkStart w:id="0" w:name="_GoBack"/>
      <w:bookmarkEnd w:id="0"/>
    </w:p>
    <w:sectPr w:rsidR="00D4602B" w:rsidRPr="00794C8A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78A5F91F-622B-4B8C-9072-ED26A4391A4D}"/>
    <w:embedItalic r:id="rId2" w:fontKey="{1D61F4C8-8B94-4267-8676-500903B37645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  <w:embedRegular r:id="rId3" w:fontKey="{F859C6AF-B45E-4632-93B1-D244E5E939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7E65A9"/>
    <w:multiLevelType w:val="multilevel"/>
    <w:tmpl w:val="8828F23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5D"/>
    <w:rsid w:val="00081C68"/>
    <w:rsid w:val="00174EB5"/>
    <w:rsid w:val="0019595E"/>
    <w:rsid w:val="00490BEC"/>
    <w:rsid w:val="0051030B"/>
    <w:rsid w:val="00596F7E"/>
    <w:rsid w:val="005A1C76"/>
    <w:rsid w:val="005F5133"/>
    <w:rsid w:val="00725BD5"/>
    <w:rsid w:val="00794C8A"/>
    <w:rsid w:val="009D6CCB"/>
    <w:rsid w:val="009E6C5D"/>
    <w:rsid w:val="00A97549"/>
    <w:rsid w:val="00BE1C3C"/>
    <w:rsid w:val="00D4602B"/>
    <w:rsid w:val="00E8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52272"/>
  <w15:docId w15:val="{2E005B4F-B8F3-0744-B7D7-55F116D6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C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2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2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2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2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2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2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D32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D3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27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D3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27B"/>
    <w:pPr>
      <w:spacing w:before="160" w:after="160" w:line="278" w:lineRule="auto"/>
      <w:jc w:val="center"/>
    </w:pPr>
    <w:rPr>
      <w:rFonts w:ascii="Aptos" w:eastAsia="Aptos" w:hAnsi="Aptos" w:cs="Aptos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27B"/>
    <w:pPr>
      <w:spacing w:after="160" w:line="278" w:lineRule="auto"/>
      <w:ind w:left="720"/>
      <w:contextualSpacing/>
    </w:pPr>
    <w:rPr>
      <w:rFonts w:ascii="Aptos" w:eastAsia="Aptos" w:hAnsi="Aptos" w:cs="Aptos"/>
    </w:rPr>
  </w:style>
  <w:style w:type="character" w:styleId="IntenseEmphasis">
    <w:name w:val="Intense Emphasis"/>
    <w:basedOn w:val="DefaultParagraphFont"/>
    <w:uiPriority w:val="21"/>
    <w:qFormat/>
    <w:rsid w:val="00DD3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ptos" w:eastAsia="Aptos" w:hAnsi="Aptos" w:cs="Aptos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2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3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6598"/>
    <w:pPr>
      <w:tabs>
        <w:tab w:val="center" w:pos="4513"/>
        <w:tab w:val="right" w:pos="9026"/>
      </w:tabs>
    </w:pPr>
    <w:rPr>
      <w:rFonts w:ascii="Aptos" w:eastAsia="Aptos" w:hAnsi="Aptos" w:cs="Aptos"/>
    </w:rPr>
  </w:style>
  <w:style w:type="character" w:customStyle="1" w:styleId="HeaderChar">
    <w:name w:val="Header Char"/>
    <w:basedOn w:val="DefaultParagraphFont"/>
    <w:link w:val="Header"/>
    <w:uiPriority w:val="99"/>
    <w:rsid w:val="00586598"/>
  </w:style>
  <w:style w:type="paragraph" w:styleId="Footer">
    <w:name w:val="footer"/>
    <w:basedOn w:val="Normal"/>
    <w:link w:val="FooterChar"/>
    <w:uiPriority w:val="99"/>
    <w:unhideWhenUsed/>
    <w:rsid w:val="00586598"/>
    <w:pPr>
      <w:tabs>
        <w:tab w:val="center" w:pos="4513"/>
        <w:tab w:val="right" w:pos="9026"/>
      </w:tabs>
    </w:pPr>
    <w:rPr>
      <w:rFonts w:ascii="Aptos" w:eastAsia="Aptos" w:hAnsi="Aptos" w:cs="Aptos"/>
    </w:rPr>
  </w:style>
  <w:style w:type="character" w:customStyle="1" w:styleId="FooterChar">
    <w:name w:val="Footer Char"/>
    <w:basedOn w:val="DefaultParagraphFont"/>
    <w:link w:val="Footer"/>
    <w:uiPriority w:val="99"/>
    <w:rsid w:val="00586598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490BE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cripted">
    <w:name w:val="scripted"/>
    <w:basedOn w:val="DefaultParagraphFont"/>
    <w:rsid w:val="00D46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iVwz+9x09YiWkEelS/6NQkfwEQ==">CgMxLjA4AHIhMVRlMTItbkUyVXZOa0tJS0ZrV2wzTU5qMW1yRUtnd3BX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Montgomery</dc:creator>
  <cp:lastModifiedBy>Indhu Arumugasamy</cp:lastModifiedBy>
  <cp:revision>8</cp:revision>
  <dcterms:created xsi:type="dcterms:W3CDTF">2025-06-25T16:06:00Z</dcterms:created>
  <dcterms:modified xsi:type="dcterms:W3CDTF">2025-11-21T12:13:00Z</dcterms:modified>
</cp:coreProperties>
</file>