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15D7C" w14:textId="77777777" w:rsidR="00A72101" w:rsidRDefault="00A72101" w:rsidP="00A72101">
      <w:pPr>
        <w:pStyle w:val="Ttulo"/>
        <w:spacing w:line="360" w:lineRule="auto"/>
        <w:sectPr w:rsidR="00A72101" w:rsidSect="00A72101">
          <w:headerReference w:type="default" r:id="rId8"/>
          <w:footerReference w:type="default" r:id="rId9"/>
          <w:headerReference w:type="first" r:id="rId10"/>
          <w:type w:val="continuous"/>
          <w:pgSz w:w="12240" w:h="15840"/>
          <w:pgMar w:top="1440" w:right="1440" w:bottom="1440" w:left="1440" w:header="432" w:footer="720" w:gutter="0"/>
          <w:cols w:space="720"/>
          <w:docGrid w:linePitch="360"/>
        </w:sectPr>
      </w:pPr>
    </w:p>
    <w:p w14:paraId="46FC448C" w14:textId="0DD18E68" w:rsidR="00A72101" w:rsidRDefault="00A72101" w:rsidP="00A72101">
      <w:pPr>
        <w:pStyle w:val="Ttulo"/>
        <w:spacing w:line="360" w:lineRule="auto"/>
      </w:pPr>
      <w:r w:rsidRPr="00DD4E51">
        <w:t>Evidence of earthquake</w:t>
      </w:r>
      <w:r w:rsidRPr="00DD47BE">
        <w:t xml:space="preserve"> </w:t>
      </w:r>
      <w:r>
        <w:t>s</w:t>
      </w:r>
      <w:r w:rsidRPr="00DD47BE">
        <w:t>easonality in the Azores Triple Junction</w:t>
      </w:r>
    </w:p>
    <w:p w14:paraId="56DE9B48" w14:textId="77777777" w:rsidR="00A72101" w:rsidRPr="003E0A19" w:rsidRDefault="00A72101" w:rsidP="00A72101">
      <w:pPr>
        <w:pStyle w:val="Authors"/>
        <w:spacing w:line="360" w:lineRule="auto"/>
        <w:jc w:val="center"/>
      </w:pPr>
    </w:p>
    <w:p w14:paraId="34F7ECA1" w14:textId="77777777" w:rsidR="00A72101" w:rsidRPr="00920C33" w:rsidRDefault="00A72101" w:rsidP="00A72101">
      <w:pPr>
        <w:pStyle w:val="Authors"/>
        <w:spacing w:line="360" w:lineRule="auto"/>
        <w:jc w:val="center"/>
        <w:rPr>
          <w:lang w:val="pt-PT"/>
        </w:rPr>
      </w:pPr>
      <w:r w:rsidRPr="00920C33">
        <w:rPr>
          <w:lang w:val="pt-PT"/>
        </w:rPr>
        <w:t>Ana L. Lordi</w:t>
      </w:r>
      <w:r w:rsidRPr="00920C33">
        <w:rPr>
          <w:vertAlign w:val="superscript"/>
          <w:lang w:val="pt-PT"/>
        </w:rPr>
        <w:t>1</w:t>
      </w:r>
      <w:r>
        <w:rPr>
          <w:vertAlign w:val="superscript"/>
          <w:lang w:val="pt-PT"/>
        </w:rPr>
        <w:t>,2</w:t>
      </w:r>
      <w:r w:rsidRPr="00920C33">
        <w:rPr>
          <w:lang w:val="pt-PT"/>
        </w:rPr>
        <w:t>, Maria C. Neves</w:t>
      </w:r>
      <w:r w:rsidRPr="00920C33">
        <w:rPr>
          <w:vertAlign w:val="superscript"/>
          <w:lang w:val="pt-PT"/>
        </w:rPr>
        <w:t>1, 2</w:t>
      </w:r>
      <w:r w:rsidRPr="00920C33">
        <w:rPr>
          <w:lang w:val="pt-PT"/>
        </w:rPr>
        <w:t>, Susana Custódio</w:t>
      </w:r>
      <w:r w:rsidRPr="00920C33">
        <w:rPr>
          <w:vertAlign w:val="superscript"/>
          <w:lang w:val="pt-PT"/>
        </w:rPr>
        <w:t>1,3</w:t>
      </w:r>
      <w:r w:rsidRPr="00920C33">
        <w:rPr>
          <w:lang w:val="pt-PT"/>
        </w:rPr>
        <w:t>,</w:t>
      </w:r>
      <w:r>
        <w:rPr>
          <w:lang w:val="pt-PT"/>
        </w:rPr>
        <w:t xml:space="preserve"> Stéphanie Dumont</w:t>
      </w:r>
      <w:r w:rsidRPr="00920C33">
        <w:rPr>
          <w:vertAlign w:val="superscript"/>
          <w:lang w:val="pt-PT"/>
        </w:rPr>
        <w:t>1,</w:t>
      </w:r>
      <w:r>
        <w:rPr>
          <w:vertAlign w:val="superscript"/>
          <w:lang w:val="pt-PT"/>
        </w:rPr>
        <w:t>4</w:t>
      </w:r>
    </w:p>
    <w:p w14:paraId="263D9D4E" w14:textId="77777777" w:rsidR="00A72101" w:rsidRDefault="00A72101" w:rsidP="00A72101">
      <w:pPr>
        <w:pStyle w:val="Affiliation"/>
        <w:spacing w:line="360" w:lineRule="auto"/>
        <w:jc w:val="both"/>
        <w:rPr>
          <w:lang w:val="pt-PT"/>
        </w:rPr>
      </w:pPr>
      <w:r>
        <w:rPr>
          <w:vertAlign w:val="superscript"/>
          <w:lang w:val="pt-PT"/>
        </w:rPr>
        <w:t>1</w:t>
      </w:r>
      <w:r w:rsidRPr="001C1D2A">
        <w:rPr>
          <w:lang w:val="pt-PT"/>
        </w:rPr>
        <w:t xml:space="preserve">Instituto Dom Luiz, </w:t>
      </w:r>
      <w:proofErr w:type="spellStart"/>
      <w:r w:rsidRPr="001C1D2A">
        <w:rPr>
          <w:lang w:val="pt-PT"/>
        </w:rPr>
        <w:t>Universi</w:t>
      </w:r>
      <w:r>
        <w:rPr>
          <w:lang w:val="pt-PT"/>
        </w:rPr>
        <w:t>ty</w:t>
      </w:r>
      <w:proofErr w:type="spellEnd"/>
      <w:r>
        <w:rPr>
          <w:lang w:val="pt-PT"/>
        </w:rPr>
        <w:t xml:space="preserve"> </w:t>
      </w:r>
      <w:proofErr w:type="spellStart"/>
      <w:r>
        <w:rPr>
          <w:lang w:val="pt-PT"/>
        </w:rPr>
        <w:t>of</w:t>
      </w:r>
      <w:proofErr w:type="spellEnd"/>
      <w:r>
        <w:rPr>
          <w:lang w:val="pt-PT"/>
        </w:rPr>
        <w:t xml:space="preserve"> </w:t>
      </w:r>
      <w:proofErr w:type="spellStart"/>
      <w:r>
        <w:rPr>
          <w:lang w:val="pt-PT"/>
        </w:rPr>
        <w:t>Lisbon</w:t>
      </w:r>
      <w:proofErr w:type="spellEnd"/>
      <w:r w:rsidRPr="001C1D2A">
        <w:rPr>
          <w:lang w:val="pt-PT"/>
        </w:rPr>
        <w:t xml:space="preserve">, </w:t>
      </w:r>
      <w:proofErr w:type="spellStart"/>
      <w:r w:rsidRPr="001C1D2A">
        <w:rPr>
          <w:lang w:val="pt-PT"/>
        </w:rPr>
        <w:t>Lisbo</w:t>
      </w:r>
      <w:r>
        <w:rPr>
          <w:lang w:val="pt-PT"/>
        </w:rPr>
        <w:t>n</w:t>
      </w:r>
      <w:proofErr w:type="spellEnd"/>
      <w:r w:rsidRPr="001C1D2A">
        <w:rPr>
          <w:lang w:val="pt-PT"/>
        </w:rPr>
        <w:t>, Portugal.</w:t>
      </w:r>
    </w:p>
    <w:p w14:paraId="24C87162" w14:textId="77777777" w:rsidR="00A72101" w:rsidRPr="003E0A19" w:rsidRDefault="00A72101" w:rsidP="00A72101">
      <w:pPr>
        <w:pStyle w:val="Affiliation"/>
        <w:spacing w:line="360" w:lineRule="auto"/>
        <w:jc w:val="both"/>
        <w:rPr>
          <w:lang w:val="pt-PT"/>
        </w:rPr>
      </w:pPr>
      <w:r w:rsidRPr="003E0A19">
        <w:rPr>
          <w:vertAlign w:val="superscript"/>
          <w:lang w:val="pt-PT"/>
        </w:rPr>
        <w:t>2</w:t>
      </w:r>
      <w:r w:rsidRPr="003E0A19">
        <w:rPr>
          <w:lang w:val="pt-PT"/>
        </w:rPr>
        <w:t xml:space="preserve">University </w:t>
      </w:r>
      <w:proofErr w:type="spellStart"/>
      <w:r w:rsidRPr="003E0A19">
        <w:rPr>
          <w:lang w:val="pt-PT"/>
        </w:rPr>
        <w:t>of</w:t>
      </w:r>
      <w:proofErr w:type="spellEnd"/>
      <w:r w:rsidRPr="003E0A19">
        <w:rPr>
          <w:lang w:val="pt-PT"/>
        </w:rPr>
        <w:t xml:space="preserve"> </w:t>
      </w:r>
      <w:proofErr w:type="spellStart"/>
      <w:r w:rsidRPr="003E0A19">
        <w:rPr>
          <w:lang w:val="pt-PT"/>
        </w:rPr>
        <w:t>the</w:t>
      </w:r>
      <w:proofErr w:type="spellEnd"/>
      <w:r w:rsidRPr="003E0A19">
        <w:rPr>
          <w:lang w:val="pt-PT"/>
        </w:rPr>
        <w:t xml:space="preserve"> Algarve, Faro, Portugal.</w:t>
      </w:r>
    </w:p>
    <w:p w14:paraId="38B29159" w14:textId="77777777" w:rsidR="00A72101" w:rsidRPr="003E0A19" w:rsidRDefault="00A72101" w:rsidP="00A72101">
      <w:pPr>
        <w:pStyle w:val="Affiliation"/>
        <w:spacing w:line="360" w:lineRule="auto"/>
        <w:jc w:val="both"/>
        <w:rPr>
          <w:lang w:val="pt-PT"/>
        </w:rPr>
      </w:pPr>
      <w:r w:rsidRPr="003E0A19">
        <w:rPr>
          <w:vertAlign w:val="superscript"/>
          <w:lang w:val="pt-PT"/>
        </w:rPr>
        <w:t>3</w:t>
      </w:r>
      <w:r w:rsidRPr="003E0A19">
        <w:rPr>
          <w:lang w:val="pt-PT"/>
        </w:rPr>
        <w:t xml:space="preserve">University </w:t>
      </w:r>
      <w:proofErr w:type="spellStart"/>
      <w:r w:rsidRPr="003E0A19">
        <w:rPr>
          <w:lang w:val="pt-PT"/>
        </w:rPr>
        <w:t>of</w:t>
      </w:r>
      <w:proofErr w:type="spellEnd"/>
      <w:r w:rsidRPr="003E0A19">
        <w:rPr>
          <w:lang w:val="pt-PT"/>
        </w:rPr>
        <w:t xml:space="preserve"> </w:t>
      </w:r>
      <w:proofErr w:type="spellStart"/>
      <w:r w:rsidRPr="003E0A19">
        <w:rPr>
          <w:lang w:val="pt-PT"/>
        </w:rPr>
        <w:t>Lisbon</w:t>
      </w:r>
      <w:proofErr w:type="spellEnd"/>
      <w:r w:rsidRPr="003E0A19">
        <w:rPr>
          <w:lang w:val="pt-PT"/>
        </w:rPr>
        <w:t xml:space="preserve">, </w:t>
      </w:r>
      <w:proofErr w:type="spellStart"/>
      <w:r w:rsidRPr="003E0A19">
        <w:rPr>
          <w:lang w:val="pt-PT"/>
        </w:rPr>
        <w:t>Lisbon</w:t>
      </w:r>
      <w:proofErr w:type="spellEnd"/>
      <w:r w:rsidRPr="003E0A19">
        <w:rPr>
          <w:lang w:val="pt-PT"/>
        </w:rPr>
        <w:t>, Portugal.</w:t>
      </w:r>
    </w:p>
    <w:p w14:paraId="357EC785" w14:textId="77777777" w:rsidR="00A72101" w:rsidRPr="001C1D2A" w:rsidRDefault="00A72101" w:rsidP="00A72101">
      <w:pPr>
        <w:pStyle w:val="Affiliation"/>
        <w:spacing w:line="360" w:lineRule="auto"/>
        <w:jc w:val="both"/>
        <w:rPr>
          <w:lang w:val="pt-PT"/>
        </w:rPr>
      </w:pPr>
      <w:r>
        <w:rPr>
          <w:vertAlign w:val="superscript"/>
          <w:lang w:val="pt-PT"/>
        </w:rPr>
        <w:t>4</w:t>
      </w:r>
      <w:r w:rsidRPr="00F0523C">
        <w:rPr>
          <w:lang w:val="pt-PT"/>
        </w:rPr>
        <w:t xml:space="preserve">University </w:t>
      </w:r>
      <w:proofErr w:type="spellStart"/>
      <w:r w:rsidRPr="00F0523C">
        <w:rPr>
          <w:lang w:val="pt-PT"/>
        </w:rPr>
        <w:t>of</w:t>
      </w:r>
      <w:proofErr w:type="spellEnd"/>
      <w:r w:rsidRPr="00F0523C">
        <w:rPr>
          <w:lang w:val="pt-PT"/>
        </w:rPr>
        <w:t xml:space="preserve"> Beira Interior, Covilhã, Portugal</w:t>
      </w:r>
      <w:r>
        <w:rPr>
          <w:lang w:val="pt-PT"/>
        </w:rPr>
        <w:t>.</w:t>
      </w:r>
    </w:p>
    <w:p w14:paraId="5BB8F808" w14:textId="77777777" w:rsidR="00A72101" w:rsidRPr="00F0523C" w:rsidRDefault="00A72101" w:rsidP="00A72101">
      <w:pPr>
        <w:pStyle w:val="Affiliation"/>
        <w:spacing w:line="360" w:lineRule="auto"/>
        <w:rPr>
          <w:lang w:val="pt-PT"/>
        </w:rPr>
      </w:pPr>
    </w:p>
    <w:p w14:paraId="62102604" w14:textId="77777777" w:rsidR="00A72101" w:rsidRDefault="00A72101" w:rsidP="00A72101">
      <w:pPr>
        <w:pStyle w:val="Affiliation"/>
        <w:spacing w:line="360" w:lineRule="auto"/>
      </w:pPr>
      <w:r w:rsidRPr="00F0523C">
        <w:t>Corresponding author: Ana L. Lordi (</w:t>
      </w:r>
      <w:hyperlink r:id="rId11" w:history="1">
        <w:r w:rsidRPr="0065624C">
          <w:rPr>
            <w:rStyle w:val="Hiperligao"/>
          </w:rPr>
          <w:t>analauralordi@gmail.com</w:t>
        </w:r>
      </w:hyperlink>
      <w:r w:rsidRPr="00F0523C">
        <w:rPr>
          <w:rStyle w:val="Hiperligao"/>
        </w:rPr>
        <w:t>)</w:t>
      </w:r>
      <w:r w:rsidRPr="00F0523C">
        <w:t xml:space="preserve"> </w:t>
      </w:r>
    </w:p>
    <w:p w14:paraId="0AD51F27" w14:textId="77777777" w:rsidR="00065233" w:rsidRDefault="00065233" w:rsidP="00A72101">
      <w:pPr>
        <w:pStyle w:val="Affiliation"/>
        <w:spacing w:line="360" w:lineRule="auto"/>
      </w:pPr>
    </w:p>
    <w:p w14:paraId="58ADFD4B" w14:textId="6A83DF9B" w:rsidR="00065233" w:rsidRDefault="009E56B2">
      <w:pPr>
        <w:pStyle w:val="Heading-Secondary"/>
        <w:spacing w:line="360" w:lineRule="auto"/>
        <w:ind w:left="0" w:firstLine="720"/>
        <w:jc w:val="center"/>
        <w:rPr>
          <w:b/>
          <w:sz w:val="28"/>
          <w:szCs w:val="28"/>
        </w:rPr>
      </w:pPr>
      <w:r w:rsidRPr="00FB041D">
        <w:rPr>
          <w:b/>
          <w:sz w:val="28"/>
          <w:szCs w:val="28"/>
        </w:rPr>
        <w:lastRenderedPageBreak/>
        <w:t>Supplementary Material</w:t>
      </w:r>
    </w:p>
    <w:p w14:paraId="602632A5" w14:textId="77777777" w:rsidR="001F4972" w:rsidRDefault="001F4972">
      <w:pPr>
        <w:pStyle w:val="Heading-Secondary"/>
        <w:spacing w:line="360" w:lineRule="auto"/>
        <w:ind w:left="0" w:firstLine="720"/>
        <w:jc w:val="center"/>
        <w:rPr>
          <w:b/>
          <w:sz w:val="28"/>
          <w:szCs w:val="28"/>
        </w:rPr>
      </w:pPr>
    </w:p>
    <w:p w14:paraId="1FB3EDFE" w14:textId="4278EA4E" w:rsidR="00065233" w:rsidRDefault="004A459C" w:rsidP="001F4972">
      <w:pPr>
        <w:spacing w:line="360" w:lineRule="auto"/>
        <w:jc w:val="center"/>
        <w:rPr>
          <w:b/>
          <w:sz w:val="28"/>
          <w:szCs w:val="28"/>
        </w:rPr>
      </w:pPr>
      <w:r>
        <w:rPr>
          <w:noProof/>
        </w:rPr>
        <w:drawing>
          <wp:inline distT="0" distB="0" distL="0" distR="0" wp14:anchorId="3C4E5D25" wp14:editId="6566AF9D">
            <wp:extent cx="5460023" cy="4446560"/>
            <wp:effectExtent l="0" t="0" r="762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1887" cy="4448078"/>
                    </a:xfrm>
                    <a:prstGeom prst="rect">
                      <a:avLst/>
                    </a:prstGeom>
                    <a:noFill/>
                    <a:ln>
                      <a:noFill/>
                    </a:ln>
                  </pic:spPr>
                </pic:pic>
              </a:graphicData>
            </a:graphic>
          </wp:inline>
        </w:drawing>
      </w:r>
    </w:p>
    <w:p w14:paraId="793AB479" w14:textId="6AD0D8F5" w:rsidR="00065233" w:rsidRDefault="00065233" w:rsidP="00065233">
      <w:pPr>
        <w:pStyle w:val="Text"/>
        <w:spacing w:line="360" w:lineRule="auto"/>
        <w:jc w:val="both"/>
      </w:pPr>
      <w:r w:rsidRPr="003C0418">
        <w:rPr>
          <w:b/>
          <w:bCs/>
        </w:rPr>
        <w:t xml:space="preserve">Fig. </w:t>
      </w:r>
      <w:r>
        <w:rPr>
          <w:b/>
          <w:bCs/>
        </w:rPr>
        <w:t>1</w:t>
      </w:r>
      <w:r w:rsidRPr="003C0418">
        <w:t xml:space="preserve">. </w:t>
      </w:r>
      <w:r>
        <w:t>Gutenberg-Richter</w:t>
      </w:r>
      <w:r w:rsidRPr="00477F0B">
        <w:t xml:space="preserve"> magnitude-frequency distribution </w:t>
      </w:r>
      <w:r>
        <w:t xml:space="preserve">for </w:t>
      </w:r>
      <w:r w:rsidRPr="002C0784">
        <w:rPr>
          <w:b/>
          <w:bCs/>
        </w:rPr>
        <w:t>(</w:t>
      </w:r>
      <w:r>
        <w:rPr>
          <w:b/>
          <w:bCs/>
        </w:rPr>
        <w:t>a</w:t>
      </w:r>
      <w:r w:rsidRPr="002C0784">
        <w:rPr>
          <w:b/>
          <w:bCs/>
        </w:rPr>
        <w:t>)</w:t>
      </w:r>
      <w:r>
        <w:t xml:space="preserve"> full and </w:t>
      </w:r>
      <w:r w:rsidRPr="002C0784">
        <w:rPr>
          <w:b/>
          <w:bCs/>
        </w:rPr>
        <w:t>(</w:t>
      </w:r>
      <w:r>
        <w:rPr>
          <w:b/>
          <w:bCs/>
        </w:rPr>
        <w:t>b</w:t>
      </w:r>
      <w:r w:rsidRPr="002C0784">
        <w:rPr>
          <w:b/>
          <w:bCs/>
        </w:rPr>
        <w:t>)</w:t>
      </w:r>
      <w:r>
        <w:t xml:space="preserve"> </w:t>
      </w:r>
      <w:proofErr w:type="spellStart"/>
      <w:r>
        <w:t>declustered</w:t>
      </w:r>
      <w:proofErr w:type="spellEnd"/>
      <w:r>
        <w:t xml:space="preserve"> islands catalogue, and </w:t>
      </w:r>
      <w:r w:rsidRPr="00FB041D">
        <w:rPr>
          <w:b/>
          <w:bCs/>
        </w:rPr>
        <w:t>(c)</w:t>
      </w:r>
      <w:r>
        <w:t xml:space="preserve"> full and </w:t>
      </w:r>
      <w:r w:rsidRPr="00FB041D">
        <w:rPr>
          <w:b/>
          <w:bCs/>
        </w:rPr>
        <w:t xml:space="preserve">(d) </w:t>
      </w:r>
      <w:proofErr w:type="spellStart"/>
      <w:r>
        <w:t>declustered</w:t>
      </w:r>
      <w:proofErr w:type="spellEnd"/>
      <w:r>
        <w:t xml:space="preserve"> oceanic catalogue</w:t>
      </w:r>
    </w:p>
    <w:p w14:paraId="335E888E" w14:textId="77777777" w:rsidR="00065233" w:rsidRPr="00FB041D" w:rsidRDefault="00065233" w:rsidP="00FB041D">
      <w:pPr>
        <w:spacing w:line="360" w:lineRule="auto"/>
        <w:jc w:val="center"/>
        <w:rPr>
          <w:b/>
          <w:sz w:val="28"/>
          <w:szCs w:val="28"/>
        </w:rPr>
      </w:pPr>
    </w:p>
    <w:p w14:paraId="6267B5DB" w14:textId="2E6FEC6A" w:rsidR="009E56B2" w:rsidRDefault="009E56B2" w:rsidP="00FB041D">
      <w:pPr>
        <w:pStyle w:val="Heading-Secondary"/>
        <w:spacing w:line="360" w:lineRule="auto"/>
        <w:ind w:left="0" w:firstLine="720"/>
        <w:jc w:val="center"/>
        <w:rPr>
          <w:color w:val="0000FF"/>
          <w:u w:val="single"/>
        </w:rPr>
      </w:pPr>
    </w:p>
    <w:p w14:paraId="18E1F0FD" w14:textId="6440F7FC" w:rsidR="009E56B2" w:rsidRDefault="009E56B2" w:rsidP="009E56B2">
      <w:pPr>
        <w:pStyle w:val="Heading-Secondary"/>
        <w:spacing w:line="360" w:lineRule="auto"/>
        <w:ind w:left="0" w:firstLine="720"/>
        <w:jc w:val="both"/>
      </w:pPr>
      <w:r>
        <w:rPr>
          <w:noProof/>
          <w:lang w:val="en-GB" w:eastAsia="en-GB"/>
        </w:rPr>
        <w:drawing>
          <wp:inline distT="0" distB="0" distL="0" distR="0" wp14:anchorId="68C3B0BA" wp14:editId="365FC728">
            <wp:extent cx="5715000" cy="3212987"/>
            <wp:effectExtent l="0" t="0" r="0" b="698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7683" cy="3214495"/>
                    </a:xfrm>
                    <a:prstGeom prst="rect">
                      <a:avLst/>
                    </a:prstGeom>
                    <a:noFill/>
                    <a:ln>
                      <a:noFill/>
                    </a:ln>
                  </pic:spPr>
                </pic:pic>
              </a:graphicData>
            </a:graphic>
          </wp:inline>
        </w:drawing>
      </w:r>
      <w:r>
        <w:tab/>
      </w:r>
      <w:r w:rsidRPr="003C0418">
        <w:rPr>
          <w:b/>
        </w:rPr>
        <w:t xml:space="preserve">Fig. </w:t>
      </w:r>
      <w:r w:rsidR="00065233">
        <w:rPr>
          <w:b/>
        </w:rPr>
        <w:t>2</w:t>
      </w:r>
      <w:r>
        <w:rPr>
          <w:b/>
        </w:rPr>
        <w:t>.</w:t>
      </w:r>
      <w:r w:rsidRPr="003C0418">
        <w:t xml:space="preserve"> Results of the complete Jack-Knife analysis for the </w:t>
      </w:r>
      <w:proofErr w:type="spellStart"/>
      <w:r w:rsidRPr="003C0418">
        <w:t>declustered</w:t>
      </w:r>
      <w:proofErr w:type="spellEnd"/>
      <w:r w:rsidRPr="003C0418">
        <w:t xml:space="preserve"> Azores ocean catalogue. Solid and dashed lines represent the 95% and 99% confidence limits estimated independently for each </w:t>
      </w:r>
      <w:r w:rsidR="00351535">
        <w:t>te</w:t>
      </w:r>
      <w:r w:rsidRPr="003C0418">
        <w:t>st.</w:t>
      </w:r>
      <w:r>
        <w:t xml:space="preserve"> </w:t>
      </w:r>
      <w:r w:rsidRPr="008C7DC2">
        <w:t>The number in the lower left corner of each panel indicates the year of data removed from January 2008 to December 2018 overall time period.</w:t>
      </w:r>
    </w:p>
    <w:p w14:paraId="5B7CAF06" w14:textId="3299D33F" w:rsidR="00351535" w:rsidRPr="003C0418" w:rsidRDefault="00351535" w:rsidP="00FB041D">
      <w:pPr>
        <w:pStyle w:val="Heading-Secondary"/>
        <w:spacing w:line="360" w:lineRule="auto"/>
        <w:ind w:left="0"/>
        <w:jc w:val="both"/>
      </w:pPr>
    </w:p>
    <w:p w14:paraId="0558A2C2" w14:textId="7B2BD421" w:rsidR="00083F8B" w:rsidRDefault="00083F8B" w:rsidP="00351535">
      <w:pPr>
        <w:shd w:val="clear" w:color="auto" w:fill="FFFFFF"/>
        <w:spacing w:line="360" w:lineRule="auto"/>
        <w:jc w:val="center"/>
        <w:rPr>
          <w:rFonts w:eastAsia="Times New Roman"/>
          <w:color w:val="0000FF"/>
          <w:sz w:val="24"/>
          <w:szCs w:val="24"/>
          <w:u w:val="single"/>
        </w:rPr>
      </w:pPr>
    </w:p>
    <w:p w14:paraId="5B75F91D" w14:textId="00AAB5E3" w:rsidR="00351535" w:rsidRDefault="00351535" w:rsidP="00351535">
      <w:pPr>
        <w:shd w:val="clear" w:color="auto" w:fill="FFFFFF"/>
        <w:spacing w:line="360" w:lineRule="auto"/>
        <w:jc w:val="center"/>
        <w:rPr>
          <w:rFonts w:eastAsia="Times New Roman"/>
          <w:color w:val="0000FF"/>
          <w:sz w:val="24"/>
          <w:szCs w:val="24"/>
          <w:u w:val="single"/>
        </w:rPr>
      </w:pPr>
    </w:p>
    <w:p w14:paraId="301081DC" w14:textId="46822E09" w:rsidR="00351535" w:rsidRDefault="00351535" w:rsidP="00351535">
      <w:pPr>
        <w:shd w:val="clear" w:color="auto" w:fill="FFFFFF"/>
        <w:spacing w:line="360" w:lineRule="auto"/>
        <w:jc w:val="center"/>
        <w:rPr>
          <w:rFonts w:eastAsia="Times New Roman"/>
          <w:color w:val="0000FF"/>
          <w:sz w:val="24"/>
          <w:szCs w:val="24"/>
          <w:u w:val="single"/>
        </w:rPr>
      </w:pPr>
    </w:p>
    <w:p w14:paraId="0B2CFBC5" w14:textId="0FE6AA33" w:rsidR="00351535" w:rsidRDefault="00351535" w:rsidP="00351535">
      <w:pPr>
        <w:shd w:val="clear" w:color="auto" w:fill="FFFFFF"/>
        <w:spacing w:line="360" w:lineRule="auto"/>
        <w:jc w:val="center"/>
        <w:rPr>
          <w:rFonts w:eastAsia="Times New Roman"/>
          <w:color w:val="0000FF"/>
          <w:sz w:val="24"/>
          <w:szCs w:val="24"/>
          <w:u w:val="single"/>
        </w:rPr>
      </w:pPr>
    </w:p>
    <w:p w14:paraId="1F1C3056" w14:textId="1F6AB534" w:rsidR="00351535" w:rsidRDefault="00351535" w:rsidP="00351535">
      <w:pPr>
        <w:shd w:val="clear" w:color="auto" w:fill="FFFFFF"/>
        <w:spacing w:line="360" w:lineRule="auto"/>
        <w:jc w:val="center"/>
        <w:rPr>
          <w:rFonts w:eastAsia="Times New Roman"/>
          <w:color w:val="0000FF"/>
          <w:sz w:val="24"/>
          <w:szCs w:val="24"/>
          <w:u w:val="single"/>
        </w:rPr>
      </w:pPr>
    </w:p>
    <w:p w14:paraId="5BB6418A" w14:textId="3D04B56B" w:rsidR="00351535" w:rsidRDefault="00351535" w:rsidP="00351535">
      <w:pPr>
        <w:shd w:val="clear" w:color="auto" w:fill="FFFFFF"/>
        <w:spacing w:line="360" w:lineRule="auto"/>
        <w:jc w:val="center"/>
        <w:rPr>
          <w:rFonts w:eastAsia="Times New Roman"/>
          <w:color w:val="0000FF"/>
          <w:sz w:val="24"/>
          <w:szCs w:val="24"/>
          <w:u w:val="single"/>
        </w:rPr>
      </w:pPr>
    </w:p>
    <w:p w14:paraId="78B08D27" w14:textId="57B8BCD4" w:rsidR="00351535" w:rsidRDefault="00351535" w:rsidP="00351535">
      <w:pPr>
        <w:shd w:val="clear" w:color="auto" w:fill="FFFFFF"/>
        <w:spacing w:line="360" w:lineRule="auto"/>
        <w:jc w:val="center"/>
        <w:rPr>
          <w:rFonts w:eastAsia="Times New Roman"/>
          <w:color w:val="0000FF"/>
          <w:sz w:val="24"/>
          <w:szCs w:val="24"/>
          <w:u w:val="single"/>
        </w:rPr>
      </w:pPr>
    </w:p>
    <w:p w14:paraId="6530F80A" w14:textId="1AAD100B" w:rsidR="00351535" w:rsidRDefault="00351535" w:rsidP="00351535">
      <w:pPr>
        <w:shd w:val="clear" w:color="auto" w:fill="FFFFFF"/>
        <w:spacing w:line="360" w:lineRule="auto"/>
        <w:jc w:val="center"/>
        <w:rPr>
          <w:rFonts w:eastAsia="Times New Roman"/>
          <w:color w:val="0000FF"/>
          <w:sz w:val="24"/>
          <w:szCs w:val="24"/>
          <w:u w:val="single"/>
        </w:rPr>
      </w:pPr>
    </w:p>
    <w:p w14:paraId="7C4D4365" w14:textId="698B0567" w:rsidR="00351535" w:rsidRDefault="00351535" w:rsidP="00351535">
      <w:pPr>
        <w:shd w:val="clear" w:color="auto" w:fill="FFFFFF"/>
        <w:spacing w:line="360" w:lineRule="auto"/>
        <w:jc w:val="center"/>
        <w:rPr>
          <w:rFonts w:eastAsia="Times New Roman"/>
          <w:color w:val="0000FF"/>
          <w:sz w:val="24"/>
          <w:szCs w:val="24"/>
          <w:u w:val="single"/>
        </w:rPr>
      </w:pPr>
    </w:p>
    <w:p w14:paraId="5A276A9C" w14:textId="7F3DF8C4" w:rsidR="00351535" w:rsidRDefault="00351535" w:rsidP="00FB041D">
      <w:pPr>
        <w:shd w:val="clear" w:color="auto" w:fill="FFFFFF"/>
        <w:spacing w:line="360" w:lineRule="auto"/>
        <w:rPr>
          <w:rFonts w:eastAsia="Times New Roman"/>
          <w:color w:val="0000FF"/>
          <w:sz w:val="24"/>
          <w:szCs w:val="24"/>
          <w:u w:val="single"/>
        </w:rPr>
      </w:pPr>
    </w:p>
    <w:p w14:paraId="077D6E6B" w14:textId="5A1173A5" w:rsidR="00351535" w:rsidRDefault="00BB7571" w:rsidP="00351535">
      <w:pPr>
        <w:shd w:val="clear" w:color="auto" w:fill="FFFFFF"/>
        <w:spacing w:line="360" w:lineRule="auto"/>
        <w:jc w:val="center"/>
        <w:rPr>
          <w:rFonts w:eastAsia="Times New Roman"/>
          <w:color w:val="0000FF"/>
          <w:sz w:val="24"/>
          <w:szCs w:val="24"/>
          <w:u w:val="single"/>
        </w:rPr>
      </w:pPr>
      <w:r>
        <w:rPr>
          <w:noProof/>
        </w:rPr>
        <w:lastRenderedPageBreak/>
        <w:drawing>
          <wp:inline distT="0" distB="0" distL="0" distR="0" wp14:anchorId="354875FC" wp14:editId="1D3E267F">
            <wp:extent cx="5637475" cy="3116271"/>
            <wp:effectExtent l="0" t="0" r="1905" b="825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49022" cy="3122654"/>
                    </a:xfrm>
                    <a:prstGeom prst="rect">
                      <a:avLst/>
                    </a:prstGeom>
                    <a:noFill/>
                    <a:ln>
                      <a:noFill/>
                    </a:ln>
                  </pic:spPr>
                </pic:pic>
              </a:graphicData>
            </a:graphic>
          </wp:inline>
        </w:drawing>
      </w:r>
    </w:p>
    <w:p w14:paraId="15D542A8" w14:textId="4B64E5EB" w:rsidR="00351535" w:rsidRDefault="00351535" w:rsidP="00351535">
      <w:pPr>
        <w:shd w:val="clear" w:color="auto" w:fill="FFFFFF"/>
        <w:spacing w:line="360" w:lineRule="auto"/>
        <w:jc w:val="both"/>
        <w:rPr>
          <w:sz w:val="24"/>
          <w:szCs w:val="24"/>
        </w:rPr>
      </w:pPr>
      <w:r w:rsidRPr="00FB041D">
        <w:rPr>
          <w:b/>
          <w:sz w:val="24"/>
          <w:szCs w:val="24"/>
        </w:rPr>
        <w:t xml:space="preserve">Fig. </w:t>
      </w:r>
      <w:r w:rsidR="00065233">
        <w:rPr>
          <w:b/>
          <w:sz w:val="24"/>
          <w:szCs w:val="24"/>
        </w:rPr>
        <w:t>3</w:t>
      </w:r>
      <w:r w:rsidRPr="00FB041D">
        <w:rPr>
          <w:b/>
          <w:sz w:val="24"/>
          <w:szCs w:val="24"/>
        </w:rPr>
        <w:t>.</w:t>
      </w:r>
      <w:r w:rsidRPr="00FB041D">
        <w:rPr>
          <w:sz w:val="24"/>
          <w:szCs w:val="24"/>
        </w:rPr>
        <w:t xml:space="preserve"> Results of the complete Jack-Knife analysis for the </w:t>
      </w:r>
      <w:r>
        <w:rPr>
          <w:sz w:val="24"/>
          <w:szCs w:val="24"/>
        </w:rPr>
        <w:t xml:space="preserve">full </w:t>
      </w:r>
      <w:r w:rsidRPr="00FB041D">
        <w:rPr>
          <w:sz w:val="24"/>
          <w:szCs w:val="24"/>
        </w:rPr>
        <w:t xml:space="preserve">Azores </w:t>
      </w:r>
      <w:r>
        <w:rPr>
          <w:sz w:val="24"/>
          <w:szCs w:val="24"/>
        </w:rPr>
        <w:t>islands</w:t>
      </w:r>
      <w:r w:rsidRPr="00FB041D">
        <w:rPr>
          <w:sz w:val="24"/>
          <w:szCs w:val="24"/>
        </w:rPr>
        <w:t xml:space="preserve"> catalogue. Solid and dashed lines represent the 95% and 99% confidence limits estimated independently for each test. The number in the lower left corner of each panel indicates the year of data removed from January 2008 to December 2018 overall time period.</w:t>
      </w:r>
      <w:r>
        <w:rPr>
          <w:sz w:val="24"/>
          <w:szCs w:val="24"/>
        </w:rPr>
        <w:t xml:space="preserve"> Note that no seasonality is identified i</w:t>
      </w:r>
      <w:r w:rsidR="0061116C">
        <w:rPr>
          <w:sz w:val="24"/>
          <w:szCs w:val="24"/>
        </w:rPr>
        <w:t>n</w:t>
      </w:r>
      <w:r>
        <w:rPr>
          <w:sz w:val="24"/>
          <w:szCs w:val="24"/>
        </w:rPr>
        <w:t xml:space="preserve"> the islands events when removing the year 2018</w:t>
      </w:r>
      <w:r w:rsidR="00766D35">
        <w:rPr>
          <w:sz w:val="24"/>
          <w:szCs w:val="24"/>
        </w:rPr>
        <w:t xml:space="preserve"> (last panel)</w:t>
      </w:r>
      <w:r w:rsidR="007B7C20">
        <w:rPr>
          <w:sz w:val="24"/>
          <w:szCs w:val="24"/>
        </w:rPr>
        <w:t xml:space="preserve">, which </w:t>
      </w:r>
      <w:r w:rsidR="00766D35">
        <w:rPr>
          <w:sz w:val="24"/>
          <w:szCs w:val="24"/>
        </w:rPr>
        <w:t>is</w:t>
      </w:r>
      <w:r w:rsidR="007B7C20">
        <w:rPr>
          <w:sz w:val="24"/>
          <w:szCs w:val="24"/>
        </w:rPr>
        <w:t xml:space="preserve"> the year influencing the seasonality in the other panels due to a seismic crisis.</w:t>
      </w:r>
    </w:p>
    <w:p w14:paraId="3C8D675C" w14:textId="126C6B62" w:rsidR="00FB041D" w:rsidRDefault="00FB041D" w:rsidP="00351535">
      <w:pPr>
        <w:shd w:val="clear" w:color="auto" w:fill="FFFFFF"/>
        <w:spacing w:line="360" w:lineRule="auto"/>
        <w:jc w:val="both"/>
        <w:rPr>
          <w:rFonts w:eastAsia="Times New Roman"/>
          <w:color w:val="0000FF"/>
          <w:sz w:val="24"/>
          <w:szCs w:val="24"/>
          <w:u w:val="single"/>
        </w:rPr>
      </w:pPr>
    </w:p>
    <w:p w14:paraId="6460540F" w14:textId="62253E1F" w:rsidR="00FB041D" w:rsidRDefault="00FB041D" w:rsidP="00351535">
      <w:pPr>
        <w:shd w:val="clear" w:color="auto" w:fill="FFFFFF"/>
        <w:spacing w:line="360" w:lineRule="auto"/>
        <w:jc w:val="both"/>
        <w:rPr>
          <w:rFonts w:eastAsia="Times New Roman"/>
          <w:color w:val="0000FF"/>
          <w:sz w:val="24"/>
          <w:szCs w:val="24"/>
          <w:u w:val="single"/>
        </w:rPr>
      </w:pPr>
    </w:p>
    <w:p w14:paraId="49CD228C" w14:textId="6B4F87C8" w:rsidR="00FB041D" w:rsidRDefault="00FB041D" w:rsidP="00351535">
      <w:pPr>
        <w:shd w:val="clear" w:color="auto" w:fill="FFFFFF"/>
        <w:spacing w:line="360" w:lineRule="auto"/>
        <w:jc w:val="both"/>
        <w:rPr>
          <w:rFonts w:eastAsia="Times New Roman"/>
          <w:color w:val="0000FF"/>
          <w:sz w:val="24"/>
          <w:szCs w:val="24"/>
          <w:u w:val="single"/>
        </w:rPr>
      </w:pPr>
    </w:p>
    <w:p w14:paraId="6518EB94" w14:textId="3173A8B4" w:rsidR="00FB041D" w:rsidRDefault="00FB041D" w:rsidP="00351535">
      <w:pPr>
        <w:shd w:val="clear" w:color="auto" w:fill="FFFFFF"/>
        <w:spacing w:line="360" w:lineRule="auto"/>
        <w:jc w:val="both"/>
        <w:rPr>
          <w:rFonts w:eastAsia="Times New Roman"/>
          <w:color w:val="0000FF"/>
          <w:sz w:val="24"/>
          <w:szCs w:val="24"/>
          <w:u w:val="single"/>
        </w:rPr>
      </w:pPr>
    </w:p>
    <w:p w14:paraId="3D1BCFC4" w14:textId="24BD89A2" w:rsidR="00FB041D" w:rsidRDefault="00FB041D" w:rsidP="00351535">
      <w:pPr>
        <w:shd w:val="clear" w:color="auto" w:fill="FFFFFF"/>
        <w:spacing w:line="360" w:lineRule="auto"/>
        <w:jc w:val="both"/>
        <w:rPr>
          <w:rFonts w:eastAsia="Times New Roman"/>
          <w:color w:val="0000FF"/>
          <w:sz w:val="24"/>
          <w:szCs w:val="24"/>
          <w:u w:val="single"/>
        </w:rPr>
      </w:pPr>
    </w:p>
    <w:p w14:paraId="1655D788" w14:textId="26C70DBF" w:rsidR="00FB041D" w:rsidRDefault="00FB041D" w:rsidP="00351535">
      <w:pPr>
        <w:shd w:val="clear" w:color="auto" w:fill="FFFFFF"/>
        <w:spacing w:line="360" w:lineRule="auto"/>
        <w:jc w:val="both"/>
        <w:rPr>
          <w:rFonts w:eastAsia="Times New Roman"/>
          <w:color w:val="0000FF"/>
          <w:sz w:val="24"/>
          <w:szCs w:val="24"/>
          <w:u w:val="single"/>
        </w:rPr>
      </w:pPr>
    </w:p>
    <w:p w14:paraId="3D6713BB" w14:textId="76018FD1" w:rsidR="00FB041D" w:rsidRDefault="00FB041D" w:rsidP="00351535">
      <w:pPr>
        <w:shd w:val="clear" w:color="auto" w:fill="FFFFFF"/>
        <w:spacing w:line="360" w:lineRule="auto"/>
        <w:jc w:val="both"/>
        <w:rPr>
          <w:rFonts w:eastAsia="Times New Roman"/>
          <w:color w:val="0000FF"/>
          <w:sz w:val="24"/>
          <w:szCs w:val="24"/>
          <w:u w:val="single"/>
        </w:rPr>
      </w:pPr>
    </w:p>
    <w:p w14:paraId="34F7297B" w14:textId="1AE70ECC" w:rsidR="00FB041D" w:rsidRDefault="00FB041D" w:rsidP="00351535">
      <w:pPr>
        <w:shd w:val="clear" w:color="auto" w:fill="FFFFFF"/>
        <w:spacing w:line="360" w:lineRule="auto"/>
        <w:jc w:val="both"/>
        <w:rPr>
          <w:rFonts w:eastAsia="Times New Roman"/>
          <w:color w:val="0000FF"/>
          <w:sz w:val="24"/>
          <w:szCs w:val="24"/>
          <w:u w:val="single"/>
        </w:rPr>
      </w:pPr>
    </w:p>
    <w:p w14:paraId="2D2F77E9" w14:textId="523B4FA5" w:rsidR="00FB041D" w:rsidRDefault="00FB041D" w:rsidP="00351535">
      <w:pPr>
        <w:shd w:val="clear" w:color="auto" w:fill="FFFFFF"/>
        <w:spacing w:line="360" w:lineRule="auto"/>
        <w:jc w:val="both"/>
        <w:rPr>
          <w:rFonts w:eastAsia="Times New Roman"/>
          <w:color w:val="0000FF"/>
          <w:sz w:val="24"/>
          <w:szCs w:val="24"/>
          <w:u w:val="single"/>
        </w:rPr>
      </w:pPr>
    </w:p>
    <w:p w14:paraId="486B3D57" w14:textId="7E3718D7" w:rsidR="00FB041D" w:rsidRDefault="00FB041D" w:rsidP="00351535">
      <w:pPr>
        <w:shd w:val="clear" w:color="auto" w:fill="FFFFFF"/>
        <w:spacing w:line="360" w:lineRule="auto"/>
        <w:jc w:val="both"/>
        <w:rPr>
          <w:rFonts w:eastAsia="Times New Roman"/>
          <w:color w:val="0000FF"/>
          <w:sz w:val="24"/>
          <w:szCs w:val="24"/>
          <w:u w:val="single"/>
        </w:rPr>
      </w:pPr>
    </w:p>
    <w:p w14:paraId="22C0DA6E" w14:textId="75A03D2B" w:rsidR="00FB041D" w:rsidRDefault="00FB041D" w:rsidP="00351535">
      <w:pPr>
        <w:shd w:val="clear" w:color="auto" w:fill="FFFFFF"/>
        <w:spacing w:line="360" w:lineRule="auto"/>
        <w:jc w:val="both"/>
        <w:rPr>
          <w:rFonts w:eastAsia="Times New Roman"/>
          <w:color w:val="0000FF"/>
          <w:sz w:val="24"/>
          <w:szCs w:val="24"/>
          <w:u w:val="single"/>
        </w:rPr>
      </w:pPr>
    </w:p>
    <w:p w14:paraId="1F5782A0" w14:textId="1C71F4EF" w:rsidR="00FB041D" w:rsidRDefault="00FB041D" w:rsidP="00351535">
      <w:pPr>
        <w:shd w:val="clear" w:color="auto" w:fill="FFFFFF"/>
        <w:spacing w:line="360" w:lineRule="auto"/>
        <w:jc w:val="both"/>
        <w:rPr>
          <w:rFonts w:eastAsia="Times New Roman"/>
          <w:color w:val="0000FF"/>
          <w:sz w:val="24"/>
          <w:szCs w:val="24"/>
          <w:u w:val="single"/>
        </w:rPr>
      </w:pPr>
    </w:p>
    <w:p w14:paraId="5ACE406D" w14:textId="4329A7F0" w:rsidR="00FB041D" w:rsidRDefault="00FB041D" w:rsidP="00351535">
      <w:pPr>
        <w:shd w:val="clear" w:color="auto" w:fill="FFFFFF"/>
        <w:spacing w:line="360" w:lineRule="auto"/>
        <w:jc w:val="both"/>
        <w:rPr>
          <w:rFonts w:eastAsia="Times New Roman"/>
          <w:color w:val="0000FF"/>
          <w:sz w:val="24"/>
          <w:szCs w:val="24"/>
          <w:u w:val="single"/>
        </w:rPr>
      </w:pPr>
    </w:p>
    <w:p w14:paraId="6D985727" w14:textId="2D1295A7" w:rsidR="00FB041D" w:rsidRDefault="00BB7571" w:rsidP="006C548C">
      <w:pPr>
        <w:shd w:val="clear" w:color="auto" w:fill="FFFFFF"/>
        <w:spacing w:line="360" w:lineRule="auto"/>
        <w:jc w:val="center"/>
        <w:rPr>
          <w:rFonts w:eastAsia="Times New Roman"/>
          <w:color w:val="0000FF"/>
          <w:sz w:val="24"/>
          <w:szCs w:val="24"/>
          <w:u w:val="single"/>
        </w:rPr>
      </w:pPr>
      <w:r>
        <w:rPr>
          <w:noProof/>
        </w:rPr>
        <w:lastRenderedPageBreak/>
        <w:drawing>
          <wp:inline distT="0" distB="0" distL="0" distR="0" wp14:anchorId="65AC5BA3" wp14:editId="029E582B">
            <wp:extent cx="4396154" cy="4471604"/>
            <wp:effectExtent l="0" t="0" r="4445" b="571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9390" cy="4474896"/>
                    </a:xfrm>
                    <a:prstGeom prst="rect">
                      <a:avLst/>
                    </a:prstGeom>
                    <a:noFill/>
                    <a:ln>
                      <a:noFill/>
                    </a:ln>
                  </pic:spPr>
                </pic:pic>
              </a:graphicData>
            </a:graphic>
          </wp:inline>
        </w:drawing>
      </w:r>
    </w:p>
    <w:p w14:paraId="546FDBB9" w14:textId="061F8271" w:rsidR="00FB041D" w:rsidRDefault="00FB041D" w:rsidP="006C548C">
      <w:pPr>
        <w:shd w:val="clear" w:color="auto" w:fill="FFFFFF"/>
        <w:spacing w:line="360" w:lineRule="auto"/>
        <w:jc w:val="both"/>
        <w:rPr>
          <w:sz w:val="24"/>
          <w:szCs w:val="24"/>
        </w:rPr>
      </w:pPr>
      <w:r w:rsidRPr="00FB041D">
        <w:rPr>
          <w:b/>
          <w:sz w:val="24"/>
          <w:szCs w:val="24"/>
        </w:rPr>
        <w:t xml:space="preserve">Fig. </w:t>
      </w:r>
      <w:r>
        <w:rPr>
          <w:b/>
          <w:sz w:val="24"/>
          <w:szCs w:val="24"/>
        </w:rPr>
        <w:t>4</w:t>
      </w:r>
      <w:r w:rsidRPr="00FB041D">
        <w:rPr>
          <w:b/>
          <w:sz w:val="24"/>
          <w:szCs w:val="24"/>
        </w:rPr>
        <w:t>.</w:t>
      </w:r>
      <w:r w:rsidRPr="00FB041D">
        <w:rPr>
          <w:sz w:val="24"/>
          <w:szCs w:val="24"/>
        </w:rPr>
        <w:t xml:space="preserve"> </w:t>
      </w:r>
      <w:r w:rsidR="006C548C" w:rsidRPr="006C548C">
        <w:rPr>
          <w:sz w:val="24"/>
          <w:szCs w:val="24"/>
        </w:rPr>
        <w:t xml:space="preserve">Comparison between the </w:t>
      </w:r>
      <w:r w:rsidR="006C548C" w:rsidRPr="006C548C">
        <w:rPr>
          <w:b/>
          <w:bCs/>
          <w:sz w:val="24"/>
          <w:szCs w:val="24"/>
        </w:rPr>
        <w:t xml:space="preserve">(a) </w:t>
      </w:r>
      <w:r w:rsidR="006C548C" w:rsidRPr="006C548C">
        <w:rPr>
          <w:sz w:val="24"/>
          <w:szCs w:val="24"/>
        </w:rPr>
        <w:t xml:space="preserve">annual components of </w:t>
      </w:r>
      <w:r w:rsidR="006C548C">
        <w:rPr>
          <w:sz w:val="24"/>
          <w:szCs w:val="24"/>
        </w:rPr>
        <w:t xml:space="preserve">the </w:t>
      </w:r>
      <w:r w:rsidR="006C548C" w:rsidRPr="006C548C">
        <w:rPr>
          <w:sz w:val="24"/>
          <w:szCs w:val="24"/>
        </w:rPr>
        <w:t>seismicity rate and GRACE</w:t>
      </w:r>
      <w:r w:rsidR="006C548C">
        <w:rPr>
          <w:sz w:val="24"/>
          <w:szCs w:val="24"/>
        </w:rPr>
        <w:t xml:space="preserve"> extracted by Singular Spectrum Analysis</w:t>
      </w:r>
      <w:r w:rsidR="000A4257">
        <w:rPr>
          <w:sz w:val="24"/>
          <w:szCs w:val="24"/>
        </w:rPr>
        <w:t xml:space="preserve"> performed using the </w:t>
      </w:r>
      <w:r w:rsidR="000A4257" w:rsidRPr="000A4257">
        <w:rPr>
          <w:sz w:val="24"/>
          <w:szCs w:val="24"/>
        </w:rPr>
        <w:t>Hydroclimate software</w:t>
      </w:r>
      <w:r w:rsidR="000A4257">
        <w:rPr>
          <w:sz w:val="24"/>
          <w:szCs w:val="24"/>
        </w:rPr>
        <w:t xml:space="preserve"> (</w:t>
      </w:r>
      <w:r w:rsidR="000A4257" w:rsidRPr="000A4257">
        <w:rPr>
          <w:sz w:val="24"/>
          <w:szCs w:val="24"/>
        </w:rPr>
        <w:t>Dickinson et al. 2014</w:t>
      </w:r>
      <w:r w:rsidR="000A4257">
        <w:rPr>
          <w:sz w:val="24"/>
          <w:szCs w:val="24"/>
        </w:rPr>
        <w:t xml:space="preserve">) </w:t>
      </w:r>
      <w:r w:rsidR="006C548C" w:rsidRPr="006C548C">
        <w:rPr>
          <w:sz w:val="24"/>
          <w:szCs w:val="24"/>
        </w:rPr>
        <w:t xml:space="preserve">, and </w:t>
      </w:r>
      <w:r w:rsidR="006C548C" w:rsidRPr="006C548C">
        <w:rPr>
          <w:b/>
          <w:bCs/>
          <w:sz w:val="24"/>
          <w:szCs w:val="24"/>
        </w:rPr>
        <w:t>(b)</w:t>
      </w:r>
      <w:r w:rsidR="00296AB3">
        <w:rPr>
          <w:b/>
          <w:bCs/>
          <w:sz w:val="24"/>
          <w:szCs w:val="24"/>
        </w:rPr>
        <w:t xml:space="preserve"> </w:t>
      </w:r>
      <w:r w:rsidR="006C548C">
        <w:rPr>
          <w:b/>
          <w:bCs/>
          <w:sz w:val="24"/>
          <w:szCs w:val="24"/>
        </w:rPr>
        <w:t xml:space="preserve"> </w:t>
      </w:r>
      <w:r w:rsidR="006C548C" w:rsidRPr="006C548C">
        <w:rPr>
          <w:sz w:val="24"/>
          <w:szCs w:val="24"/>
        </w:rPr>
        <w:t xml:space="preserve">semi-annual components of </w:t>
      </w:r>
      <w:r w:rsidR="006C548C">
        <w:rPr>
          <w:sz w:val="24"/>
          <w:szCs w:val="24"/>
        </w:rPr>
        <w:t xml:space="preserve">the </w:t>
      </w:r>
      <w:r w:rsidR="006C548C" w:rsidRPr="006C548C">
        <w:rPr>
          <w:sz w:val="24"/>
          <w:szCs w:val="24"/>
        </w:rPr>
        <w:t>seismicity rate and OBP from ECCO V4r4 model.</w:t>
      </w:r>
      <w:r w:rsidR="006C548C">
        <w:rPr>
          <w:sz w:val="24"/>
          <w:szCs w:val="24"/>
        </w:rPr>
        <w:t xml:space="preserve"> </w:t>
      </w:r>
      <w:r w:rsidR="000A4257" w:rsidRPr="000A4257">
        <w:rPr>
          <w:sz w:val="24"/>
          <w:szCs w:val="24"/>
        </w:rPr>
        <w:t>The y-axis represents the standardi</w:t>
      </w:r>
      <w:r w:rsidR="000A4257">
        <w:rPr>
          <w:sz w:val="24"/>
          <w:szCs w:val="24"/>
        </w:rPr>
        <w:t>z</w:t>
      </w:r>
      <w:r w:rsidR="000A4257" w:rsidRPr="000A4257">
        <w:rPr>
          <w:sz w:val="24"/>
          <w:szCs w:val="24"/>
        </w:rPr>
        <w:t>ed residuals (departure from trend normali</w:t>
      </w:r>
      <w:r w:rsidR="000A4257">
        <w:rPr>
          <w:sz w:val="24"/>
          <w:szCs w:val="24"/>
        </w:rPr>
        <w:t>z</w:t>
      </w:r>
      <w:r w:rsidR="000A4257" w:rsidRPr="000A4257">
        <w:rPr>
          <w:sz w:val="24"/>
          <w:szCs w:val="24"/>
        </w:rPr>
        <w:t>ed by the standard</w:t>
      </w:r>
      <w:r w:rsidR="000A4257">
        <w:rPr>
          <w:sz w:val="24"/>
          <w:szCs w:val="24"/>
        </w:rPr>
        <w:t xml:space="preserve"> </w:t>
      </w:r>
      <w:r w:rsidR="000A4257" w:rsidRPr="000A4257">
        <w:rPr>
          <w:sz w:val="24"/>
          <w:szCs w:val="24"/>
        </w:rPr>
        <w:t xml:space="preserve">deviation). </w:t>
      </w:r>
      <w:r w:rsidR="006C548C" w:rsidRPr="006C548C">
        <w:rPr>
          <w:sz w:val="24"/>
          <w:szCs w:val="24"/>
        </w:rPr>
        <w:t>GRACE and OBP time series show good correlations with the Azores seismicity rate although the relationships are not stationary and involve transient couplings and time</w:t>
      </w:r>
      <w:r w:rsidR="006C548C">
        <w:rPr>
          <w:sz w:val="24"/>
          <w:szCs w:val="24"/>
        </w:rPr>
        <w:t xml:space="preserve"> </w:t>
      </w:r>
      <w:r w:rsidR="006C548C" w:rsidRPr="006C548C">
        <w:rPr>
          <w:sz w:val="24"/>
          <w:szCs w:val="24"/>
        </w:rPr>
        <w:t>varying lags.</w:t>
      </w:r>
      <w:r w:rsidR="000A4257">
        <w:rPr>
          <w:sz w:val="24"/>
          <w:szCs w:val="24"/>
        </w:rPr>
        <w:t xml:space="preserve"> </w:t>
      </w:r>
    </w:p>
    <w:p w14:paraId="5005AB4B" w14:textId="49767405" w:rsidR="000A4257" w:rsidRDefault="000A4257" w:rsidP="006C548C">
      <w:pPr>
        <w:shd w:val="clear" w:color="auto" w:fill="FFFFFF"/>
        <w:spacing w:line="360" w:lineRule="auto"/>
        <w:jc w:val="both"/>
        <w:rPr>
          <w:sz w:val="24"/>
          <w:szCs w:val="24"/>
        </w:rPr>
      </w:pPr>
    </w:p>
    <w:p w14:paraId="604DD050" w14:textId="7FA2E143" w:rsidR="000A4257" w:rsidRPr="00351535" w:rsidRDefault="000A4257" w:rsidP="006C548C">
      <w:pPr>
        <w:shd w:val="clear" w:color="auto" w:fill="FFFFFF"/>
        <w:spacing w:line="360" w:lineRule="auto"/>
        <w:jc w:val="both"/>
        <w:rPr>
          <w:rFonts w:eastAsia="Times New Roman"/>
          <w:color w:val="0000FF"/>
          <w:sz w:val="24"/>
          <w:szCs w:val="24"/>
          <w:u w:val="single"/>
        </w:rPr>
      </w:pPr>
    </w:p>
    <w:sectPr w:rsidR="000A4257" w:rsidRPr="00351535" w:rsidSect="001B647E">
      <w:headerReference w:type="default" r:id="rId16"/>
      <w:footerReference w:type="default" r:id="rId17"/>
      <w:headerReference w:type="first" r:id="rId18"/>
      <w:type w:val="continuous"/>
      <w:pgSz w:w="12240" w:h="15840"/>
      <w:pgMar w:top="1440" w:right="1080" w:bottom="1440" w:left="1080" w:header="431"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EFE39" w14:textId="77777777" w:rsidR="00720282" w:rsidRDefault="00720282" w:rsidP="000379AB">
      <w:r>
        <w:separator/>
      </w:r>
    </w:p>
  </w:endnote>
  <w:endnote w:type="continuationSeparator" w:id="0">
    <w:p w14:paraId="19B2801B" w14:textId="77777777" w:rsidR="00720282" w:rsidRDefault="00720282" w:rsidP="00037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2799074"/>
      <w:docPartObj>
        <w:docPartGallery w:val="Page Numbers (Bottom of Page)"/>
        <w:docPartUnique/>
      </w:docPartObj>
    </w:sdtPr>
    <w:sdtContent>
      <w:p w14:paraId="54DD9199" w14:textId="77777777" w:rsidR="00A72101" w:rsidRDefault="00A72101">
        <w:pPr>
          <w:pStyle w:val="Rodap"/>
          <w:jc w:val="right"/>
        </w:pPr>
        <w:r>
          <w:fldChar w:fldCharType="begin"/>
        </w:r>
        <w:r>
          <w:instrText>PAGE   \* MERGEFORMAT</w:instrText>
        </w:r>
        <w:r>
          <w:fldChar w:fldCharType="separate"/>
        </w:r>
        <w:r w:rsidRPr="00C53BBD">
          <w:rPr>
            <w:noProof/>
            <w:lang w:val="pt-PT"/>
          </w:rPr>
          <w:t>1</w:t>
        </w:r>
        <w:r>
          <w:fldChar w:fldCharType="end"/>
        </w:r>
      </w:p>
    </w:sdtContent>
  </w:sdt>
  <w:p w14:paraId="53277DA3" w14:textId="77777777" w:rsidR="00A72101" w:rsidRDefault="00A72101" w:rsidP="00B719C8">
    <w:pPr>
      <w:pStyle w:val="Rodap"/>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033654"/>
      <w:docPartObj>
        <w:docPartGallery w:val="Page Numbers (Bottom of Page)"/>
        <w:docPartUnique/>
      </w:docPartObj>
    </w:sdtPr>
    <w:sdtContent>
      <w:p w14:paraId="64FB7AE3" w14:textId="115EC21B" w:rsidR="00536413" w:rsidRDefault="00536413">
        <w:pPr>
          <w:pStyle w:val="Rodap"/>
          <w:jc w:val="right"/>
        </w:pPr>
        <w:r>
          <w:fldChar w:fldCharType="begin"/>
        </w:r>
        <w:r>
          <w:instrText>PAGE   \* MERGEFORMAT</w:instrText>
        </w:r>
        <w:r>
          <w:fldChar w:fldCharType="separate"/>
        </w:r>
        <w:r w:rsidR="000218FF" w:rsidRPr="000218FF">
          <w:rPr>
            <w:noProof/>
            <w:lang w:val="pt-PT"/>
          </w:rPr>
          <w:t>11</w:t>
        </w:r>
        <w:r>
          <w:fldChar w:fldCharType="end"/>
        </w:r>
      </w:p>
    </w:sdtContent>
  </w:sdt>
  <w:p w14:paraId="594ED28E" w14:textId="2FE9AD18" w:rsidR="00DD6745" w:rsidRDefault="00DD6745" w:rsidP="00B719C8">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E9653" w14:textId="77777777" w:rsidR="00720282" w:rsidRDefault="00720282" w:rsidP="000379AB">
      <w:r>
        <w:separator/>
      </w:r>
    </w:p>
  </w:footnote>
  <w:footnote w:type="continuationSeparator" w:id="0">
    <w:p w14:paraId="65A9A676" w14:textId="77777777" w:rsidR="00720282" w:rsidRDefault="00720282" w:rsidP="00037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74E7" w14:textId="5036350A" w:rsidR="00A72101" w:rsidRDefault="00A72101" w:rsidP="007778ED">
    <w:pPr>
      <w:pStyle w:val="Cabealho"/>
      <w:jc w:val="center"/>
    </w:pPr>
    <w:r>
      <w:t>Supplement material submitted to Geo-Marine Letters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B9239" w14:textId="77777777" w:rsidR="00A72101" w:rsidRDefault="00A72101" w:rsidP="00E31404">
    <w:pPr>
      <w:pStyle w:val="Cabealho"/>
      <w:jc w:val="center"/>
    </w:pPr>
    <w:r>
      <w:t xml:space="preserve">Confidential manuscript submitted to </w:t>
    </w:r>
    <w:r>
      <w:rPr>
        <w:i/>
      </w:rPr>
      <w:t xml:space="preserve">replace this text with name of </w:t>
    </w:r>
    <w:r w:rsidRPr="007778ED">
      <w:rPr>
        <w:i/>
      </w:rPr>
      <w:t>AGU journal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FE63" w14:textId="4939D526" w:rsidR="00DD6745" w:rsidRDefault="00DD6745" w:rsidP="007778ED">
    <w:pPr>
      <w:pStyle w:val="Cabealho"/>
      <w:jc w:val="center"/>
    </w:pPr>
    <w:r>
      <w:t>manuscript submitted to</w:t>
    </w:r>
    <w:r w:rsidR="001C1D2A">
      <w:t xml:space="preserve"> </w:t>
    </w:r>
    <w:r w:rsidR="00750BB3">
      <w:t>Geo-Marine Letters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75CCC" w14:textId="2816AD77" w:rsidR="00DD6745" w:rsidRDefault="00DD6745" w:rsidP="00E31404">
    <w:pPr>
      <w:pStyle w:val="Cabealho"/>
      <w:jc w:val="center"/>
    </w:pPr>
    <w:r>
      <w:t xml:space="preserve">Confidential manuscript submitted to </w:t>
    </w:r>
    <w:r>
      <w:rPr>
        <w:i/>
      </w:rPr>
      <w:t xml:space="preserve">replace this text with name of </w:t>
    </w:r>
    <w:r w:rsidRPr="007778ED">
      <w:rPr>
        <w:i/>
      </w:rPr>
      <w:t>AGU journal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472D"/>
    <w:multiLevelType w:val="hybridMultilevel"/>
    <w:tmpl w:val="880A865A"/>
    <w:lvl w:ilvl="0" w:tplc="04090001">
      <w:start w:val="1"/>
      <w:numFmt w:val="bullet"/>
      <w:lvlText w:val=""/>
      <w:lvlJc w:val="left"/>
      <w:pPr>
        <w:ind w:left="1080" w:hanging="360"/>
      </w:pPr>
      <w:rPr>
        <w:rFonts w:ascii="Symbol" w:hAnsi="Symbol" w:hint="default"/>
        <w:color w:val="262626"/>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5E64BC"/>
    <w:multiLevelType w:val="hybridMultilevel"/>
    <w:tmpl w:val="A4B06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4A61D63"/>
    <w:multiLevelType w:val="hybridMultilevel"/>
    <w:tmpl w:val="36769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047978"/>
    <w:multiLevelType w:val="hybridMultilevel"/>
    <w:tmpl w:val="7E889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C9B5536"/>
    <w:multiLevelType w:val="hybridMultilevel"/>
    <w:tmpl w:val="CBCCF7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4E3973"/>
    <w:multiLevelType w:val="hybridMultilevel"/>
    <w:tmpl w:val="8C6689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FD43D8"/>
    <w:multiLevelType w:val="hybridMultilevel"/>
    <w:tmpl w:val="00E46F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C811597"/>
    <w:multiLevelType w:val="hybridMultilevel"/>
    <w:tmpl w:val="4E48B8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0D0A31"/>
    <w:multiLevelType w:val="multilevel"/>
    <w:tmpl w:val="65BE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351C9F"/>
    <w:multiLevelType w:val="multilevel"/>
    <w:tmpl w:val="8196B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5208B2"/>
    <w:multiLevelType w:val="hybridMultilevel"/>
    <w:tmpl w:val="EF94B784"/>
    <w:lvl w:ilvl="0" w:tplc="9B9AD5D6">
      <w:start w:val="1"/>
      <w:numFmt w:val="upperLetter"/>
      <w:lvlText w:val="%1t"/>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12" w15:restartNumberingAfterBreak="0">
    <w:nsid w:val="7B47206B"/>
    <w:multiLevelType w:val="hybridMultilevel"/>
    <w:tmpl w:val="058C0FC8"/>
    <w:lvl w:ilvl="0" w:tplc="EB9E9560">
      <w:numFmt w:val="bullet"/>
      <w:lvlText w:val="·"/>
      <w:lvlJc w:val="left"/>
      <w:pPr>
        <w:ind w:left="1080" w:hanging="360"/>
      </w:pPr>
      <w:rPr>
        <w:rFonts w:ascii="Times New Roman" w:eastAsia="Times New Roman" w:hAnsi="Times New Roman" w:cs="Times New Roman" w:hint="default"/>
        <w:color w:val="262626"/>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15308808">
    <w:abstractNumId w:val="2"/>
  </w:num>
  <w:num w:numId="2" w16cid:durableId="270433925">
    <w:abstractNumId w:val="1"/>
  </w:num>
  <w:num w:numId="3" w16cid:durableId="1988314881">
    <w:abstractNumId w:val="11"/>
  </w:num>
  <w:num w:numId="4" w16cid:durableId="1082262411">
    <w:abstractNumId w:val="5"/>
  </w:num>
  <w:num w:numId="5" w16cid:durableId="369261358">
    <w:abstractNumId w:val="6"/>
  </w:num>
  <w:num w:numId="6" w16cid:durableId="1410806372">
    <w:abstractNumId w:val="8"/>
  </w:num>
  <w:num w:numId="7" w16cid:durableId="1067999831">
    <w:abstractNumId w:val="9"/>
  </w:num>
  <w:num w:numId="8" w16cid:durableId="2129798">
    <w:abstractNumId w:val="10"/>
  </w:num>
  <w:num w:numId="9" w16cid:durableId="1488741269">
    <w:abstractNumId w:val="3"/>
  </w:num>
  <w:num w:numId="10" w16cid:durableId="1590428908">
    <w:abstractNumId w:val="7"/>
  </w:num>
  <w:num w:numId="11" w16cid:durableId="370883811">
    <w:abstractNumId w:val="4"/>
  </w:num>
  <w:num w:numId="12" w16cid:durableId="763840283">
    <w:abstractNumId w:val="12"/>
  </w:num>
  <w:num w:numId="13" w16cid:durableId="965895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077"/>
    <w:rsid w:val="00002350"/>
    <w:rsid w:val="00011088"/>
    <w:rsid w:val="00011826"/>
    <w:rsid w:val="000218FF"/>
    <w:rsid w:val="00027E3F"/>
    <w:rsid w:val="00031829"/>
    <w:rsid w:val="00032408"/>
    <w:rsid w:val="000379AB"/>
    <w:rsid w:val="00042994"/>
    <w:rsid w:val="00050366"/>
    <w:rsid w:val="00054584"/>
    <w:rsid w:val="000558EC"/>
    <w:rsid w:val="00060BC9"/>
    <w:rsid w:val="00065233"/>
    <w:rsid w:val="00065F94"/>
    <w:rsid w:val="0007414F"/>
    <w:rsid w:val="00076CB7"/>
    <w:rsid w:val="000812C3"/>
    <w:rsid w:val="00083F8B"/>
    <w:rsid w:val="00092057"/>
    <w:rsid w:val="000926A5"/>
    <w:rsid w:val="00097ADC"/>
    <w:rsid w:val="000A27B3"/>
    <w:rsid w:val="000A4257"/>
    <w:rsid w:val="000A58F8"/>
    <w:rsid w:val="000A61CD"/>
    <w:rsid w:val="000B4391"/>
    <w:rsid w:val="000C67EE"/>
    <w:rsid w:val="000C68B2"/>
    <w:rsid w:val="0011769B"/>
    <w:rsid w:val="00122055"/>
    <w:rsid w:val="00125013"/>
    <w:rsid w:val="00126E54"/>
    <w:rsid w:val="001346BA"/>
    <w:rsid w:val="001450A9"/>
    <w:rsid w:val="001529C6"/>
    <w:rsid w:val="0015496B"/>
    <w:rsid w:val="0016023D"/>
    <w:rsid w:val="00162C1E"/>
    <w:rsid w:val="00180927"/>
    <w:rsid w:val="001810B2"/>
    <w:rsid w:val="001845FF"/>
    <w:rsid w:val="00186871"/>
    <w:rsid w:val="001B072B"/>
    <w:rsid w:val="001B647E"/>
    <w:rsid w:val="001B6BE2"/>
    <w:rsid w:val="001C015B"/>
    <w:rsid w:val="001C1D2A"/>
    <w:rsid w:val="001C2B0D"/>
    <w:rsid w:val="001C2DE4"/>
    <w:rsid w:val="001D3208"/>
    <w:rsid w:val="001E0082"/>
    <w:rsid w:val="001E33EF"/>
    <w:rsid w:val="001E4C10"/>
    <w:rsid w:val="001F4972"/>
    <w:rsid w:val="00202BBC"/>
    <w:rsid w:val="00205265"/>
    <w:rsid w:val="00207A93"/>
    <w:rsid w:val="002112B8"/>
    <w:rsid w:val="00215B79"/>
    <w:rsid w:val="002307EB"/>
    <w:rsid w:val="00231893"/>
    <w:rsid w:val="002320C9"/>
    <w:rsid w:val="00236886"/>
    <w:rsid w:val="00236FEA"/>
    <w:rsid w:val="00240493"/>
    <w:rsid w:val="00242688"/>
    <w:rsid w:val="00255F63"/>
    <w:rsid w:val="00260790"/>
    <w:rsid w:val="00273E72"/>
    <w:rsid w:val="002838B4"/>
    <w:rsid w:val="002850B5"/>
    <w:rsid w:val="00285227"/>
    <w:rsid w:val="00296AB3"/>
    <w:rsid w:val="002A2475"/>
    <w:rsid w:val="002B6F74"/>
    <w:rsid w:val="002C3263"/>
    <w:rsid w:val="002C32A5"/>
    <w:rsid w:val="002C71C8"/>
    <w:rsid w:val="002D02DB"/>
    <w:rsid w:val="002D4AEB"/>
    <w:rsid w:val="002E478B"/>
    <w:rsid w:val="002E7898"/>
    <w:rsid w:val="002F2289"/>
    <w:rsid w:val="002F3B11"/>
    <w:rsid w:val="002F726C"/>
    <w:rsid w:val="00306CBC"/>
    <w:rsid w:val="003115E6"/>
    <w:rsid w:val="003121C2"/>
    <w:rsid w:val="003137C3"/>
    <w:rsid w:val="00315985"/>
    <w:rsid w:val="0031647F"/>
    <w:rsid w:val="00321596"/>
    <w:rsid w:val="00321A57"/>
    <w:rsid w:val="00331062"/>
    <w:rsid w:val="00351535"/>
    <w:rsid w:val="00352D80"/>
    <w:rsid w:val="00352E67"/>
    <w:rsid w:val="00361087"/>
    <w:rsid w:val="00363DBF"/>
    <w:rsid w:val="00366917"/>
    <w:rsid w:val="0037466A"/>
    <w:rsid w:val="003763E3"/>
    <w:rsid w:val="00377864"/>
    <w:rsid w:val="00380F86"/>
    <w:rsid w:val="003869A0"/>
    <w:rsid w:val="0039669B"/>
    <w:rsid w:val="003977AF"/>
    <w:rsid w:val="00397DD6"/>
    <w:rsid w:val="003A14F4"/>
    <w:rsid w:val="003A3978"/>
    <w:rsid w:val="003A733F"/>
    <w:rsid w:val="003C0418"/>
    <w:rsid w:val="003C2E92"/>
    <w:rsid w:val="003C31C1"/>
    <w:rsid w:val="003D367A"/>
    <w:rsid w:val="003D4D70"/>
    <w:rsid w:val="003D5B9E"/>
    <w:rsid w:val="003E0A19"/>
    <w:rsid w:val="003E0A9E"/>
    <w:rsid w:val="003E3AC1"/>
    <w:rsid w:val="003E660A"/>
    <w:rsid w:val="003F199B"/>
    <w:rsid w:val="003F6626"/>
    <w:rsid w:val="00400425"/>
    <w:rsid w:val="004009A6"/>
    <w:rsid w:val="00402111"/>
    <w:rsid w:val="00403D52"/>
    <w:rsid w:val="004204F8"/>
    <w:rsid w:val="004205AF"/>
    <w:rsid w:val="00423074"/>
    <w:rsid w:val="004309BA"/>
    <w:rsid w:val="00440A22"/>
    <w:rsid w:val="00440B4D"/>
    <w:rsid w:val="0044388C"/>
    <w:rsid w:val="00457D89"/>
    <w:rsid w:val="00460F77"/>
    <w:rsid w:val="004610E5"/>
    <w:rsid w:val="0046201B"/>
    <w:rsid w:val="00466CC8"/>
    <w:rsid w:val="0046739F"/>
    <w:rsid w:val="004949D8"/>
    <w:rsid w:val="004A459C"/>
    <w:rsid w:val="004A6E6F"/>
    <w:rsid w:val="004D105F"/>
    <w:rsid w:val="004D185E"/>
    <w:rsid w:val="004E0ABF"/>
    <w:rsid w:val="00500CD7"/>
    <w:rsid w:val="00501E24"/>
    <w:rsid w:val="00505A33"/>
    <w:rsid w:val="00506497"/>
    <w:rsid w:val="00513AB7"/>
    <w:rsid w:val="005144FD"/>
    <w:rsid w:val="00514B45"/>
    <w:rsid w:val="00515BC0"/>
    <w:rsid w:val="005167EA"/>
    <w:rsid w:val="00530848"/>
    <w:rsid w:val="005326E8"/>
    <w:rsid w:val="005358D5"/>
    <w:rsid w:val="00536413"/>
    <w:rsid w:val="005376D0"/>
    <w:rsid w:val="00545B6C"/>
    <w:rsid w:val="005579D2"/>
    <w:rsid w:val="00562647"/>
    <w:rsid w:val="00562C9F"/>
    <w:rsid w:val="00562D64"/>
    <w:rsid w:val="00570643"/>
    <w:rsid w:val="00571A07"/>
    <w:rsid w:val="0057441D"/>
    <w:rsid w:val="00575C0B"/>
    <w:rsid w:val="005807DE"/>
    <w:rsid w:val="005849B7"/>
    <w:rsid w:val="005937B3"/>
    <w:rsid w:val="005940BF"/>
    <w:rsid w:val="005A0165"/>
    <w:rsid w:val="005A03BD"/>
    <w:rsid w:val="005A6FC9"/>
    <w:rsid w:val="005B1CF7"/>
    <w:rsid w:val="005B41CA"/>
    <w:rsid w:val="005B79EF"/>
    <w:rsid w:val="005C3424"/>
    <w:rsid w:val="005D6B6C"/>
    <w:rsid w:val="005E1969"/>
    <w:rsid w:val="005E2D1A"/>
    <w:rsid w:val="005F38E0"/>
    <w:rsid w:val="00604BA2"/>
    <w:rsid w:val="0061116C"/>
    <w:rsid w:val="00614990"/>
    <w:rsid w:val="00617377"/>
    <w:rsid w:val="00617EE8"/>
    <w:rsid w:val="00620705"/>
    <w:rsid w:val="00633C72"/>
    <w:rsid w:val="0063455E"/>
    <w:rsid w:val="00636E9F"/>
    <w:rsid w:val="0065173A"/>
    <w:rsid w:val="00661D84"/>
    <w:rsid w:val="0066380A"/>
    <w:rsid w:val="006655DF"/>
    <w:rsid w:val="00680F24"/>
    <w:rsid w:val="00683FBF"/>
    <w:rsid w:val="006842EE"/>
    <w:rsid w:val="00695DB0"/>
    <w:rsid w:val="006A0F45"/>
    <w:rsid w:val="006A1625"/>
    <w:rsid w:val="006A75F4"/>
    <w:rsid w:val="006B3FEF"/>
    <w:rsid w:val="006C4619"/>
    <w:rsid w:val="006C548C"/>
    <w:rsid w:val="006D19B4"/>
    <w:rsid w:val="006D26F9"/>
    <w:rsid w:val="006D4411"/>
    <w:rsid w:val="006D691F"/>
    <w:rsid w:val="006E0807"/>
    <w:rsid w:val="006E5247"/>
    <w:rsid w:val="006E5372"/>
    <w:rsid w:val="006E67CD"/>
    <w:rsid w:val="006F29CA"/>
    <w:rsid w:val="006F662E"/>
    <w:rsid w:val="006F792F"/>
    <w:rsid w:val="00707D01"/>
    <w:rsid w:val="00715502"/>
    <w:rsid w:val="00720282"/>
    <w:rsid w:val="007208C5"/>
    <w:rsid w:val="00736CCD"/>
    <w:rsid w:val="007406EE"/>
    <w:rsid w:val="00740FFB"/>
    <w:rsid w:val="00750BB3"/>
    <w:rsid w:val="00752D0A"/>
    <w:rsid w:val="00761CD7"/>
    <w:rsid w:val="00765B56"/>
    <w:rsid w:val="00766D35"/>
    <w:rsid w:val="00772E9C"/>
    <w:rsid w:val="00774A6C"/>
    <w:rsid w:val="007750F3"/>
    <w:rsid w:val="00776D2E"/>
    <w:rsid w:val="007778ED"/>
    <w:rsid w:val="00780768"/>
    <w:rsid w:val="00784F85"/>
    <w:rsid w:val="00786823"/>
    <w:rsid w:val="00786BCA"/>
    <w:rsid w:val="007908B8"/>
    <w:rsid w:val="00791833"/>
    <w:rsid w:val="007963BC"/>
    <w:rsid w:val="00796FB8"/>
    <w:rsid w:val="007A1873"/>
    <w:rsid w:val="007B0569"/>
    <w:rsid w:val="007B197A"/>
    <w:rsid w:val="007B3571"/>
    <w:rsid w:val="007B3C21"/>
    <w:rsid w:val="007B4B93"/>
    <w:rsid w:val="007B7C20"/>
    <w:rsid w:val="007C7B26"/>
    <w:rsid w:val="007D06D5"/>
    <w:rsid w:val="007D1B4F"/>
    <w:rsid w:val="007E533E"/>
    <w:rsid w:val="0080357C"/>
    <w:rsid w:val="00813315"/>
    <w:rsid w:val="008316B5"/>
    <w:rsid w:val="008319E7"/>
    <w:rsid w:val="008328BD"/>
    <w:rsid w:val="00842E3F"/>
    <w:rsid w:val="008533A4"/>
    <w:rsid w:val="00854258"/>
    <w:rsid w:val="00855B07"/>
    <w:rsid w:val="00860EAF"/>
    <w:rsid w:val="008760D4"/>
    <w:rsid w:val="00880F4A"/>
    <w:rsid w:val="00892B57"/>
    <w:rsid w:val="008A4F3D"/>
    <w:rsid w:val="008A6077"/>
    <w:rsid w:val="008B2AD1"/>
    <w:rsid w:val="008C2166"/>
    <w:rsid w:val="008C7DC2"/>
    <w:rsid w:val="008D3087"/>
    <w:rsid w:val="008D5113"/>
    <w:rsid w:val="008E58E5"/>
    <w:rsid w:val="008E7D95"/>
    <w:rsid w:val="00902AF3"/>
    <w:rsid w:val="00904A93"/>
    <w:rsid w:val="00920C33"/>
    <w:rsid w:val="00925731"/>
    <w:rsid w:val="00927FCC"/>
    <w:rsid w:val="00932C1B"/>
    <w:rsid w:val="00935A4E"/>
    <w:rsid w:val="00943DDA"/>
    <w:rsid w:val="00950160"/>
    <w:rsid w:val="00950DF9"/>
    <w:rsid w:val="00952EEF"/>
    <w:rsid w:val="009533A6"/>
    <w:rsid w:val="00954785"/>
    <w:rsid w:val="009548FD"/>
    <w:rsid w:val="00964DE8"/>
    <w:rsid w:val="00964E6B"/>
    <w:rsid w:val="00970313"/>
    <w:rsid w:val="0097213C"/>
    <w:rsid w:val="00975D9D"/>
    <w:rsid w:val="00977293"/>
    <w:rsid w:val="009843B1"/>
    <w:rsid w:val="00995CAA"/>
    <w:rsid w:val="009A0CD6"/>
    <w:rsid w:val="009A71AF"/>
    <w:rsid w:val="009A7F4D"/>
    <w:rsid w:val="009B0096"/>
    <w:rsid w:val="009B1147"/>
    <w:rsid w:val="009B3168"/>
    <w:rsid w:val="009B68DA"/>
    <w:rsid w:val="009B6F3A"/>
    <w:rsid w:val="009C0ABC"/>
    <w:rsid w:val="009C63D9"/>
    <w:rsid w:val="009C7C27"/>
    <w:rsid w:val="009D7F8F"/>
    <w:rsid w:val="009E1589"/>
    <w:rsid w:val="009E4097"/>
    <w:rsid w:val="009E4FCE"/>
    <w:rsid w:val="009E56B2"/>
    <w:rsid w:val="00A0361B"/>
    <w:rsid w:val="00A0683D"/>
    <w:rsid w:val="00A1073D"/>
    <w:rsid w:val="00A122AB"/>
    <w:rsid w:val="00A1587C"/>
    <w:rsid w:val="00A177C3"/>
    <w:rsid w:val="00A21280"/>
    <w:rsid w:val="00A2437A"/>
    <w:rsid w:val="00A31477"/>
    <w:rsid w:val="00A342CD"/>
    <w:rsid w:val="00A43D64"/>
    <w:rsid w:val="00A45200"/>
    <w:rsid w:val="00A51383"/>
    <w:rsid w:val="00A566AB"/>
    <w:rsid w:val="00A56962"/>
    <w:rsid w:val="00A67EF9"/>
    <w:rsid w:val="00A715DF"/>
    <w:rsid w:val="00A72101"/>
    <w:rsid w:val="00A7697E"/>
    <w:rsid w:val="00A8311F"/>
    <w:rsid w:val="00A87EE9"/>
    <w:rsid w:val="00A90F0B"/>
    <w:rsid w:val="00A91B8A"/>
    <w:rsid w:val="00A95007"/>
    <w:rsid w:val="00AA11F3"/>
    <w:rsid w:val="00AB2AEA"/>
    <w:rsid w:val="00AB46CF"/>
    <w:rsid w:val="00AD32F7"/>
    <w:rsid w:val="00AE5BAF"/>
    <w:rsid w:val="00AF30C8"/>
    <w:rsid w:val="00AF33DA"/>
    <w:rsid w:val="00B00693"/>
    <w:rsid w:val="00B033A6"/>
    <w:rsid w:val="00B05359"/>
    <w:rsid w:val="00B0617B"/>
    <w:rsid w:val="00B120F3"/>
    <w:rsid w:val="00B25DE7"/>
    <w:rsid w:val="00B260CD"/>
    <w:rsid w:val="00B27B28"/>
    <w:rsid w:val="00B337D8"/>
    <w:rsid w:val="00B4516D"/>
    <w:rsid w:val="00B46D9D"/>
    <w:rsid w:val="00B51D7A"/>
    <w:rsid w:val="00B54EC0"/>
    <w:rsid w:val="00B57B94"/>
    <w:rsid w:val="00B57C06"/>
    <w:rsid w:val="00B622BB"/>
    <w:rsid w:val="00B6540A"/>
    <w:rsid w:val="00B719C8"/>
    <w:rsid w:val="00B81C79"/>
    <w:rsid w:val="00B82556"/>
    <w:rsid w:val="00B828C4"/>
    <w:rsid w:val="00B91A9A"/>
    <w:rsid w:val="00B95CEE"/>
    <w:rsid w:val="00BA44D5"/>
    <w:rsid w:val="00BA472E"/>
    <w:rsid w:val="00BB0A73"/>
    <w:rsid w:val="00BB24DF"/>
    <w:rsid w:val="00BB7571"/>
    <w:rsid w:val="00BD2C71"/>
    <w:rsid w:val="00BD47BB"/>
    <w:rsid w:val="00BE19BB"/>
    <w:rsid w:val="00BF0028"/>
    <w:rsid w:val="00C11DAF"/>
    <w:rsid w:val="00C1457D"/>
    <w:rsid w:val="00C1693A"/>
    <w:rsid w:val="00C175A0"/>
    <w:rsid w:val="00C259BD"/>
    <w:rsid w:val="00C30E6D"/>
    <w:rsid w:val="00C3475A"/>
    <w:rsid w:val="00C364B9"/>
    <w:rsid w:val="00C371AC"/>
    <w:rsid w:val="00C37B64"/>
    <w:rsid w:val="00C430C5"/>
    <w:rsid w:val="00C53BBD"/>
    <w:rsid w:val="00C570D4"/>
    <w:rsid w:val="00C5799C"/>
    <w:rsid w:val="00C644D6"/>
    <w:rsid w:val="00C6683C"/>
    <w:rsid w:val="00C72F93"/>
    <w:rsid w:val="00C74429"/>
    <w:rsid w:val="00C756A6"/>
    <w:rsid w:val="00C81368"/>
    <w:rsid w:val="00C81692"/>
    <w:rsid w:val="00C824C6"/>
    <w:rsid w:val="00C842B3"/>
    <w:rsid w:val="00C8658E"/>
    <w:rsid w:val="00C945E9"/>
    <w:rsid w:val="00C94AA5"/>
    <w:rsid w:val="00C94CA4"/>
    <w:rsid w:val="00CB4B40"/>
    <w:rsid w:val="00CB7806"/>
    <w:rsid w:val="00CB7BED"/>
    <w:rsid w:val="00CC2A77"/>
    <w:rsid w:val="00CC4CBE"/>
    <w:rsid w:val="00CC7465"/>
    <w:rsid w:val="00CD7EB4"/>
    <w:rsid w:val="00CF00F1"/>
    <w:rsid w:val="00CF3DEE"/>
    <w:rsid w:val="00CF7E86"/>
    <w:rsid w:val="00D04A32"/>
    <w:rsid w:val="00D06385"/>
    <w:rsid w:val="00D10273"/>
    <w:rsid w:val="00D13130"/>
    <w:rsid w:val="00D13909"/>
    <w:rsid w:val="00D22B63"/>
    <w:rsid w:val="00D2687E"/>
    <w:rsid w:val="00D32A74"/>
    <w:rsid w:val="00D40122"/>
    <w:rsid w:val="00D41E11"/>
    <w:rsid w:val="00D42E52"/>
    <w:rsid w:val="00D474F8"/>
    <w:rsid w:val="00D50A01"/>
    <w:rsid w:val="00D533DE"/>
    <w:rsid w:val="00D54A50"/>
    <w:rsid w:val="00D56624"/>
    <w:rsid w:val="00D670D8"/>
    <w:rsid w:val="00D67AA1"/>
    <w:rsid w:val="00D739F6"/>
    <w:rsid w:val="00D810E5"/>
    <w:rsid w:val="00D81993"/>
    <w:rsid w:val="00D82380"/>
    <w:rsid w:val="00D831E2"/>
    <w:rsid w:val="00D8438D"/>
    <w:rsid w:val="00D84985"/>
    <w:rsid w:val="00D84F2F"/>
    <w:rsid w:val="00D933C0"/>
    <w:rsid w:val="00D9388C"/>
    <w:rsid w:val="00D94839"/>
    <w:rsid w:val="00D9528F"/>
    <w:rsid w:val="00DA3E80"/>
    <w:rsid w:val="00DB0303"/>
    <w:rsid w:val="00DB1084"/>
    <w:rsid w:val="00DB6968"/>
    <w:rsid w:val="00DC1823"/>
    <w:rsid w:val="00DC4FB8"/>
    <w:rsid w:val="00DD0D27"/>
    <w:rsid w:val="00DD3E7C"/>
    <w:rsid w:val="00DD47BE"/>
    <w:rsid w:val="00DD4E51"/>
    <w:rsid w:val="00DD6745"/>
    <w:rsid w:val="00DD6AD4"/>
    <w:rsid w:val="00DE08F8"/>
    <w:rsid w:val="00DE3F91"/>
    <w:rsid w:val="00DF4232"/>
    <w:rsid w:val="00E05FAB"/>
    <w:rsid w:val="00E103D1"/>
    <w:rsid w:val="00E14262"/>
    <w:rsid w:val="00E31404"/>
    <w:rsid w:val="00E31513"/>
    <w:rsid w:val="00E45521"/>
    <w:rsid w:val="00E520B5"/>
    <w:rsid w:val="00E522B5"/>
    <w:rsid w:val="00E64E6C"/>
    <w:rsid w:val="00E65A92"/>
    <w:rsid w:val="00E664DF"/>
    <w:rsid w:val="00E67B1C"/>
    <w:rsid w:val="00E67B96"/>
    <w:rsid w:val="00E81619"/>
    <w:rsid w:val="00E94782"/>
    <w:rsid w:val="00EA3350"/>
    <w:rsid w:val="00EA5927"/>
    <w:rsid w:val="00EB2936"/>
    <w:rsid w:val="00EB35DA"/>
    <w:rsid w:val="00EC17A1"/>
    <w:rsid w:val="00ED1E28"/>
    <w:rsid w:val="00ED5261"/>
    <w:rsid w:val="00ED733D"/>
    <w:rsid w:val="00ED7A70"/>
    <w:rsid w:val="00EE433D"/>
    <w:rsid w:val="00EE6B05"/>
    <w:rsid w:val="00EF04CF"/>
    <w:rsid w:val="00EF160D"/>
    <w:rsid w:val="00EF1E0F"/>
    <w:rsid w:val="00EF204E"/>
    <w:rsid w:val="00F0523C"/>
    <w:rsid w:val="00F10F4B"/>
    <w:rsid w:val="00F11FBF"/>
    <w:rsid w:val="00F14BCE"/>
    <w:rsid w:val="00F21080"/>
    <w:rsid w:val="00F21FB3"/>
    <w:rsid w:val="00F35A61"/>
    <w:rsid w:val="00F415E7"/>
    <w:rsid w:val="00F422B1"/>
    <w:rsid w:val="00F45E57"/>
    <w:rsid w:val="00F47803"/>
    <w:rsid w:val="00F546E8"/>
    <w:rsid w:val="00F61446"/>
    <w:rsid w:val="00F671E4"/>
    <w:rsid w:val="00F71CD1"/>
    <w:rsid w:val="00F85824"/>
    <w:rsid w:val="00F85B9C"/>
    <w:rsid w:val="00FA4496"/>
    <w:rsid w:val="00FA459B"/>
    <w:rsid w:val="00FA6B68"/>
    <w:rsid w:val="00FB041D"/>
    <w:rsid w:val="00FB0F07"/>
    <w:rsid w:val="00FB3464"/>
    <w:rsid w:val="00FC3EAC"/>
    <w:rsid w:val="00FC49C6"/>
    <w:rsid w:val="00FD170C"/>
    <w:rsid w:val="00FD3A1F"/>
    <w:rsid w:val="00FD680A"/>
    <w:rsid w:val="00FE08E5"/>
    <w:rsid w:val="00FE2F47"/>
    <w:rsid w:val="00FE3121"/>
    <w:rsid w:val="00FE43C7"/>
    <w:rsid w:val="00FF58F3"/>
    <w:rsid w:val="1ACF9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09C9FC"/>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077"/>
    <w:rPr>
      <w:rFonts w:ascii="Times New Roman" w:eastAsia="Calibri" w:hAnsi="Times New Roman" w:cs="Times New Roman"/>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arter"/>
    <w:uiPriority w:val="10"/>
    <w:qFormat/>
    <w:rsid w:val="00400425"/>
    <w:pPr>
      <w:contextualSpacing/>
      <w:jc w:val="center"/>
    </w:pPr>
    <w:rPr>
      <w:rFonts w:eastAsiaTheme="majorEastAsia" w:cstheme="majorBidi"/>
      <w:b/>
      <w:spacing w:val="-10"/>
      <w:kern w:val="28"/>
      <w:sz w:val="28"/>
      <w:szCs w:val="56"/>
    </w:rPr>
  </w:style>
  <w:style w:type="paragraph" w:customStyle="1" w:styleId="Reference">
    <w:name w:val="Reference"/>
    <w:basedOn w:val="Normal"/>
    <w:rsid w:val="008A6077"/>
    <w:pPr>
      <w:spacing w:before="120"/>
      <w:ind w:left="720" w:hanging="720"/>
    </w:pPr>
    <w:rPr>
      <w:rFonts w:eastAsia="Times New Roman"/>
      <w:sz w:val="24"/>
      <w:szCs w:val="24"/>
    </w:rPr>
  </w:style>
  <w:style w:type="paragraph" w:styleId="Cabealho">
    <w:name w:val="header"/>
    <w:basedOn w:val="Normal"/>
    <w:link w:val="CabealhoCarter"/>
    <w:uiPriority w:val="99"/>
    <w:unhideWhenUsed/>
    <w:rsid w:val="000379AB"/>
    <w:pPr>
      <w:tabs>
        <w:tab w:val="center" w:pos="4680"/>
        <w:tab w:val="right" w:pos="9360"/>
      </w:tabs>
    </w:pPr>
  </w:style>
  <w:style w:type="paragraph" w:customStyle="1" w:styleId="Heading-Secondary">
    <w:name w:val="Heading-Secondary"/>
    <w:basedOn w:val="Heading-Main"/>
    <w:qFormat/>
    <w:rsid w:val="00C81368"/>
    <w:pPr>
      <w:ind w:left="720"/>
    </w:pPr>
    <w:rPr>
      <w:b w:val="0"/>
    </w:rPr>
  </w:style>
  <w:style w:type="paragraph" w:customStyle="1" w:styleId="Authors">
    <w:name w:val="Authors"/>
    <w:basedOn w:val="Normal"/>
    <w:rsid w:val="00B120F3"/>
    <w:pPr>
      <w:spacing w:before="120" w:after="360"/>
    </w:pPr>
    <w:rPr>
      <w:rFonts w:eastAsia="Times New Roman"/>
      <w:b/>
      <w:sz w:val="24"/>
      <w:szCs w:val="24"/>
    </w:rPr>
  </w:style>
  <w:style w:type="paragraph" w:customStyle="1" w:styleId="Text">
    <w:name w:val="Text"/>
    <w:basedOn w:val="Normal"/>
    <w:rsid w:val="008A6077"/>
    <w:pPr>
      <w:spacing w:before="120"/>
      <w:ind w:firstLine="720"/>
    </w:pPr>
    <w:rPr>
      <w:rFonts w:eastAsia="Times New Roman"/>
      <w:sz w:val="24"/>
      <w:szCs w:val="24"/>
    </w:rPr>
  </w:style>
  <w:style w:type="paragraph" w:customStyle="1" w:styleId="FigureorTableCaption">
    <w:name w:val="Figure or Table Caption"/>
    <w:basedOn w:val="Normal"/>
    <w:rsid w:val="008A6077"/>
    <w:pPr>
      <w:keepNext/>
      <w:spacing w:before="240"/>
      <w:outlineLvl w:val="0"/>
    </w:pPr>
    <w:rPr>
      <w:rFonts w:eastAsia="Times New Roman"/>
      <w:kern w:val="28"/>
      <w:sz w:val="24"/>
      <w:szCs w:val="24"/>
    </w:rPr>
  </w:style>
  <w:style w:type="character" w:customStyle="1" w:styleId="CabealhoCarter">
    <w:name w:val="Cabeçalho Caráter"/>
    <w:basedOn w:val="Tipodeletrapredefinidodopargrafo"/>
    <w:link w:val="Cabealho"/>
    <w:uiPriority w:val="99"/>
    <w:rsid w:val="000379AB"/>
    <w:rPr>
      <w:rFonts w:ascii="Times New Roman" w:eastAsia="Calibri" w:hAnsi="Times New Roman" w:cs="Times New Roman"/>
      <w:sz w:val="20"/>
      <w:szCs w:val="20"/>
    </w:rPr>
  </w:style>
  <w:style w:type="character" w:styleId="Hiperligao">
    <w:name w:val="Hyperlink"/>
    <w:rsid w:val="008A6077"/>
    <w:rPr>
      <w:color w:val="0000FF"/>
      <w:u w:val="single"/>
    </w:rPr>
  </w:style>
  <w:style w:type="paragraph" w:customStyle="1" w:styleId="Heading-Main">
    <w:name w:val="Heading-Main"/>
    <w:basedOn w:val="Normal"/>
    <w:rsid w:val="005358D5"/>
    <w:pPr>
      <w:keepNext/>
      <w:spacing w:before="240" w:after="120"/>
      <w:outlineLvl w:val="0"/>
    </w:pPr>
    <w:rPr>
      <w:rFonts w:eastAsia="Times New Roman"/>
      <w:b/>
      <w:bCs/>
      <w:kern w:val="28"/>
      <w:sz w:val="24"/>
      <w:szCs w:val="24"/>
    </w:rPr>
  </w:style>
  <w:style w:type="paragraph" w:customStyle="1" w:styleId="Affiliation">
    <w:name w:val="Affiliation"/>
    <w:basedOn w:val="Text"/>
    <w:qFormat/>
    <w:rsid w:val="00B719C8"/>
    <w:pPr>
      <w:ind w:firstLine="0"/>
    </w:pPr>
  </w:style>
  <w:style w:type="paragraph" w:customStyle="1" w:styleId="KeyPoints">
    <w:name w:val="Key Points"/>
    <w:basedOn w:val="Normal"/>
    <w:rsid w:val="008A6077"/>
    <w:pPr>
      <w:spacing w:before="120"/>
    </w:pPr>
    <w:rPr>
      <w:rFonts w:eastAsia="Times New Roman"/>
      <w:sz w:val="24"/>
      <w:szCs w:val="24"/>
    </w:rPr>
  </w:style>
  <w:style w:type="paragraph" w:customStyle="1" w:styleId="Abstract">
    <w:name w:val="Abstract"/>
    <w:basedOn w:val="Normal"/>
    <w:qFormat/>
    <w:rsid w:val="00400425"/>
    <w:pPr>
      <w:spacing w:before="120"/>
    </w:pPr>
    <w:rPr>
      <w:rFonts w:eastAsia="Times New Roman"/>
      <w:sz w:val="24"/>
      <w:szCs w:val="24"/>
    </w:rPr>
  </w:style>
  <w:style w:type="character" w:customStyle="1" w:styleId="TtuloCarter">
    <w:name w:val="Título Caráter"/>
    <w:basedOn w:val="Tipodeletrapredefinidodopargrafo"/>
    <w:link w:val="Ttulo"/>
    <w:uiPriority w:val="10"/>
    <w:rsid w:val="00400425"/>
    <w:rPr>
      <w:rFonts w:ascii="Times New Roman" w:eastAsiaTheme="majorEastAsia" w:hAnsi="Times New Roman" w:cstheme="majorBidi"/>
      <w:b/>
      <w:spacing w:val="-10"/>
      <w:kern w:val="28"/>
      <w:sz w:val="28"/>
      <w:szCs w:val="56"/>
    </w:rPr>
  </w:style>
  <w:style w:type="paragraph" w:customStyle="1" w:styleId="Note">
    <w:name w:val="Note"/>
    <w:basedOn w:val="Normal"/>
    <w:qFormat/>
    <w:rsid w:val="0037466A"/>
    <w:pPr>
      <w:spacing w:before="240" w:after="240"/>
    </w:pPr>
    <w:rPr>
      <w:color w:val="00B0F0"/>
    </w:rPr>
  </w:style>
  <w:style w:type="paragraph" w:styleId="NormalWeb">
    <w:name w:val="Normal (Web)"/>
    <w:basedOn w:val="Normal"/>
    <w:uiPriority w:val="99"/>
    <w:semiHidden/>
    <w:unhideWhenUsed/>
    <w:rsid w:val="002F3B11"/>
    <w:rPr>
      <w:sz w:val="24"/>
      <w:szCs w:val="24"/>
    </w:rPr>
  </w:style>
  <w:style w:type="paragraph" w:styleId="Rodap">
    <w:name w:val="footer"/>
    <w:basedOn w:val="Normal"/>
    <w:link w:val="RodapCarter"/>
    <w:uiPriority w:val="99"/>
    <w:unhideWhenUsed/>
    <w:rsid w:val="000379AB"/>
    <w:pPr>
      <w:tabs>
        <w:tab w:val="center" w:pos="4680"/>
        <w:tab w:val="right" w:pos="9360"/>
      </w:tabs>
    </w:pPr>
  </w:style>
  <w:style w:type="character" w:customStyle="1" w:styleId="RodapCarter">
    <w:name w:val="Rodapé Caráter"/>
    <w:basedOn w:val="Tipodeletrapredefinidodopargrafo"/>
    <w:link w:val="Rodap"/>
    <w:uiPriority w:val="99"/>
    <w:rsid w:val="000379AB"/>
    <w:rPr>
      <w:rFonts w:ascii="Times New Roman" w:eastAsia="Calibri" w:hAnsi="Times New Roman" w:cs="Times New Roman"/>
      <w:sz w:val="20"/>
      <w:szCs w:val="20"/>
    </w:rPr>
  </w:style>
  <w:style w:type="paragraph" w:styleId="PargrafodaLista">
    <w:name w:val="List Paragraph"/>
    <w:basedOn w:val="Normal"/>
    <w:uiPriority w:val="34"/>
    <w:qFormat/>
    <w:rsid w:val="00D810E5"/>
    <w:pPr>
      <w:spacing w:after="200"/>
      <w:ind w:left="720"/>
      <w:contextualSpacing/>
    </w:pPr>
    <w:rPr>
      <w:rFonts w:asciiTheme="minorHAnsi" w:eastAsiaTheme="minorEastAsia" w:hAnsiTheme="minorHAnsi" w:cstheme="minorBidi"/>
      <w:sz w:val="24"/>
      <w:szCs w:val="24"/>
      <w:lang w:eastAsia="ja-JP"/>
    </w:rPr>
  </w:style>
  <w:style w:type="character" w:customStyle="1" w:styleId="MenoNoResolvida1">
    <w:name w:val="Menção Não Resolvida1"/>
    <w:basedOn w:val="Tipodeletrapredefinidodopargrafo"/>
    <w:uiPriority w:val="99"/>
    <w:rsid w:val="00B81C79"/>
    <w:rPr>
      <w:color w:val="808080"/>
      <w:shd w:val="clear" w:color="auto" w:fill="E6E6E6"/>
    </w:rPr>
  </w:style>
  <w:style w:type="paragraph" w:styleId="Textodebalo">
    <w:name w:val="Balloon Text"/>
    <w:basedOn w:val="Normal"/>
    <w:link w:val="TextodebaloCarter"/>
    <w:uiPriority w:val="99"/>
    <w:semiHidden/>
    <w:unhideWhenUsed/>
    <w:rsid w:val="007B4B93"/>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7B4B93"/>
    <w:rPr>
      <w:rFonts w:ascii="Segoe UI" w:eastAsia="Calibri" w:hAnsi="Segoe UI" w:cs="Segoe UI"/>
      <w:sz w:val="18"/>
      <w:szCs w:val="18"/>
    </w:rPr>
  </w:style>
  <w:style w:type="character" w:styleId="nfase">
    <w:name w:val="Emphasis"/>
    <w:basedOn w:val="Tipodeletrapredefinidodopargrafo"/>
    <w:uiPriority w:val="20"/>
    <w:qFormat/>
    <w:rsid w:val="007B4B93"/>
    <w:rPr>
      <w:i/>
      <w:iCs/>
    </w:rPr>
  </w:style>
  <w:style w:type="character" w:styleId="Hiperligaovisitada">
    <w:name w:val="FollowedHyperlink"/>
    <w:basedOn w:val="Tipodeletrapredefinidodopargrafo"/>
    <w:uiPriority w:val="99"/>
    <w:semiHidden/>
    <w:unhideWhenUsed/>
    <w:rsid w:val="00F45E57"/>
    <w:rPr>
      <w:color w:val="954F72" w:themeColor="followedHyperlink"/>
      <w:u w:val="single"/>
    </w:rPr>
  </w:style>
  <w:style w:type="character" w:styleId="Nmerodelinha">
    <w:name w:val="line number"/>
    <w:basedOn w:val="Tipodeletrapredefinidodopargrafo"/>
    <w:uiPriority w:val="99"/>
    <w:semiHidden/>
    <w:unhideWhenUsed/>
    <w:rsid w:val="00BD47BB"/>
  </w:style>
  <w:style w:type="character" w:styleId="Refdecomentrio">
    <w:name w:val="annotation reference"/>
    <w:basedOn w:val="Tipodeletrapredefinidodopargrafo"/>
    <w:uiPriority w:val="99"/>
    <w:semiHidden/>
    <w:unhideWhenUsed/>
    <w:rsid w:val="0044388C"/>
    <w:rPr>
      <w:sz w:val="16"/>
      <w:szCs w:val="16"/>
    </w:rPr>
  </w:style>
  <w:style w:type="paragraph" w:styleId="Textodecomentrio">
    <w:name w:val="annotation text"/>
    <w:basedOn w:val="Normal"/>
    <w:link w:val="TextodecomentrioCarter"/>
    <w:uiPriority w:val="99"/>
    <w:unhideWhenUsed/>
    <w:rsid w:val="0044388C"/>
  </w:style>
  <w:style w:type="character" w:customStyle="1" w:styleId="TextodecomentrioCarter">
    <w:name w:val="Texto de comentário Caráter"/>
    <w:basedOn w:val="Tipodeletrapredefinidodopargrafo"/>
    <w:link w:val="Textodecomentrio"/>
    <w:uiPriority w:val="99"/>
    <w:rsid w:val="0044388C"/>
    <w:rPr>
      <w:rFonts w:ascii="Times New Roman" w:eastAsia="Calibri" w:hAnsi="Times New Roman" w:cs="Times New Roman"/>
      <w:sz w:val="20"/>
      <w:szCs w:val="20"/>
    </w:rPr>
  </w:style>
  <w:style w:type="paragraph" w:styleId="Assuntodecomentrio">
    <w:name w:val="annotation subject"/>
    <w:basedOn w:val="Textodecomentrio"/>
    <w:next w:val="Textodecomentrio"/>
    <w:link w:val="AssuntodecomentrioCarter"/>
    <w:uiPriority w:val="99"/>
    <w:semiHidden/>
    <w:unhideWhenUsed/>
    <w:rsid w:val="0044388C"/>
    <w:rPr>
      <w:b/>
      <w:bCs/>
    </w:rPr>
  </w:style>
  <w:style w:type="character" w:customStyle="1" w:styleId="AssuntodecomentrioCarter">
    <w:name w:val="Assunto de comentário Caráter"/>
    <w:basedOn w:val="TextodecomentrioCarter"/>
    <w:link w:val="Assuntodecomentrio"/>
    <w:uiPriority w:val="99"/>
    <w:semiHidden/>
    <w:rsid w:val="0044388C"/>
    <w:rPr>
      <w:rFonts w:ascii="Times New Roman" w:eastAsia="Calibri" w:hAnsi="Times New Roman" w:cs="Times New Roman"/>
      <w:b/>
      <w:bCs/>
      <w:sz w:val="20"/>
      <w:szCs w:val="20"/>
    </w:rPr>
  </w:style>
  <w:style w:type="paragraph" w:styleId="Reviso">
    <w:name w:val="Revision"/>
    <w:hidden/>
    <w:uiPriority w:val="99"/>
    <w:semiHidden/>
    <w:rsid w:val="00DD0D27"/>
    <w:rPr>
      <w:rFonts w:ascii="Times New Roman" w:eastAsia="Calibri" w:hAnsi="Times New Roman" w:cs="Times New Roman"/>
      <w:sz w:val="20"/>
      <w:szCs w:val="20"/>
    </w:rPr>
  </w:style>
  <w:style w:type="character" w:styleId="TextodoMarcadordePosio">
    <w:name w:val="Placeholder Text"/>
    <w:basedOn w:val="Tipodeletrapredefinidodopargrafo"/>
    <w:uiPriority w:val="99"/>
    <w:semiHidden/>
    <w:rsid w:val="003E0A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8446">
      <w:bodyDiv w:val="1"/>
      <w:marLeft w:val="0"/>
      <w:marRight w:val="0"/>
      <w:marTop w:val="0"/>
      <w:marBottom w:val="0"/>
      <w:divBdr>
        <w:top w:val="none" w:sz="0" w:space="0" w:color="auto"/>
        <w:left w:val="none" w:sz="0" w:space="0" w:color="auto"/>
        <w:bottom w:val="none" w:sz="0" w:space="0" w:color="auto"/>
        <w:right w:val="none" w:sz="0" w:space="0" w:color="auto"/>
      </w:divBdr>
    </w:div>
    <w:div w:id="43066864">
      <w:bodyDiv w:val="1"/>
      <w:marLeft w:val="0"/>
      <w:marRight w:val="0"/>
      <w:marTop w:val="0"/>
      <w:marBottom w:val="0"/>
      <w:divBdr>
        <w:top w:val="none" w:sz="0" w:space="0" w:color="auto"/>
        <w:left w:val="none" w:sz="0" w:space="0" w:color="auto"/>
        <w:bottom w:val="none" w:sz="0" w:space="0" w:color="auto"/>
        <w:right w:val="none" w:sz="0" w:space="0" w:color="auto"/>
      </w:divBdr>
      <w:divsChild>
        <w:div w:id="384915465">
          <w:marLeft w:val="480"/>
          <w:marRight w:val="0"/>
          <w:marTop w:val="0"/>
          <w:marBottom w:val="0"/>
          <w:divBdr>
            <w:top w:val="none" w:sz="0" w:space="0" w:color="auto"/>
            <w:left w:val="none" w:sz="0" w:space="0" w:color="auto"/>
            <w:bottom w:val="none" w:sz="0" w:space="0" w:color="auto"/>
            <w:right w:val="none" w:sz="0" w:space="0" w:color="auto"/>
          </w:divBdr>
        </w:div>
        <w:div w:id="1964579673">
          <w:marLeft w:val="480"/>
          <w:marRight w:val="0"/>
          <w:marTop w:val="0"/>
          <w:marBottom w:val="0"/>
          <w:divBdr>
            <w:top w:val="none" w:sz="0" w:space="0" w:color="auto"/>
            <w:left w:val="none" w:sz="0" w:space="0" w:color="auto"/>
            <w:bottom w:val="none" w:sz="0" w:space="0" w:color="auto"/>
            <w:right w:val="none" w:sz="0" w:space="0" w:color="auto"/>
          </w:divBdr>
        </w:div>
        <w:div w:id="621502544">
          <w:marLeft w:val="480"/>
          <w:marRight w:val="0"/>
          <w:marTop w:val="0"/>
          <w:marBottom w:val="0"/>
          <w:divBdr>
            <w:top w:val="none" w:sz="0" w:space="0" w:color="auto"/>
            <w:left w:val="none" w:sz="0" w:space="0" w:color="auto"/>
            <w:bottom w:val="none" w:sz="0" w:space="0" w:color="auto"/>
            <w:right w:val="none" w:sz="0" w:space="0" w:color="auto"/>
          </w:divBdr>
        </w:div>
      </w:divsChild>
    </w:div>
    <w:div w:id="68043791">
      <w:bodyDiv w:val="1"/>
      <w:marLeft w:val="0"/>
      <w:marRight w:val="0"/>
      <w:marTop w:val="0"/>
      <w:marBottom w:val="0"/>
      <w:divBdr>
        <w:top w:val="none" w:sz="0" w:space="0" w:color="auto"/>
        <w:left w:val="none" w:sz="0" w:space="0" w:color="auto"/>
        <w:bottom w:val="none" w:sz="0" w:space="0" w:color="auto"/>
        <w:right w:val="none" w:sz="0" w:space="0" w:color="auto"/>
      </w:divBdr>
    </w:div>
    <w:div w:id="133762802">
      <w:bodyDiv w:val="1"/>
      <w:marLeft w:val="0"/>
      <w:marRight w:val="0"/>
      <w:marTop w:val="0"/>
      <w:marBottom w:val="0"/>
      <w:divBdr>
        <w:top w:val="none" w:sz="0" w:space="0" w:color="auto"/>
        <w:left w:val="none" w:sz="0" w:space="0" w:color="auto"/>
        <w:bottom w:val="none" w:sz="0" w:space="0" w:color="auto"/>
        <w:right w:val="none" w:sz="0" w:space="0" w:color="auto"/>
      </w:divBdr>
    </w:div>
    <w:div w:id="161236759">
      <w:bodyDiv w:val="1"/>
      <w:marLeft w:val="0"/>
      <w:marRight w:val="0"/>
      <w:marTop w:val="0"/>
      <w:marBottom w:val="0"/>
      <w:divBdr>
        <w:top w:val="none" w:sz="0" w:space="0" w:color="auto"/>
        <w:left w:val="none" w:sz="0" w:space="0" w:color="auto"/>
        <w:bottom w:val="none" w:sz="0" w:space="0" w:color="auto"/>
        <w:right w:val="none" w:sz="0" w:space="0" w:color="auto"/>
      </w:divBdr>
      <w:divsChild>
        <w:div w:id="785273858">
          <w:marLeft w:val="480"/>
          <w:marRight w:val="0"/>
          <w:marTop w:val="0"/>
          <w:marBottom w:val="0"/>
          <w:divBdr>
            <w:top w:val="none" w:sz="0" w:space="0" w:color="auto"/>
            <w:left w:val="none" w:sz="0" w:space="0" w:color="auto"/>
            <w:bottom w:val="none" w:sz="0" w:space="0" w:color="auto"/>
            <w:right w:val="none" w:sz="0" w:space="0" w:color="auto"/>
          </w:divBdr>
        </w:div>
        <w:div w:id="1637908197">
          <w:marLeft w:val="480"/>
          <w:marRight w:val="0"/>
          <w:marTop w:val="0"/>
          <w:marBottom w:val="0"/>
          <w:divBdr>
            <w:top w:val="none" w:sz="0" w:space="0" w:color="auto"/>
            <w:left w:val="none" w:sz="0" w:space="0" w:color="auto"/>
            <w:bottom w:val="none" w:sz="0" w:space="0" w:color="auto"/>
            <w:right w:val="none" w:sz="0" w:space="0" w:color="auto"/>
          </w:divBdr>
        </w:div>
        <w:div w:id="1462454658">
          <w:marLeft w:val="480"/>
          <w:marRight w:val="0"/>
          <w:marTop w:val="0"/>
          <w:marBottom w:val="0"/>
          <w:divBdr>
            <w:top w:val="none" w:sz="0" w:space="0" w:color="auto"/>
            <w:left w:val="none" w:sz="0" w:space="0" w:color="auto"/>
            <w:bottom w:val="none" w:sz="0" w:space="0" w:color="auto"/>
            <w:right w:val="none" w:sz="0" w:space="0" w:color="auto"/>
          </w:divBdr>
        </w:div>
        <w:div w:id="783963078">
          <w:marLeft w:val="480"/>
          <w:marRight w:val="0"/>
          <w:marTop w:val="0"/>
          <w:marBottom w:val="0"/>
          <w:divBdr>
            <w:top w:val="none" w:sz="0" w:space="0" w:color="auto"/>
            <w:left w:val="none" w:sz="0" w:space="0" w:color="auto"/>
            <w:bottom w:val="none" w:sz="0" w:space="0" w:color="auto"/>
            <w:right w:val="none" w:sz="0" w:space="0" w:color="auto"/>
          </w:divBdr>
        </w:div>
        <w:div w:id="1636374296">
          <w:marLeft w:val="480"/>
          <w:marRight w:val="0"/>
          <w:marTop w:val="0"/>
          <w:marBottom w:val="0"/>
          <w:divBdr>
            <w:top w:val="none" w:sz="0" w:space="0" w:color="auto"/>
            <w:left w:val="none" w:sz="0" w:space="0" w:color="auto"/>
            <w:bottom w:val="none" w:sz="0" w:space="0" w:color="auto"/>
            <w:right w:val="none" w:sz="0" w:space="0" w:color="auto"/>
          </w:divBdr>
        </w:div>
        <w:div w:id="1926839088">
          <w:marLeft w:val="480"/>
          <w:marRight w:val="0"/>
          <w:marTop w:val="0"/>
          <w:marBottom w:val="0"/>
          <w:divBdr>
            <w:top w:val="none" w:sz="0" w:space="0" w:color="auto"/>
            <w:left w:val="none" w:sz="0" w:space="0" w:color="auto"/>
            <w:bottom w:val="none" w:sz="0" w:space="0" w:color="auto"/>
            <w:right w:val="none" w:sz="0" w:space="0" w:color="auto"/>
          </w:divBdr>
        </w:div>
        <w:div w:id="794755923">
          <w:marLeft w:val="480"/>
          <w:marRight w:val="0"/>
          <w:marTop w:val="0"/>
          <w:marBottom w:val="0"/>
          <w:divBdr>
            <w:top w:val="none" w:sz="0" w:space="0" w:color="auto"/>
            <w:left w:val="none" w:sz="0" w:space="0" w:color="auto"/>
            <w:bottom w:val="none" w:sz="0" w:space="0" w:color="auto"/>
            <w:right w:val="none" w:sz="0" w:space="0" w:color="auto"/>
          </w:divBdr>
        </w:div>
        <w:div w:id="2101097564">
          <w:marLeft w:val="480"/>
          <w:marRight w:val="0"/>
          <w:marTop w:val="0"/>
          <w:marBottom w:val="0"/>
          <w:divBdr>
            <w:top w:val="none" w:sz="0" w:space="0" w:color="auto"/>
            <w:left w:val="none" w:sz="0" w:space="0" w:color="auto"/>
            <w:bottom w:val="none" w:sz="0" w:space="0" w:color="auto"/>
            <w:right w:val="none" w:sz="0" w:space="0" w:color="auto"/>
          </w:divBdr>
        </w:div>
        <w:div w:id="836189429">
          <w:marLeft w:val="480"/>
          <w:marRight w:val="0"/>
          <w:marTop w:val="0"/>
          <w:marBottom w:val="0"/>
          <w:divBdr>
            <w:top w:val="none" w:sz="0" w:space="0" w:color="auto"/>
            <w:left w:val="none" w:sz="0" w:space="0" w:color="auto"/>
            <w:bottom w:val="none" w:sz="0" w:space="0" w:color="auto"/>
            <w:right w:val="none" w:sz="0" w:space="0" w:color="auto"/>
          </w:divBdr>
        </w:div>
        <w:div w:id="654796924">
          <w:marLeft w:val="480"/>
          <w:marRight w:val="0"/>
          <w:marTop w:val="0"/>
          <w:marBottom w:val="0"/>
          <w:divBdr>
            <w:top w:val="none" w:sz="0" w:space="0" w:color="auto"/>
            <w:left w:val="none" w:sz="0" w:space="0" w:color="auto"/>
            <w:bottom w:val="none" w:sz="0" w:space="0" w:color="auto"/>
            <w:right w:val="none" w:sz="0" w:space="0" w:color="auto"/>
          </w:divBdr>
        </w:div>
        <w:div w:id="39059625">
          <w:marLeft w:val="480"/>
          <w:marRight w:val="0"/>
          <w:marTop w:val="0"/>
          <w:marBottom w:val="0"/>
          <w:divBdr>
            <w:top w:val="none" w:sz="0" w:space="0" w:color="auto"/>
            <w:left w:val="none" w:sz="0" w:space="0" w:color="auto"/>
            <w:bottom w:val="none" w:sz="0" w:space="0" w:color="auto"/>
            <w:right w:val="none" w:sz="0" w:space="0" w:color="auto"/>
          </w:divBdr>
        </w:div>
        <w:div w:id="1390957468">
          <w:marLeft w:val="480"/>
          <w:marRight w:val="0"/>
          <w:marTop w:val="0"/>
          <w:marBottom w:val="0"/>
          <w:divBdr>
            <w:top w:val="none" w:sz="0" w:space="0" w:color="auto"/>
            <w:left w:val="none" w:sz="0" w:space="0" w:color="auto"/>
            <w:bottom w:val="none" w:sz="0" w:space="0" w:color="auto"/>
            <w:right w:val="none" w:sz="0" w:space="0" w:color="auto"/>
          </w:divBdr>
        </w:div>
        <w:div w:id="465195887">
          <w:marLeft w:val="480"/>
          <w:marRight w:val="0"/>
          <w:marTop w:val="0"/>
          <w:marBottom w:val="0"/>
          <w:divBdr>
            <w:top w:val="none" w:sz="0" w:space="0" w:color="auto"/>
            <w:left w:val="none" w:sz="0" w:space="0" w:color="auto"/>
            <w:bottom w:val="none" w:sz="0" w:space="0" w:color="auto"/>
            <w:right w:val="none" w:sz="0" w:space="0" w:color="auto"/>
          </w:divBdr>
        </w:div>
        <w:div w:id="1638294748">
          <w:marLeft w:val="480"/>
          <w:marRight w:val="0"/>
          <w:marTop w:val="0"/>
          <w:marBottom w:val="0"/>
          <w:divBdr>
            <w:top w:val="none" w:sz="0" w:space="0" w:color="auto"/>
            <w:left w:val="none" w:sz="0" w:space="0" w:color="auto"/>
            <w:bottom w:val="none" w:sz="0" w:space="0" w:color="auto"/>
            <w:right w:val="none" w:sz="0" w:space="0" w:color="auto"/>
          </w:divBdr>
        </w:div>
        <w:div w:id="2117091252">
          <w:marLeft w:val="480"/>
          <w:marRight w:val="0"/>
          <w:marTop w:val="0"/>
          <w:marBottom w:val="0"/>
          <w:divBdr>
            <w:top w:val="none" w:sz="0" w:space="0" w:color="auto"/>
            <w:left w:val="none" w:sz="0" w:space="0" w:color="auto"/>
            <w:bottom w:val="none" w:sz="0" w:space="0" w:color="auto"/>
            <w:right w:val="none" w:sz="0" w:space="0" w:color="auto"/>
          </w:divBdr>
        </w:div>
        <w:div w:id="1996378311">
          <w:marLeft w:val="480"/>
          <w:marRight w:val="0"/>
          <w:marTop w:val="0"/>
          <w:marBottom w:val="0"/>
          <w:divBdr>
            <w:top w:val="none" w:sz="0" w:space="0" w:color="auto"/>
            <w:left w:val="none" w:sz="0" w:space="0" w:color="auto"/>
            <w:bottom w:val="none" w:sz="0" w:space="0" w:color="auto"/>
            <w:right w:val="none" w:sz="0" w:space="0" w:color="auto"/>
          </w:divBdr>
        </w:div>
        <w:div w:id="204870895">
          <w:marLeft w:val="480"/>
          <w:marRight w:val="0"/>
          <w:marTop w:val="0"/>
          <w:marBottom w:val="0"/>
          <w:divBdr>
            <w:top w:val="none" w:sz="0" w:space="0" w:color="auto"/>
            <w:left w:val="none" w:sz="0" w:space="0" w:color="auto"/>
            <w:bottom w:val="none" w:sz="0" w:space="0" w:color="auto"/>
            <w:right w:val="none" w:sz="0" w:space="0" w:color="auto"/>
          </w:divBdr>
        </w:div>
        <w:div w:id="283771191">
          <w:marLeft w:val="480"/>
          <w:marRight w:val="0"/>
          <w:marTop w:val="0"/>
          <w:marBottom w:val="0"/>
          <w:divBdr>
            <w:top w:val="none" w:sz="0" w:space="0" w:color="auto"/>
            <w:left w:val="none" w:sz="0" w:space="0" w:color="auto"/>
            <w:bottom w:val="none" w:sz="0" w:space="0" w:color="auto"/>
            <w:right w:val="none" w:sz="0" w:space="0" w:color="auto"/>
          </w:divBdr>
        </w:div>
        <w:div w:id="500896468">
          <w:marLeft w:val="480"/>
          <w:marRight w:val="0"/>
          <w:marTop w:val="0"/>
          <w:marBottom w:val="0"/>
          <w:divBdr>
            <w:top w:val="none" w:sz="0" w:space="0" w:color="auto"/>
            <w:left w:val="none" w:sz="0" w:space="0" w:color="auto"/>
            <w:bottom w:val="none" w:sz="0" w:space="0" w:color="auto"/>
            <w:right w:val="none" w:sz="0" w:space="0" w:color="auto"/>
          </w:divBdr>
        </w:div>
        <w:div w:id="1768694711">
          <w:marLeft w:val="480"/>
          <w:marRight w:val="0"/>
          <w:marTop w:val="0"/>
          <w:marBottom w:val="0"/>
          <w:divBdr>
            <w:top w:val="none" w:sz="0" w:space="0" w:color="auto"/>
            <w:left w:val="none" w:sz="0" w:space="0" w:color="auto"/>
            <w:bottom w:val="none" w:sz="0" w:space="0" w:color="auto"/>
            <w:right w:val="none" w:sz="0" w:space="0" w:color="auto"/>
          </w:divBdr>
        </w:div>
        <w:div w:id="795371310">
          <w:marLeft w:val="480"/>
          <w:marRight w:val="0"/>
          <w:marTop w:val="0"/>
          <w:marBottom w:val="0"/>
          <w:divBdr>
            <w:top w:val="none" w:sz="0" w:space="0" w:color="auto"/>
            <w:left w:val="none" w:sz="0" w:space="0" w:color="auto"/>
            <w:bottom w:val="none" w:sz="0" w:space="0" w:color="auto"/>
            <w:right w:val="none" w:sz="0" w:space="0" w:color="auto"/>
          </w:divBdr>
        </w:div>
        <w:div w:id="2081562299">
          <w:marLeft w:val="480"/>
          <w:marRight w:val="0"/>
          <w:marTop w:val="0"/>
          <w:marBottom w:val="0"/>
          <w:divBdr>
            <w:top w:val="none" w:sz="0" w:space="0" w:color="auto"/>
            <w:left w:val="none" w:sz="0" w:space="0" w:color="auto"/>
            <w:bottom w:val="none" w:sz="0" w:space="0" w:color="auto"/>
            <w:right w:val="none" w:sz="0" w:space="0" w:color="auto"/>
          </w:divBdr>
        </w:div>
        <w:div w:id="2098550627">
          <w:marLeft w:val="480"/>
          <w:marRight w:val="0"/>
          <w:marTop w:val="0"/>
          <w:marBottom w:val="0"/>
          <w:divBdr>
            <w:top w:val="none" w:sz="0" w:space="0" w:color="auto"/>
            <w:left w:val="none" w:sz="0" w:space="0" w:color="auto"/>
            <w:bottom w:val="none" w:sz="0" w:space="0" w:color="auto"/>
            <w:right w:val="none" w:sz="0" w:space="0" w:color="auto"/>
          </w:divBdr>
        </w:div>
        <w:div w:id="11496616">
          <w:marLeft w:val="480"/>
          <w:marRight w:val="0"/>
          <w:marTop w:val="0"/>
          <w:marBottom w:val="0"/>
          <w:divBdr>
            <w:top w:val="none" w:sz="0" w:space="0" w:color="auto"/>
            <w:left w:val="none" w:sz="0" w:space="0" w:color="auto"/>
            <w:bottom w:val="none" w:sz="0" w:space="0" w:color="auto"/>
            <w:right w:val="none" w:sz="0" w:space="0" w:color="auto"/>
          </w:divBdr>
        </w:div>
      </w:divsChild>
    </w:div>
    <w:div w:id="210844717">
      <w:bodyDiv w:val="1"/>
      <w:marLeft w:val="0"/>
      <w:marRight w:val="0"/>
      <w:marTop w:val="0"/>
      <w:marBottom w:val="0"/>
      <w:divBdr>
        <w:top w:val="none" w:sz="0" w:space="0" w:color="auto"/>
        <w:left w:val="none" w:sz="0" w:space="0" w:color="auto"/>
        <w:bottom w:val="none" w:sz="0" w:space="0" w:color="auto"/>
        <w:right w:val="none" w:sz="0" w:space="0" w:color="auto"/>
      </w:divBdr>
    </w:div>
    <w:div w:id="210967297">
      <w:bodyDiv w:val="1"/>
      <w:marLeft w:val="0"/>
      <w:marRight w:val="0"/>
      <w:marTop w:val="0"/>
      <w:marBottom w:val="0"/>
      <w:divBdr>
        <w:top w:val="none" w:sz="0" w:space="0" w:color="auto"/>
        <w:left w:val="none" w:sz="0" w:space="0" w:color="auto"/>
        <w:bottom w:val="none" w:sz="0" w:space="0" w:color="auto"/>
        <w:right w:val="none" w:sz="0" w:space="0" w:color="auto"/>
      </w:divBdr>
      <w:divsChild>
        <w:div w:id="283194362">
          <w:marLeft w:val="480"/>
          <w:marRight w:val="0"/>
          <w:marTop w:val="0"/>
          <w:marBottom w:val="0"/>
          <w:divBdr>
            <w:top w:val="none" w:sz="0" w:space="0" w:color="auto"/>
            <w:left w:val="none" w:sz="0" w:space="0" w:color="auto"/>
            <w:bottom w:val="none" w:sz="0" w:space="0" w:color="auto"/>
            <w:right w:val="none" w:sz="0" w:space="0" w:color="auto"/>
          </w:divBdr>
        </w:div>
        <w:div w:id="285234432">
          <w:marLeft w:val="480"/>
          <w:marRight w:val="0"/>
          <w:marTop w:val="0"/>
          <w:marBottom w:val="0"/>
          <w:divBdr>
            <w:top w:val="none" w:sz="0" w:space="0" w:color="auto"/>
            <w:left w:val="none" w:sz="0" w:space="0" w:color="auto"/>
            <w:bottom w:val="none" w:sz="0" w:space="0" w:color="auto"/>
            <w:right w:val="none" w:sz="0" w:space="0" w:color="auto"/>
          </w:divBdr>
        </w:div>
        <w:div w:id="117652838">
          <w:marLeft w:val="480"/>
          <w:marRight w:val="0"/>
          <w:marTop w:val="0"/>
          <w:marBottom w:val="0"/>
          <w:divBdr>
            <w:top w:val="none" w:sz="0" w:space="0" w:color="auto"/>
            <w:left w:val="none" w:sz="0" w:space="0" w:color="auto"/>
            <w:bottom w:val="none" w:sz="0" w:space="0" w:color="auto"/>
            <w:right w:val="none" w:sz="0" w:space="0" w:color="auto"/>
          </w:divBdr>
        </w:div>
        <w:div w:id="196546463">
          <w:marLeft w:val="480"/>
          <w:marRight w:val="0"/>
          <w:marTop w:val="0"/>
          <w:marBottom w:val="0"/>
          <w:divBdr>
            <w:top w:val="none" w:sz="0" w:space="0" w:color="auto"/>
            <w:left w:val="none" w:sz="0" w:space="0" w:color="auto"/>
            <w:bottom w:val="none" w:sz="0" w:space="0" w:color="auto"/>
            <w:right w:val="none" w:sz="0" w:space="0" w:color="auto"/>
          </w:divBdr>
        </w:div>
        <w:div w:id="1340619197">
          <w:marLeft w:val="480"/>
          <w:marRight w:val="0"/>
          <w:marTop w:val="0"/>
          <w:marBottom w:val="0"/>
          <w:divBdr>
            <w:top w:val="none" w:sz="0" w:space="0" w:color="auto"/>
            <w:left w:val="none" w:sz="0" w:space="0" w:color="auto"/>
            <w:bottom w:val="none" w:sz="0" w:space="0" w:color="auto"/>
            <w:right w:val="none" w:sz="0" w:space="0" w:color="auto"/>
          </w:divBdr>
        </w:div>
        <w:div w:id="857426932">
          <w:marLeft w:val="480"/>
          <w:marRight w:val="0"/>
          <w:marTop w:val="0"/>
          <w:marBottom w:val="0"/>
          <w:divBdr>
            <w:top w:val="none" w:sz="0" w:space="0" w:color="auto"/>
            <w:left w:val="none" w:sz="0" w:space="0" w:color="auto"/>
            <w:bottom w:val="none" w:sz="0" w:space="0" w:color="auto"/>
            <w:right w:val="none" w:sz="0" w:space="0" w:color="auto"/>
          </w:divBdr>
        </w:div>
        <w:div w:id="1552813854">
          <w:marLeft w:val="480"/>
          <w:marRight w:val="0"/>
          <w:marTop w:val="0"/>
          <w:marBottom w:val="0"/>
          <w:divBdr>
            <w:top w:val="none" w:sz="0" w:space="0" w:color="auto"/>
            <w:left w:val="none" w:sz="0" w:space="0" w:color="auto"/>
            <w:bottom w:val="none" w:sz="0" w:space="0" w:color="auto"/>
            <w:right w:val="none" w:sz="0" w:space="0" w:color="auto"/>
          </w:divBdr>
        </w:div>
        <w:div w:id="1858808678">
          <w:marLeft w:val="480"/>
          <w:marRight w:val="0"/>
          <w:marTop w:val="0"/>
          <w:marBottom w:val="0"/>
          <w:divBdr>
            <w:top w:val="none" w:sz="0" w:space="0" w:color="auto"/>
            <w:left w:val="none" w:sz="0" w:space="0" w:color="auto"/>
            <w:bottom w:val="none" w:sz="0" w:space="0" w:color="auto"/>
            <w:right w:val="none" w:sz="0" w:space="0" w:color="auto"/>
          </w:divBdr>
        </w:div>
        <w:div w:id="100416867">
          <w:marLeft w:val="480"/>
          <w:marRight w:val="0"/>
          <w:marTop w:val="0"/>
          <w:marBottom w:val="0"/>
          <w:divBdr>
            <w:top w:val="none" w:sz="0" w:space="0" w:color="auto"/>
            <w:left w:val="none" w:sz="0" w:space="0" w:color="auto"/>
            <w:bottom w:val="none" w:sz="0" w:space="0" w:color="auto"/>
            <w:right w:val="none" w:sz="0" w:space="0" w:color="auto"/>
          </w:divBdr>
        </w:div>
        <w:div w:id="715667737">
          <w:marLeft w:val="480"/>
          <w:marRight w:val="0"/>
          <w:marTop w:val="0"/>
          <w:marBottom w:val="0"/>
          <w:divBdr>
            <w:top w:val="none" w:sz="0" w:space="0" w:color="auto"/>
            <w:left w:val="none" w:sz="0" w:space="0" w:color="auto"/>
            <w:bottom w:val="none" w:sz="0" w:space="0" w:color="auto"/>
            <w:right w:val="none" w:sz="0" w:space="0" w:color="auto"/>
          </w:divBdr>
        </w:div>
        <w:div w:id="258755698">
          <w:marLeft w:val="480"/>
          <w:marRight w:val="0"/>
          <w:marTop w:val="0"/>
          <w:marBottom w:val="0"/>
          <w:divBdr>
            <w:top w:val="none" w:sz="0" w:space="0" w:color="auto"/>
            <w:left w:val="none" w:sz="0" w:space="0" w:color="auto"/>
            <w:bottom w:val="none" w:sz="0" w:space="0" w:color="auto"/>
            <w:right w:val="none" w:sz="0" w:space="0" w:color="auto"/>
          </w:divBdr>
        </w:div>
        <w:div w:id="1416128107">
          <w:marLeft w:val="480"/>
          <w:marRight w:val="0"/>
          <w:marTop w:val="0"/>
          <w:marBottom w:val="0"/>
          <w:divBdr>
            <w:top w:val="none" w:sz="0" w:space="0" w:color="auto"/>
            <w:left w:val="none" w:sz="0" w:space="0" w:color="auto"/>
            <w:bottom w:val="none" w:sz="0" w:space="0" w:color="auto"/>
            <w:right w:val="none" w:sz="0" w:space="0" w:color="auto"/>
          </w:divBdr>
        </w:div>
        <w:div w:id="955599890">
          <w:marLeft w:val="480"/>
          <w:marRight w:val="0"/>
          <w:marTop w:val="0"/>
          <w:marBottom w:val="0"/>
          <w:divBdr>
            <w:top w:val="none" w:sz="0" w:space="0" w:color="auto"/>
            <w:left w:val="none" w:sz="0" w:space="0" w:color="auto"/>
            <w:bottom w:val="none" w:sz="0" w:space="0" w:color="auto"/>
            <w:right w:val="none" w:sz="0" w:space="0" w:color="auto"/>
          </w:divBdr>
        </w:div>
        <w:div w:id="1813213077">
          <w:marLeft w:val="480"/>
          <w:marRight w:val="0"/>
          <w:marTop w:val="0"/>
          <w:marBottom w:val="0"/>
          <w:divBdr>
            <w:top w:val="none" w:sz="0" w:space="0" w:color="auto"/>
            <w:left w:val="none" w:sz="0" w:space="0" w:color="auto"/>
            <w:bottom w:val="none" w:sz="0" w:space="0" w:color="auto"/>
            <w:right w:val="none" w:sz="0" w:space="0" w:color="auto"/>
          </w:divBdr>
        </w:div>
        <w:div w:id="1282152382">
          <w:marLeft w:val="480"/>
          <w:marRight w:val="0"/>
          <w:marTop w:val="0"/>
          <w:marBottom w:val="0"/>
          <w:divBdr>
            <w:top w:val="none" w:sz="0" w:space="0" w:color="auto"/>
            <w:left w:val="none" w:sz="0" w:space="0" w:color="auto"/>
            <w:bottom w:val="none" w:sz="0" w:space="0" w:color="auto"/>
            <w:right w:val="none" w:sz="0" w:space="0" w:color="auto"/>
          </w:divBdr>
        </w:div>
        <w:div w:id="1752970446">
          <w:marLeft w:val="480"/>
          <w:marRight w:val="0"/>
          <w:marTop w:val="0"/>
          <w:marBottom w:val="0"/>
          <w:divBdr>
            <w:top w:val="none" w:sz="0" w:space="0" w:color="auto"/>
            <w:left w:val="none" w:sz="0" w:space="0" w:color="auto"/>
            <w:bottom w:val="none" w:sz="0" w:space="0" w:color="auto"/>
            <w:right w:val="none" w:sz="0" w:space="0" w:color="auto"/>
          </w:divBdr>
        </w:div>
        <w:div w:id="1421104423">
          <w:marLeft w:val="480"/>
          <w:marRight w:val="0"/>
          <w:marTop w:val="0"/>
          <w:marBottom w:val="0"/>
          <w:divBdr>
            <w:top w:val="none" w:sz="0" w:space="0" w:color="auto"/>
            <w:left w:val="none" w:sz="0" w:space="0" w:color="auto"/>
            <w:bottom w:val="none" w:sz="0" w:space="0" w:color="auto"/>
            <w:right w:val="none" w:sz="0" w:space="0" w:color="auto"/>
          </w:divBdr>
        </w:div>
        <w:div w:id="1780638650">
          <w:marLeft w:val="480"/>
          <w:marRight w:val="0"/>
          <w:marTop w:val="0"/>
          <w:marBottom w:val="0"/>
          <w:divBdr>
            <w:top w:val="none" w:sz="0" w:space="0" w:color="auto"/>
            <w:left w:val="none" w:sz="0" w:space="0" w:color="auto"/>
            <w:bottom w:val="none" w:sz="0" w:space="0" w:color="auto"/>
            <w:right w:val="none" w:sz="0" w:space="0" w:color="auto"/>
          </w:divBdr>
        </w:div>
        <w:div w:id="2112118310">
          <w:marLeft w:val="480"/>
          <w:marRight w:val="0"/>
          <w:marTop w:val="0"/>
          <w:marBottom w:val="0"/>
          <w:divBdr>
            <w:top w:val="none" w:sz="0" w:space="0" w:color="auto"/>
            <w:left w:val="none" w:sz="0" w:space="0" w:color="auto"/>
            <w:bottom w:val="none" w:sz="0" w:space="0" w:color="auto"/>
            <w:right w:val="none" w:sz="0" w:space="0" w:color="auto"/>
          </w:divBdr>
        </w:div>
        <w:div w:id="107555373">
          <w:marLeft w:val="480"/>
          <w:marRight w:val="0"/>
          <w:marTop w:val="0"/>
          <w:marBottom w:val="0"/>
          <w:divBdr>
            <w:top w:val="none" w:sz="0" w:space="0" w:color="auto"/>
            <w:left w:val="none" w:sz="0" w:space="0" w:color="auto"/>
            <w:bottom w:val="none" w:sz="0" w:space="0" w:color="auto"/>
            <w:right w:val="none" w:sz="0" w:space="0" w:color="auto"/>
          </w:divBdr>
        </w:div>
        <w:div w:id="212892054">
          <w:marLeft w:val="480"/>
          <w:marRight w:val="0"/>
          <w:marTop w:val="0"/>
          <w:marBottom w:val="0"/>
          <w:divBdr>
            <w:top w:val="none" w:sz="0" w:space="0" w:color="auto"/>
            <w:left w:val="none" w:sz="0" w:space="0" w:color="auto"/>
            <w:bottom w:val="none" w:sz="0" w:space="0" w:color="auto"/>
            <w:right w:val="none" w:sz="0" w:space="0" w:color="auto"/>
          </w:divBdr>
        </w:div>
        <w:div w:id="758991246">
          <w:marLeft w:val="480"/>
          <w:marRight w:val="0"/>
          <w:marTop w:val="0"/>
          <w:marBottom w:val="0"/>
          <w:divBdr>
            <w:top w:val="none" w:sz="0" w:space="0" w:color="auto"/>
            <w:left w:val="none" w:sz="0" w:space="0" w:color="auto"/>
            <w:bottom w:val="none" w:sz="0" w:space="0" w:color="auto"/>
            <w:right w:val="none" w:sz="0" w:space="0" w:color="auto"/>
          </w:divBdr>
        </w:div>
        <w:div w:id="1483042884">
          <w:marLeft w:val="480"/>
          <w:marRight w:val="0"/>
          <w:marTop w:val="0"/>
          <w:marBottom w:val="0"/>
          <w:divBdr>
            <w:top w:val="none" w:sz="0" w:space="0" w:color="auto"/>
            <w:left w:val="none" w:sz="0" w:space="0" w:color="auto"/>
            <w:bottom w:val="none" w:sz="0" w:space="0" w:color="auto"/>
            <w:right w:val="none" w:sz="0" w:space="0" w:color="auto"/>
          </w:divBdr>
        </w:div>
      </w:divsChild>
    </w:div>
    <w:div w:id="241108731">
      <w:bodyDiv w:val="1"/>
      <w:marLeft w:val="0"/>
      <w:marRight w:val="0"/>
      <w:marTop w:val="0"/>
      <w:marBottom w:val="0"/>
      <w:divBdr>
        <w:top w:val="none" w:sz="0" w:space="0" w:color="auto"/>
        <w:left w:val="none" w:sz="0" w:space="0" w:color="auto"/>
        <w:bottom w:val="none" w:sz="0" w:space="0" w:color="auto"/>
        <w:right w:val="none" w:sz="0" w:space="0" w:color="auto"/>
      </w:divBdr>
    </w:div>
    <w:div w:id="315837831">
      <w:bodyDiv w:val="1"/>
      <w:marLeft w:val="0"/>
      <w:marRight w:val="0"/>
      <w:marTop w:val="0"/>
      <w:marBottom w:val="0"/>
      <w:divBdr>
        <w:top w:val="none" w:sz="0" w:space="0" w:color="auto"/>
        <w:left w:val="none" w:sz="0" w:space="0" w:color="auto"/>
        <w:bottom w:val="none" w:sz="0" w:space="0" w:color="auto"/>
        <w:right w:val="none" w:sz="0" w:space="0" w:color="auto"/>
      </w:divBdr>
    </w:div>
    <w:div w:id="345134175">
      <w:bodyDiv w:val="1"/>
      <w:marLeft w:val="0"/>
      <w:marRight w:val="0"/>
      <w:marTop w:val="0"/>
      <w:marBottom w:val="0"/>
      <w:divBdr>
        <w:top w:val="none" w:sz="0" w:space="0" w:color="auto"/>
        <w:left w:val="none" w:sz="0" w:space="0" w:color="auto"/>
        <w:bottom w:val="none" w:sz="0" w:space="0" w:color="auto"/>
        <w:right w:val="none" w:sz="0" w:space="0" w:color="auto"/>
      </w:divBdr>
    </w:div>
    <w:div w:id="531841808">
      <w:bodyDiv w:val="1"/>
      <w:marLeft w:val="0"/>
      <w:marRight w:val="0"/>
      <w:marTop w:val="0"/>
      <w:marBottom w:val="0"/>
      <w:divBdr>
        <w:top w:val="none" w:sz="0" w:space="0" w:color="auto"/>
        <w:left w:val="none" w:sz="0" w:space="0" w:color="auto"/>
        <w:bottom w:val="none" w:sz="0" w:space="0" w:color="auto"/>
        <w:right w:val="none" w:sz="0" w:space="0" w:color="auto"/>
      </w:divBdr>
    </w:div>
    <w:div w:id="563679543">
      <w:bodyDiv w:val="1"/>
      <w:marLeft w:val="0"/>
      <w:marRight w:val="0"/>
      <w:marTop w:val="0"/>
      <w:marBottom w:val="0"/>
      <w:divBdr>
        <w:top w:val="none" w:sz="0" w:space="0" w:color="auto"/>
        <w:left w:val="none" w:sz="0" w:space="0" w:color="auto"/>
        <w:bottom w:val="none" w:sz="0" w:space="0" w:color="auto"/>
        <w:right w:val="none" w:sz="0" w:space="0" w:color="auto"/>
      </w:divBdr>
    </w:div>
    <w:div w:id="704406528">
      <w:bodyDiv w:val="1"/>
      <w:marLeft w:val="0"/>
      <w:marRight w:val="0"/>
      <w:marTop w:val="0"/>
      <w:marBottom w:val="0"/>
      <w:divBdr>
        <w:top w:val="none" w:sz="0" w:space="0" w:color="auto"/>
        <w:left w:val="none" w:sz="0" w:space="0" w:color="auto"/>
        <w:bottom w:val="none" w:sz="0" w:space="0" w:color="auto"/>
        <w:right w:val="none" w:sz="0" w:space="0" w:color="auto"/>
      </w:divBdr>
    </w:div>
    <w:div w:id="732697587">
      <w:bodyDiv w:val="1"/>
      <w:marLeft w:val="0"/>
      <w:marRight w:val="0"/>
      <w:marTop w:val="0"/>
      <w:marBottom w:val="0"/>
      <w:divBdr>
        <w:top w:val="none" w:sz="0" w:space="0" w:color="auto"/>
        <w:left w:val="none" w:sz="0" w:space="0" w:color="auto"/>
        <w:bottom w:val="none" w:sz="0" w:space="0" w:color="auto"/>
        <w:right w:val="none" w:sz="0" w:space="0" w:color="auto"/>
      </w:divBdr>
    </w:div>
    <w:div w:id="735131284">
      <w:bodyDiv w:val="1"/>
      <w:marLeft w:val="0"/>
      <w:marRight w:val="0"/>
      <w:marTop w:val="0"/>
      <w:marBottom w:val="0"/>
      <w:divBdr>
        <w:top w:val="none" w:sz="0" w:space="0" w:color="auto"/>
        <w:left w:val="none" w:sz="0" w:space="0" w:color="auto"/>
        <w:bottom w:val="none" w:sz="0" w:space="0" w:color="auto"/>
        <w:right w:val="none" w:sz="0" w:space="0" w:color="auto"/>
      </w:divBdr>
      <w:divsChild>
        <w:div w:id="264851785">
          <w:marLeft w:val="480"/>
          <w:marRight w:val="0"/>
          <w:marTop w:val="0"/>
          <w:marBottom w:val="0"/>
          <w:divBdr>
            <w:top w:val="none" w:sz="0" w:space="0" w:color="auto"/>
            <w:left w:val="none" w:sz="0" w:space="0" w:color="auto"/>
            <w:bottom w:val="none" w:sz="0" w:space="0" w:color="auto"/>
            <w:right w:val="none" w:sz="0" w:space="0" w:color="auto"/>
          </w:divBdr>
        </w:div>
        <w:div w:id="2104840752">
          <w:marLeft w:val="480"/>
          <w:marRight w:val="0"/>
          <w:marTop w:val="0"/>
          <w:marBottom w:val="0"/>
          <w:divBdr>
            <w:top w:val="none" w:sz="0" w:space="0" w:color="auto"/>
            <w:left w:val="none" w:sz="0" w:space="0" w:color="auto"/>
            <w:bottom w:val="none" w:sz="0" w:space="0" w:color="auto"/>
            <w:right w:val="none" w:sz="0" w:space="0" w:color="auto"/>
          </w:divBdr>
        </w:div>
        <w:div w:id="705374721">
          <w:marLeft w:val="480"/>
          <w:marRight w:val="0"/>
          <w:marTop w:val="0"/>
          <w:marBottom w:val="0"/>
          <w:divBdr>
            <w:top w:val="none" w:sz="0" w:space="0" w:color="auto"/>
            <w:left w:val="none" w:sz="0" w:space="0" w:color="auto"/>
            <w:bottom w:val="none" w:sz="0" w:space="0" w:color="auto"/>
            <w:right w:val="none" w:sz="0" w:space="0" w:color="auto"/>
          </w:divBdr>
        </w:div>
        <w:div w:id="1900675129">
          <w:marLeft w:val="480"/>
          <w:marRight w:val="0"/>
          <w:marTop w:val="0"/>
          <w:marBottom w:val="0"/>
          <w:divBdr>
            <w:top w:val="none" w:sz="0" w:space="0" w:color="auto"/>
            <w:left w:val="none" w:sz="0" w:space="0" w:color="auto"/>
            <w:bottom w:val="none" w:sz="0" w:space="0" w:color="auto"/>
            <w:right w:val="none" w:sz="0" w:space="0" w:color="auto"/>
          </w:divBdr>
        </w:div>
        <w:div w:id="18089174">
          <w:marLeft w:val="480"/>
          <w:marRight w:val="0"/>
          <w:marTop w:val="0"/>
          <w:marBottom w:val="0"/>
          <w:divBdr>
            <w:top w:val="none" w:sz="0" w:space="0" w:color="auto"/>
            <w:left w:val="none" w:sz="0" w:space="0" w:color="auto"/>
            <w:bottom w:val="none" w:sz="0" w:space="0" w:color="auto"/>
            <w:right w:val="none" w:sz="0" w:space="0" w:color="auto"/>
          </w:divBdr>
        </w:div>
        <w:div w:id="293144887">
          <w:marLeft w:val="480"/>
          <w:marRight w:val="0"/>
          <w:marTop w:val="0"/>
          <w:marBottom w:val="0"/>
          <w:divBdr>
            <w:top w:val="none" w:sz="0" w:space="0" w:color="auto"/>
            <w:left w:val="none" w:sz="0" w:space="0" w:color="auto"/>
            <w:bottom w:val="none" w:sz="0" w:space="0" w:color="auto"/>
            <w:right w:val="none" w:sz="0" w:space="0" w:color="auto"/>
          </w:divBdr>
        </w:div>
        <w:div w:id="65153672">
          <w:marLeft w:val="480"/>
          <w:marRight w:val="0"/>
          <w:marTop w:val="0"/>
          <w:marBottom w:val="0"/>
          <w:divBdr>
            <w:top w:val="none" w:sz="0" w:space="0" w:color="auto"/>
            <w:left w:val="none" w:sz="0" w:space="0" w:color="auto"/>
            <w:bottom w:val="none" w:sz="0" w:space="0" w:color="auto"/>
            <w:right w:val="none" w:sz="0" w:space="0" w:color="auto"/>
          </w:divBdr>
        </w:div>
        <w:div w:id="1201435641">
          <w:marLeft w:val="480"/>
          <w:marRight w:val="0"/>
          <w:marTop w:val="0"/>
          <w:marBottom w:val="0"/>
          <w:divBdr>
            <w:top w:val="none" w:sz="0" w:space="0" w:color="auto"/>
            <w:left w:val="none" w:sz="0" w:space="0" w:color="auto"/>
            <w:bottom w:val="none" w:sz="0" w:space="0" w:color="auto"/>
            <w:right w:val="none" w:sz="0" w:space="0" w:color="auto"/>
          </w:divBdr>
        </w:div>
        <w:div w:id="1053306141">
          <w:marLeft w:val="480"/>
          <w:marRight w:val="0"/>
          <w:marTop w:val="0"/>
          <w:marBottom w:val="0"/>
          <w:divBdr>
            <w:top w:val="none" w:sz="0" w:space="0" w:color="auto"/>
            <w:left w:val="none" w:sz="0" w:space="0" w:color="auto"/>
            <w:bottom w:val="none" w:sz="0" w:space="0" w:color="auto"/>
            <w:right w:val="none" w:sz="0" w:space="0" w:color="auto"/>
          </w:divBdr>
        </w:div>
        <w:div w:id="1389576344">
          <w:marLeft w:val="480"/>
          <w:marRight w:val="0"/>
          <w:marTop w:val="0"/>
          <w:marBottom w:val="0"/>
          <w:divBdr>
            <w:top w:val="none" w:sz="0" w:space="0" w:color="auto"/>
            <w:left w:val="none" w:sz="0" w:space="0" w:color="auto"/>
            <w:bottom w:val="none" w:sz="0" w:space="0" w:color="auto"/>
            <w:right w:val="none" w:sz="0" w:space="0" w:color="auto"/>
          </w:divBdr>
        </w:div>
        <w:div w:id="628895889">
          <w:marLeft w:val="480"/>
          <w:marRight w:val="0"/>
          <w:marTop w:val="0"/>
          <w:marBottom w:val="0"/>
          <w:divBdr>
            <w:top w:val="none" w:sz="0" w:space="0" w:color="auto"/>
            <w:left w:val="none" w:sz="0" w:space="0" w:color="auto"/>
            <w:bottom w:val="none" w:sz="0" w:space="0" w:color="auto"/>
            <w:right w:val="none" w:sz="0" w:space="0" w:color="auto"/>
          </w:divBdr>
        </w:div>
        <w:div w:id="1039663644">
          <w:marLeft w:val="480"/>
          <w:marRight w:val="0"/>
          <w:marTop w:val="0"/>
          <w:marBottom w:val="0"/>
          <w:divBdr>
            <w:top w:val="none" w:sz="0" w:space="0" w:color="auto"/>
            <w:left w:val="none" w:sz="0" w:space="0" w:color="auto"/>
            <w:bottom w:val="none" w:sz="0" w:space="0" w:color="auto"/>
            <w:right w:val="none" w:sz="0" w:space="0" w:color="auto"/>
          </w:divBdr>
        </w:div>
        <w:div w:id="2053848554">
          <w:marLeft w:val="480"/>
          <w:marRight w:val="0"/>
          <w:marTop w:val="0"/>
          <w:marBottom w:val="0"/>
          <w:divBdr>
            <w:top w:val="none" w:sz="0" w:space="0" w:color="auto"/>
            <w:left w:val="none" w:sz="0" w:space="0" w:color="auto"/>
            <w:bottom w:val="none" w:sz="0" w:space="0" w:color="auto"/>
            <w:right w:val="none" w:sz="0" w:space="0" w:color="auto"/>
          </w:divBdr>
        </w:div>
        <w:div w:id="1466585654">
          <w:marLeft w:val="480"/>
          <w:marRight w:val="0"/>
          <w:marTop w:val="0"/>
          <w:marBottom w:val="0"/>
          <w:divBdr>
            <w:top w:val="none" w:sz="0" w:space="0" w:color="auto"/>
            <w:left w:val="none" w:sz="0" w:space="0" w:color="auto"/>
            <w:bottom w:val="none" w:sz="0" w:space="0" w:color="auto"/>
            <w:right w:val="none" w:sz="0" w:space="0" w:color="auto"/>
          </w:divBdr>
        </w:div>
        <w:div w:id="261884021">
          <w:marLeft w:val="480"/>
          <w:marRight w:val="0"/>
          <w:marTop w:val="0"/>
          <w:marBottom w:val="0"/>
          <w:divBdr>
            <w:top w:val="none" w:sz="0" w:space="0" w:color="auto"/>
            <w:left w:val="none" w:sz="0" w:space="0" w:color="auto"/>
            <w:bottom w:val="none" w:sz="0" w:space="0" w:color="auto"/>
            <w:right w:val="none" w:sz="0" w:space="0" w:color="auto"/>
          </w:divBdr>
        </w:div>
        <w:div w:id="1764565497">
          <w:marLeft w:val="480"/>
          <w:marRight w:val="0"/>
          <w:marTop w:val="0"/>
          <w:marBottom w:val="0"/>
          <w:divBdr>
            <w:top w:val="none" w:sz="0" w:space="0" w:color="auto"/>
            <w:left w:val="none" w:sz="0" w:space="0" w:color="auto"/>
            <w:bottom w:val="none" w:sz="0" w:space="0" w:color="auto"/>
            <w:right w:val="none" w:sz="0" w:space="0" w:color="auto"/>
          </w:divBdr>
        </w:div>
        <w:div w:id="1912344313">
          <w:marLeft w:val="480"/>
          <w:marRight w:val="0"/>
          <w:marTop w:val="0"/>
          <w:marBottom w:val="0"/>
          <w:divBdr>
            <w:top w:val="none" w:sz="0" w:space="0" w:color="auto"/>
            <w:left w:val="none" w:sz="0" w:space="0" w:color="auto"/>
            <w:bottom w:val="none" w:sz="0" w:space="0" w:color="auto"/>
            <w:right w:val="none" w:sz="0" w:space="0" w:color="auto"/>
          </w:divBdr>
        </w:div>
        <w:div w:id="1694381395">
          <w:marLeft w:val="480"/>
          <w:marRight w:val="0"/>
          <w:marTop w:val="0"/>
          <w:marBottom w:val="0"/>
          <w:divBdr>
            <w:top w:val="none" w:sz="0" w:space="0" w:color="auto"/>
            <w:left w:val="none" w:sz="0" w:space="0" w:color="auto"/>
            <w:bottom w:val="none" w:sz="0" w:space="0" w:color="auto"/>
            <w:right w:val="none" w:sz="0" w:space="0" w:color="auto"/>
          </w:divBdr>
        </w:div>
        <w:div w:id="1245724939">
          <w:marLeft w:val="480"/>
          <w:marRight w:val="0"/>
          <w:marTop w:val="0"/>
          <w:marBottom w:val="0"/>
          <w:divBdr>
            <w:top w:val="none" w:sz="0" w:space="0" w:color="auto"/>
            <w:left w:val="none" w:sz="0" w:space="0" w:color="auto"/>
            <w:bottom w:val="none" w:sz="0" w:space="0" w:color="auto"/>
            <w:right w:val="none" w:sz="0" w:space="0" w:color="auto"/>
          </w:divBdr>
        </w:div>
        <w:div w:id="1801420048">
          <w:marLeft w:val="480"/>
          <w:marRight w:val="0"/>
          <w:marTop w:val="0"/>
          <w:marBottom w:val="0"/>
          <w:divBdr>
            <w:top w:val="none" w:sz="0" w:space="0" w:color="auto"/>
            <w:left w:val="none" w:sz="0" w:space="0" w:color="auto"/>
            <w:bottom w:val="none" w:sz="0" w:space="0" w:color="auto"/>
            <w:right w:val="none" w:sz="0" w:space="0" w:color="auto"/>
          </w:divBdr>
        </w:div>
        <w:div w:id="2143427803">
          <w:marLeft w:val="480"/>
          <w:marRight w:val="0"/>
          <w:marTop w:val="0"/>
          <w:marBottom w:val="0"/>
          <w:divBdr>
            <w:top w:val="none" w:sz="0" w:space="0" w:color="auto"/>
            <w:left w:val="none" w:sz="0" w:space="0" w:color="auto"/>
            <w:bottom w:val="none" w:sz="0" w:space="0" w:color="auto"/>
            <w:right w:val="none" w:sz="0" w:space="0" w:color="auto"/>
          </w:divBdr>
        </w:div>
        <w:div w:id="397047746">
          <w:marLeft w:val="480"/>
          <w:marRight w:val="0"/>
          <w:marTop w:val="0"/>
          <w:marBottom w:val="0"/>
          <w:divBdr>
            <w:top w:val="none" w:sz="0" w:space="0" w:color="auto"/>
            <w:left w:val="none" w:sz="0" w:space="0" w:color="auto"/>
            <w:bottom w:val="none" w:sz="0" w:space="0" w:color="auto"/>
            <w:right w:val="none" w:sz="0" w:space="0" w:color="auto"/>
          </w:divBdr>
        </w:div>
        <w:div w:id="1718965567">
          <w:marLeft w:val="480"/>
          <w:marRight w:val="0"/>
          <w:marTop w:val="0"/>
          <w:marBottom w:val="0"/>
          <w:divBdr>
            <w:top w:val="none" w:sz="0" w:space="0" w:color="auto"/>
            <w:left w:val="none" w:sz="0" w:space="0" w:color="auto"/>
            <w:bottom w:val="none" w:sz="0" w:space="0" w:color="auto"/>
            <w:right w:val="none" w:sz="0" w:space="0" w:color="auto"/>
          </w:divBdr>
        </w:div>
        <w:div w:id="24407593">
          <w:marLeft w:val="480"/>
          <w:marRight w:val="0"/>
          <w:marTop w:val="0"/>
          <w:marBottom w:val="0"/>
          <w:divBdr>
            <w:top w:val="none" w:sz="0" w:space="0" w:color="auto"/>
            <w:left w:val="none" w:sz="0" w:space="0" w:color="auto"/>
            <w:bottom w:val="none" w:sz="0" w:space="0" w:color="auto"/>
            <w:right w:val="none" w:sz="0" w:space="0" w:color="auto"/>
          </w:divBdr>
        </w:div>
        <w:div w:id="1331060390">
          <w:marLeft w:val="480"/>
          <w:marRight w:val="0"/>
          <w:marTop w:val="0"/>
          <w:marBottom w:val="0"/>
          <w:divBdr>
            <w:top w:val="none" w:sz="0" w:space="0" w:color="auto"/>
            <w:left w:val="none" w:sz="0" w:space="0" w:color="auto"/>
            <w:bottom w:val="none" w:sz="0" w:space="0" w:color="auto"/>
            <w:right w:val="none" w:sz="0" w:space="0" w:color="auto"/>
          </w:divBdr>
        </w:div>
      </w:divsChild>
    </w:div>
    <w:div w:id="761222003">
      <w:bodyDiv w:val="1"/>
      <w:marLeft w:val="0"/>
      <w:marRight w:val="0"/>
      <w:marTop w:val="0"/>
      <w:marBottom w:val="0"/>
      <w:divBdr>
        <w:top w:val="none" w:sz="0" w:space="0" w:color="auto"/>
        <w:left w:val="none" w:sz="0" w:space="0" w:color="auto"/>
        <w:bottom w:val="none" w:sz="0" w:space="0" w:color="auto"/>
        <w:right w:val="none" w:sz="0" w:space="0" w:color="auto"/>
      </w:divBdr>
      <w:divsChild>
        <w:div w:id="860439180">
          <w:marLeft w:val="480"/>
          <w:marRight w:val="0"/>
          <w:marTop w:val="0"/>
          <w:marBottom w:val="0"/>
          <w:divBdr>
            <w:top w:val="none" w:sz="0" w:space="0" w:color="auto"/>
            <w:left w:val="none" w:sz="0" w:space="0" w:color="auto"/>
            <w:bottom w:val="none" w:sz="0" w:space="0" w:color="auto"/>
            <w:right w:val="none" w:sz="0" w:space="0" w:color="auto"/>
          </w:divBdr>
        </w:div>
        <w:div w:id="422117620">
          <w:marLeft w:val="480"/>
          <w:marRight w:val="0"/>
          <w:marTop w:val="0"/>
          <w:marBottom w:val="0"/>
          <w:divBdr>
            <w:top w:val="none" w:sz="0" w:space="0" w:color="auto"/>
            <w:left w:val="none" w:sz="0" w:space="0" w:color="auto"/>
            <w:bottom w:val="none" w:sz="0" w:space="0" w:color="auto"/>
            <w:right w:val="none" w:sz="0" w:space="0" w:color="auto"/>
          </w:divBdr>
        </w:div>
        <w:div w:id="234971494">
          <w:marLeft w:val="480"/>
          <w:marRight w:val="0"/>
          <w:marTop w:val="0"/>
          <w:marBottom w:val="0"/>
          <w:divBdr>
            <w:top w:val="none" w:sz="0" w:space="0" w:color="auto"/>
            <w:left w:val="none" w:sz="0" w:space="0" w:color="auto"/>
            <w:bottom w:val="none" w:sz="0" w:space="0" w:color="auto"/>
            <w:right w:val="none" w:sz="0" w:space="0" w:color="auto"/>
          </w:divBdr>
        </w:div>
        <w:div w:id="702171093">
          <w:marLeft w:val="480"/>
          <w:marRight w:val="0"/>
          <w:marTop w:val="0"/>
          <w:marBottom w:val="0"/>
          <w:divBdr>
            <w:top w:val="none" w:sz="0" w:space="0" w:color="auto"/>
            <w:left w:val="none" w:sz="0" w:space="0" w:color="auto"/>
            <w:bottom w:val="none" w:sz="0" w:space="0" w:color="auto"/>
            <w:right w:val="none" w:sz="0" w:space="0" w:color="auto"/>
          </w:divBdr>
        </w:div>
        <w:div w:id="1614439734">
          <w:marLeft w:val="480"/>
          <w:marRight w:val="0"/>
          <w:marTop w:val="0"/>
          <w:marBottom w:val="0"/>
          <w:divBdr>
            <w:top w:val="none" w:sz="0" w:space="0" w:color="auto"/>
            <w:left w:val="none" w:sz="0" w:space="0" w:color="auto"/>
            <w:bottom w:val="none" w:sz="0" w:space="0" w:color="auto"/>
            <w:right w:val="none" w:sz="0" w:space="0" w:color="auto"/>
          </w:divBdr>
        </w:div>
        <w:div w:id="1977178715">
          <w:marLeft w:val="480"/>
          <w:marRight w:val="0"/>
          <w:marTop w:val="0"/>
          <w:marBottom w:val="0"/>
          <w:divBdr>
            <w:top w:val="none" w:sz="0" w:space="0" w:color="auto"/>
            <w:left w:val="none" w:sz="0" w:space="0" w:color="auto"/>
            <w:bottom w:val="none" w:sz="0" w:space="0" w:color="auto"/>
            <w:right w:val="none" w:sz="0" w:space="0" w:color="auto"/>
          </w:divBdr>
        </w:div>
        <w:div w:id="51924288">
          <w:marLeft w:val="480"/>
          <w:marRight w:val="0"/>
          <w:marTop w:val="0"/>
          <w:marBottom w:val="0"/>
          <w:divBdr>
            <w:top w:val="none" w:sz="0" w:space="0" w:color="auto"/>
            <w:left w:val="none" w:sz="0" w:space="0" w:color="auto"/>
            <w:bottom w:val="none" w:sz="0" w:space="0" w:color="auto"/>
            <w:right w:val="none" w:sz="0" w:space="0" w:color="auto"/>
          </w:divBdr>
        </w:div>
        <w:div w:id="831991108">
          <w:marLeft w:val="480"/>
          <w:marRight w:val="0"/>
          <w:marTop w:val="0"/>
          <w:marBottom w:val="0"/>
          <w:divBdr>
            <w:top w:val="none" w:sz="0" w:space="0" w:color="auto"/>
            <w:left w:val="none" w:sz="0" w:space="0" w:color="auto"/>
            <w:bottom w:val="none" w:sz="0" w:space="0" w:color="auto"/>
            <w:right w:val="none" w:sz="0" w:space="0" w:color="auto"/>
          </w:divBdr>
        </w:div>
        <w:div w:id="593711767">
          <w:marLeft w:val="480"/>
          <w:marRight w:val="0"/>
          <w:marTop w:val="0"/>
          <w:marBottom w:val="0"/>
          <w:divBdr>
            <w:top w:val="none" w:sz="0" w:space="0" w:color="auto"/>
            <w:left w:val="none" w:sz="0" w:space="0" w:color="auto"/>
            <w:bottom w:val="none" w:sz="0" w:space="0" w:color="auto"/>
            <w:right w:val="none" w:sz="0" w:space="0" w:color="auto"/>
          </w:divBdr>
        </w:div>
        <w:div w:id="369845744">
          <w:marLeft w:val="480"/>
          <w:marRight w:val="0"/>
          <w:marTop w:val="0"/>
          <w:marBottom w:val="0"/>
          <w:divBdr>
            <w:top w:val="none" w:sz="0" w:space="0" w:color="auto"/>
            <w:left w:val="none" w:sz="0" w:space="0" w:color="auto"/>
            <w:bottom w:val="none" w:sz="0" w:space="0" w:color="auto"/>
            <w:right w:val="none" w:sz="0" w:space="0" w:color="auto"/>
          </w:divBdr>
        </w:div>
        <w:div w:id="1225526455">
          <w:marLeft w:val="480"/>
          <w:marRight w:val="0"/>
          <w:marTop w:val="0"/>
          <w:marBottom w:val="0"/>
          <w:divBdr>
            <w:top w:val="none" w:sz="0" w:space="0" w:color="auto"/>
            <w:left w:val="none" w:sz="0" w:space="0" w:color="auto"/>
            <w:bottom w:val="none" w:sz="0" w:space="0" w:color="auto"/>
            <w:right w:val="none" w:sz="0" w:space="0" w:color="auto"/>
          </w:divBdr>
        </w:div>
        <w:div w:id="1495684503">
          <w:marLeft w:val="480"/>
          <w:marRight w:val="0"/>
          <w:marTop w:val="0"/>
          <w:marBottom w:val="0"/>
          <w:divBdr>
            <w:top w:val="none" w:sz="0" w:space="0" w:color="auto"/>
            <w:left w:val="none" w:sz="0" w:space="0" w:color="auto"/>
            <w:bottom w:val="none" w:sz="0" w:space="0" w:color="auto"/>
            <w:right w:val="none" w:sz="0" w:space="0" w:color="auto"/>
          </w:divBdr>
        </w:div>
        <w:div w:id="392197845">
          <w:marLeft w:val="480"/>
          <w:marRight w:val="0"/>
          <w:marTop w:val="0"/>
          <w:marBottom w:val="0"/>
          <w:divBdr>
            <w:top w:val="none" w:sz="0" w:space="0" w:color="auto"/>
            <w:left w:val="none" w:sz="0" w:space="0" w:color="auto"/>
            <w:bottom w:val="none" w:sz="0" w:space="0" w:color="auto"/>
            <w:right w:val="none" w:sz="0" w:space="0" w:color="auto"/>
          </w:divBdr>
        </w:div>
        <w:div w:id="117724674">
          <w:marLeft w:val="480"/>
          <w:marRight w:val="0"/>
          <w:marTop w:val="0"/>
          <w:marBottom w:val="0"/>
          <w:divBdr>
            <w:top w:val="none" w:sz="0" w:space="0" w:color="auto"/>
            <w:left w:val="none" w:sz="0" w:space="0" w:color="auto"/>
            <w:bottom w:val="none" w:sz="0" w:space="0" w:color="auto"/>
            <w:right w:val="none" w:sz="0" w:space="0" w:color="auto"/>
          </w:divBdr>
        </w:div>
        <w:div w:id="642078809">
          <w:marLeft w:val="480"/>
          <w:marRight w:val="0"/>
          <w:marTop w:val="0"/>
          <w:marBottom w:val="0"/>
          <w:divBdr>
            <w:top w:val="none" w:sz="0" w:space="0" w:color="auto"/>
            <w:left w:val="none" w:sz="0" w:space="0" w:color="auto"/>
            <w:bottom w:val="none" w:sz="0" w:space="0" w:color="auto"/>
            <w:right w:val="none" w:sz="0" w:space="0" w:color="auto"/>
          </w:divBdr>
        </w:div>
        <w:div w:id="1878853282">
          <w:marLeft w:val="480"/>
          <w:marRight w:val="0"/>
          <w:marTop w:val="0"/>
          <w:marBottom w:val="0"/>
          <w:divBdr>
            <w:top w:val="none" w:sz="0" w:space="0" w:color="auto"/>
            <w:left w:val="none" w:sz="0" w:space="0" w:color="auto"/>
            <w:bottom w:val="none" w:sz="0" w:space="0" w:color="auto"/>
            <w:right w:val="none" w:sz="0" w:space="0" w:color="auto"/>
          </w:divBdr>
        </w:div>
        <w:div w:id="93020820">
          <w:marLeft w:val="480"/>
          <w:marRight w:val="0"/>
          <w:marTop w:val="0"/>
          <w:marBottom w:val="0"/>
          <w:divBdr>
            <w:top w:val="none" w:sz="0" w:space="0" w:color="auto"/>
            <w:left w:val="none" w:sz="0" w:space="0" w:color="auto"/>
            <w:bottom w:val="none" w:sz="0" w:space="0" w:color="auto"/>
            <w:right w:val="none" w:sz="0" w:space="0" w:color="auto"/>
          </w:divBdr>
        </w:div>
        <w:div w:id="1607227037">
          <w:marLeft w:val="480"/>
          <w:marRight w:val="0"/>
          <w:marTop w:val="0"/>
          <w:marBottom w:val="0"/>
          <w:divBdr>
            <w:top w:val="none" w:sz="0" w:space="0" w:color="auto"/>
            <w:left w:val="none" w:sz="0" w:space="0" w:color="auto"/>
            <w:bottom w:val="none" w:sz="0" w:space="0" w:color="auto"/>
            <w:right w:val="none" w:sz="0" w:space="0" w:color="auto"/>
          </w:divBdr>
        </w:div>
        <w:div w:id="1822575849">
          <w:marLeft w:val="480"/>
          <w:marRight w:val="0"/>
          <w:marTop w:val="0"/>
          <w:marBottom w:val="0"/>
          <w:divBdr>
            <w:top w:val="none" w:sz="0" w:space="0" w:color="auto"/>
            <w:left w:val="none" w:sz="0" w:space="0" w:color="auto"/>
            <w:bottom w:val="none" w:sz="0" w:space="0" w:color="auto"/>
            <w:right w:val="none" w:sz="0" w:space="0" w:color="auto"/>
          </w:divBdr>
        </w:div>
        <w:div w:id="308554973">
          <w:marLeft w:val="480"/>
          <w:marRight w:val="0"/>
          <w:marTop w:val="0"/>
          <w:marBottom w:val="0"/>
          <w:divBdr>
            <w:top w:val="none" w:sz="0" w:space="0" w:color="auto"/>
            <w:left w:val="none" w:sz="0" w:space="0" w:color="auto"/>
            <w:bottom w:val="none" w:sz="0" w:space="0" w:color="auto"/>
            <w:right w:val="none" w:sz="0" w:space="0" w:color="auto"/>
          </w:divBdr>
        </w:div>
        <w:div w:id="924268465">
          <w:marLeft w:val="480"/>
          <w:marRight w:val="0"/>
          <w:marTop w:val="0"/>
          <w:marBottom w:val="0"/>
          <w:divBdr>
            <w:top w:val="none" w:sz="0" w:space="0" w:color="auto"/>
            <w:left w:val="none" w:sz="0" w:space="0" w:color="auto"/>
            <w:bottom w:val="none" w:sz="0" w:space="0" w:color="auto"/>
            <w:right w:val="none" w:sz="0" w:space="0" w:color="auto"/>
          </w:divBdr>
        </w:div>
        <w:div w:id="323512301">
          <w:marLeft w:val="480"/>
          <w:marRight w:val="0"/>
          <w:marTop w:val="0"/>
          <w:marBottom w:val="0"/>
          <w:divBdr>
            <w:top w:val="none" w:sz="0" w:space="0" w:color="auto"/>
            <w:left w:val="none" w:sz="0" w:space="0" w:color="auto"/>
            <w:bottom w:val="none" w:sz="0" w:space="0" w:color="auto"/>
            <w:right w:val="none" w:sz="0" w:space="0" w:color="auto"/>
          </w:divBdr>
        </w:div>
        <w:div w:id="251933994">
          <w:marLeft w:val="480"/>
          <w:marRight w:val="0"/>
          <w:marTop w:val="0"/>
          <w:marBottom w:val="0"/>
          <w:divBdr>
            <w:top w:val="none" w:sz="0" w:space="0" w:color="auto"/>
            <w:left w:val="none" w:sz="0" w:space="0" w:color="auto"/>
            <w:bottom w:val="none" w:sz="0" w:space="0" w:color="auto"/>
            <w:right w:val="none" w:sz="0" w:space="0" w:color="auto"/>
          </w:divBdr>
        </w:div>
      </w:divsChild>
    </w:div>
    <w:div w:id="812676312">
      <w:bodyDiv w:val="1"/>
      <w:marLeft w:val="0"/>
      <w:marRight w:val="0"/>
      <w:marTop w:val="0"/>
      <w:marBottom w:val="0"/>
      <w:divBdr>
        <w:top w:val="none" w:sz="0" w:space="0" w:color="auto"/>
        <w:left w:val="none" w:sz="0" w:space="0" w:color="auto"/>
        <w:bottom w:val="none" w:sz="0" w:space="0" w:color="auto"/>
        <w:right w:val="none" w:sz="0" w:space="0" w:color="auto"/>
      </w:divBdr>
    </w:div>
    <w:div w:id="877201397">
      <w:bodyDiv w:val="1"/>
      <w:marLeft w:val="0"/>
      <w:marRight w:val="0"/>
      <w:marTop w:val="0"/>
      <w:marBottom w:val="0"/>
      <w:divBdr>
        <w:top w:val="none" w:sz="0" w:space="0" w:color="auto"/>
        <w:left w:val="none" w:sz="0" w:space="0" w:color="auto"/>
        <w:bottom w:val="none" w:sz="0" w:space="0" w:color="auto"/>
        <w:right w:val="none" w:sz="0" w:space="0" w:color="auto"/>
      </w:divBdr>
    </w:div>
    <w:div w:id="919950155">
      <w:bodyDiv w:val="1"/>
      <w:marLeft w:val="0"/>
      <w:marRight w:val="0"/>
      <w:marTop w:val="0"/>
      <w:marBottom w:val="0"/>
      <w:divBdr>
        <w:top w:val="none" w:sz="0" w:space="0" w:color="auto"/>
        <w:left w:val="none" w:sz="0" w:space="0" w:color="auto"/>
        <w:bottom w:val="none" w:sz="0" w:space="0" w:color="auto"/>
        <w:right w:val="none" w:sz="0" w:space="0" w:color="auto"/>
      </w:divBdr>
    </w:div>
    <w:div w:id="993794968">
      <w:bodyDiv w:val="1"/>
      <w:marLeft w:val="0"/>
      <w:marRight w:val="0"/>
      <w:marTop w:val="0"/>
      <w:marBottom w:val="0"/>
      <w:divBdr>
        <w:top w:val="none" w:sz="0" w:space="0" w:color="auto"/>
        <w:left w:val="none" w:sz="0" w:space="0" w:color="auto"/>
        <w:bottom w:val="none" w:sz="0" w:space="0" w:color="auto"/>
        <w:right w:val="none" w:sz="0" w:space="0" w:color="auto"/>
      </w:divBdr>
    </w:div>
    <w:div w:id="1017734784">
      <w:bodyDiv w:val="1"/>
      <w:marLeft w:val="0"/>
      <w:marRight w:val="0"/>
      <w:marTop w:val="0"/>
      <w:marBottom w:val="0"/>
      <w:divBdr>
        <w:top w:val="none" w:sz="0" w:space="0" w:color="auto"/>
        <w:left w:val="none" w:sz="0" w:space="0" w:color="auto"/>
        <w:bottom w:val="none" w:sz="0" w:space="0" w:color="auto"/>
        <w:right w:val="none" w:sz="0" w:space="0" w:color="auto"/>
      </w:divBdr>
    </w:div>
    <w:div w:id="1106391946">
      <w:bodyDiv w:val="1"/>
      <w:marLeft w:val="0"/>
      <w:marRight w:val="0"/>
      <w:marTop w:val="0"/>
      <w:marBottom w:val="0"/>
      <w:divBdr>
        <w:top w:val="none" w:sz="0" w:space="0" w:color="auto"/>
        <w:left w:val="none" w:sz="0" w:space="0" w:color="auto"/>
        <w:bottom w:val="none" w:sz="0" w:space="0" w:color="auto"/>
        <w:right w:val="none" w:sz="0" w:space="0" w:color="auto"/>
      </w:divBdr>
      <w:divsChild>
        <w:div w:id="860627083">
          <w:marLeft w:val="480"/>
          <w:marRight w:val="0"/>
          <w:marTop w:val="0"/>
          <w:marBottom w:val="0"/>
          <w:divBdr>
            <w:top w:val="none" w:sz="0" w:space="0" w:color="auto"/>
            <w:left w:val="none" w:sz="0" w:space="0" w:color="auto"/>
            <w:bottom w:val="none" w:sz="0" w:space="0" w:color="auto"/>
            <w:right w:val="none" w:sz="0" w:space="0" w:color="auto"/>
          </w:divBdr>
        </w:div>
        <w:div w:id="1992707420">
          <w:marLeft w:val="480"/>
          <w:marRight w:val="0"/>
          <w:marTop w:val="0"/>
          <w:marBottom w:val="0"/>
          <w:divBdr>
            <w:top w:val="none" w:sz="0" w:space="0" w:color="auto"/>
            <w:left w:val="none" w:sz="0" w:space="0" w:color="auto"/>
            <w:bottom w:val="none" w:sz="0" w:space="0" w:color="auto"/>
            <w:right w:val="none" w:sz="0" w:space="0" w:color="auto"/>
          </w:divBdr>
        </w:div>
        <w:div w:id="1444954038">
          <w:marLeft w:val="480"/>
          <w:marRight w:val="0"/>
          <w:marTop w:val="0"/>
          <w:marBottom w:val="0"/>
          <w:divBdr>
            <w:top w:val="none" w:sz="0" w:space="0" w:color="auto"/>
            <w:left w:val="none" w:sz="0" w:space="0" w:color="auto"/>
            <w:bottom w:val="none" w:sz="0" w:space="0" w:color="auto"/>
            <w:right w:val="none" w:sz="0" w:space="0" w:color="auto"/>
          </w:divBdr>
        </w:div>
        <w:div w:id="1461341262">
          <w:marLeft w:val="480"/>
          <w:marRight w:val="0"/>
          <w:marTop w:val="0"/>
          <w:marBottom w:val="0"/>
          <w:divBdr>
            <w:top w:val="none" w:sz="0" w:space="0" w:color="auto"/>
            <w:left w:val="none" w:sz="0" w:space="0" w:color="auto"/>
            <w:bottom w:val="none" w:sz="0" w:space="0" w:color="auto"/>
            <w:right w:val="none" w:sz="0" w:space="0" w:color="auto"/>
          </w:divBdr>
        </w:div>
        <w:div w:id="1584953640">
          <w:marLeft w:val="480"/>
          <w:marRight w:val="0"/>
          <w:marTop w:val="0"/>
          <w:marBottom w:val="0"/>
          <w:divBdr>
            <w:top w:val="none" w:sz="0" w:space="0" w:color="auto"/>
            <w:left w:val="none" w:sz="0" w:space="0" w:color="auto"/>
            <w:bottom w:val="none" w:sz="0" w:space="0" w:color="auto"/>
            <w:right w:val="none" w:sz="0" w:space="0" w:color="auto"/>
          </w:divBdr>
        </w:div>
        <w:div w:id="461994971">
          <w:marLeft w:val="480"/>
          <w:marRight w:val="0"/>
          <w:marTop w:val="0"/>
          <w:marBottom w:val="0"/>
          <w:divBdr>
            <w:top w:val="none" w:sz="0" w:space="0" w:color="auto"/>
            <w:left w:val="none" w:sz="0" w:space="0" w:color="auto"/>
            <w:bottom w:val="none" w:sz="0" w:space="0" w:color="auto"/>
            <w:right w:val="none" w:sz="0" w:space="0" w:color="auto"/>
          </w:divBdr>
        </w:div>
        <w:div w:id="792137347">
          <w:marLeft w:val="480"/>
          <w:marRight w:val="0"/>
          <w:marTop w:val="0"/>
          <w:marBottom w:val="0"/>
          <w:divBdr>
            <w:top w:val="none" w:sz="0" w:space="0" w:color="auto"/>
            <w:left w:val="none" w:sz="0" w:space="0" w:color="auto"/>
            <w:bottom w:val="none" w:sz="0" w:space="0" w:color="auto"/>
            <w:right w:val="none" w:sz="0" w:space="0" w:color="auto"/>
          </w:divBdr>
        </w:div>
        <w:div w:id="849831485">
          <w:marLeft w:val="480"/>
          <w:marRight w:val="0"/>
          <w:marTop w:val="0"/>
          <w:marBottom w:val="0"/>
          <w:divBdr>
            <w:top w:val="none" w:sz="0" w:space="0" w:color="auto"/>
            <w:left w:val="none" w:sz="0" w:space="0" w:color="auto"/>
            <w:bottom w:val="none" w:sz="0" w:space="0" w:color="auto"/>
            <w:right w:val="none" w:sz="0" w:space="0" w:color="auto"/>
          </w:divBdr>
        </w:div>
        <w:div w:id="1437171070">
          <w:marLeft w:val="480"/>
          <w:marRight w:val="0"/>
          <w:marTop w:val="0"/>
          <w:marBottom w:val="0"/>
          <w:divBdr>
            <w:top w:val="none" w:sz="0" w:space="0" w:color="auto"/>
            <w:left w:val="none" w:sz="0" w:space="0" w:color="auto"/>
            <w:bottom w:val="none" w:sz="0" w:space="0" w:color="auto"/>
            <w:right w:val="none" w:sz="0" w:space="0" w:color="auto"/>
          </w:divBdr>
        </w:div>
        <w:div w:id="2086872542">
          <w:marLeft w:val="480"/>
          <w:marRight w:val="0"/>
          <w:marTop w:val="0"/>
          <w:marBottom w:val="0"/>
          <w:divBdr>
            <w:top w:val="none" w:sz="0" w:space="0" w:color="auto"/>
            <w:left w:val="none" w:sz="0" w:space="0" w:color="auto"/>
            <w:bottom w:val="none" w:sz="0" w:space="0" w:color="auto"/>
            <w:right w:val="none" w:sz="0" w:space="0" w:color="auto"/>
          </w:divBdr>
        </w:div>
        <w:div w:id="1065298378">
          <w:marLeft w:val="480"/>
          <w:marRight w:val="0"/>
          <w:marTop w:val="0"/>
          <w:marBottom w:val="0"/>
          <w:divBdr>
            <w:top w:val="none" w:sz="0" w:space="0" w:color="auto"/>
            <w:left w:val="none" w:sz="0" w:space="0" w:color="auto"/>
            <w:bottom w:val="none" w:sz="0" w:space="0" w:color="auto"/>
            <w:right w:val="none" w:sz="0" w:space="0" w:color="auto"/>
          </w:divBdr>
        </w:div>
        <w:div w:id="1032614787">
          <w:marLeft w:val="480"/>
          <w:marRight w:val="0"/>
          <w:marTop w:val="0"/>
          <w:marBottom w:val="0"/>
          <w:divBdr>
            <w:top w:val="none" w:sz="0" w:space="0" w:color="auto"/>
            <w:left w:val="none" w:sz="0" w:space="0" w:color="auto"/>
            <w:bottom w:val="none" w:sz="0" w:space="0" w:color="auto"/>
            <w:right w:val="none" w:sz="0" w:space="0" w:color="auto"/>
          </w:divBdr>
        </w:div>
        <w:div w:id="241764859">
          <w:marLeft w:val="480"/>
          <w:marRight w:val="0"/>
          <w:marTop w:val="0"/>
          <w:marBottom w:val="0"/>
          <w:divBdr>
            <w:top w:val="none" w:sz="0" w:space="0" w:color="auto"/>
            <w:left w:val="none" w:sz="0" w:space="0" w:color="auto"/>
            <w:bottom w:val="none" w:sz="0" w:space="0" w:color="auto"/>
            <w:right w:val="none" w:sz="0" w:space="0" w:color="auto"/>
          </w:divBdr>
        </w:div>
        <w:div w:id="1939486386">
          <w:marLeft w:val="480"/>
          <w:marRight w:val="0"/>
          <w:marTop w:val="0"/>
          <w:marBottom w:val="0"/>
          <w:divBdr>
            <w:top w:val="none" w:sz="0" w:space="0" w:color="auto"/>
            <w:left w:val="none" w:sz="0" w:space="0" w:color="auto"/>
            <w:bottom w:val="none" w:sz="0" w:space="0" w:color="auto"/>
            <w:right w:val="none" w:sz="0" w:space="0" w:color="auto"/>
          </w:divBdr>
        </w:div>
        <w:div w:id="1791045274">
          <w:marLeft w:val="480"/>
          <w:marRight w:val="0"/>
          <w:marTop w:val="0"/>
          <w:marBottom w:val="0"/>
          <w:divBdr>
            <w:top w:val="none" w:sz="0" w:space="0" w:color="auto"/>
            <w:left w:val="none" w:sz="0" w:space="0" w:color="auto"/>
            <w:bottom w:val="none" w:sz="0" w:space="0" w:color="auto"/>
            <w:right w:val="none" w:sz="0" w:space="0" w:color="auto"/>
          </w:divBdr>
        </w:div>
        <w:div w:id="1787390424">
          <w:marLeft w:val="480"/>
          <w:marRight w:val="0"/>
          <w:marTop w:val="0"/>
          <w:marBottom w:val="0"/>
          <w:divBdr>
            <w:top w:val="none" w:sz="0" w:space="0" w:color="auto"/>
            <w:left w:val="none" w:sz="0" w:space="0" w:color="auto"/>
            <w:bottom w:val="none" w:sz="0" w:space="0" w:color="auto"/>
            <w:right w:val="none" w:sz="0" w:space="0" w:color="auto"/>
          </w:divBdr>
        </w:div>
        <w:div w:id="863439069">
          <w:marLeft w:val="480"/>
          <w:marRight w:val="0"/>
          <w:marTop w:val="0"/>
          <w:marBottom w:val="0"/>
          <w:divBdr>
            <w:top w:val="none" w:sz="0" w:space="0" w:color="auto"/>
            <w:left w:val="none" w:sz="0" w:space="0" w:color="auto"/>
            <w:bottom w:val="none" w:sz="0" w:space="0" w:color="auto"/>
            <w:right w:val="none" w:sz="0" w:space="0" w:color="auto"/>
          </w:divBdr>
        </w:div>
        <w:div w:id="99112792">
          <w:marLeft w:val="480"/>
          <w:marRight w:val="0"/>
          <w:marTop w:val="0"/>
          <w:marBottom w:val="0"/>
          <w:divBdr>
            <w:top w:val="none" w:sz="0" w:space="0" w:color="auto"/>
            <w:left w:val="none" w:sz="0" w:space="0" w:color="auto"/>
            <w:bottom w:val="none" w:sz="0" w:space="0" w:color="auto"/>
            <w:right w:val="none" w:sz="0" w:space="0" w:color="auto"/>
          </w:divBdr>
        </w:div>
        <w:div w:id="1580823790">
          <w:marLeft w:val="480"/>
          <w:marRight w:val="0"/>
          <w:marTop w:val="0"/>
          <w:marBottom w:val="0"/>
          <w:divBdr>
            <w:top w:val="none" w:sz="0" w:space="0" w:color="auto"/>
            <w:left w:val="none" w:sz="0" w:space="0" w:color="auto"/>
            <w:bottom w:val="none" w:sz="0" w:space="0" w:color="auto"/>
            <w:right w:val="none" w:sz="0" w:space="0" w:color="auto"/>
          </w:divBdr>
        </w:div>
        <w:div w:id="6955685">
          <w:marLeft w:val="480"/>
          <w:marRight w:val="0"/>
          <w:marTop w:val="0"/>
          <w:marBottom w:val="0"/>
          <w:divBdr>
            <w:top w:val="none" w:sz="0" w:space="0" w:color="auto"/>
            <w:left w:val="none" w:sz="0" w:space="0" w:color="auto"/>
            <w:bottom w:val="none" w:sz="0" w:space="0" w:color="auto"/>
            <w:right w:val="none" w:sz="0" w:space="0" w:color="auto"/>
          </w:divBdr>
        </w:div>
        <w:div w:id="745959719">
          <w:marLeft w:val="480"/>
          <w:marRight w:val="0"/>
          <w:marTop w:val="0"/>
          <w:marBottom w:val="0"/>
          <w:divBdr>
            <w:top w:val="none" w:sz="0" w:space="0" w:color="auto"/>
            <w:left w:val="none" w:sz="0" w:space="0" w:color="auto"/>
            <w:bottom w:val="none" w:sz="0" w:space="0" w:color="auto"/>
            <w:right w:val="none" w:sz="0" w:space="0" w:color="auto"/>
          </w:divBdr>
        </w:div>
        <w:div w:id="507258251">
          <w:marLeft w:val="480"/>
          <w:marRight w:val="0"/>
          <w:marTop w:val="0"/>
          <w:marBottom w:val="0"/>
          <w:divBdr>
            <w:top w:val="none" w:sz="0" w:space="0" w:color="auto"/>
            <w:left w:val="none" w:sz="0" w:space="0" w:color="auto"/>
            <w:bottom w:val="none" w:sz="0" w:space="0" w:color="auto"/>
            <w:right w:val="none" w:sz="0" w:space="0" w:color="auto"/>
          </w:divBdr>
        </w:div>
        <w:div w:id="1466312692">
          <w:marLeft w:val="480"/>
          <w:marRight w:val="0"/>
          <w:marTop w:val="0"/>
          <w:marBottom w:val="0"/>
          <w:divBdr>
            <w:top w:val="none" w:sz="0" w:space="0" w:color="auto"/>
            <w:left w:val="none" w:sz="0" w:space="0" w:color="auto"/>
            <w:bottom w:val="none" w:sz="0" w:space="0" w:color="auto"/>
            <w:right w:val="none" w:sz="0" w:space="0" w:color="auto"/>
          </w:divBdr>
        </w:div>
        <w:div w:id="1088312302">
          <w:marLeft w:val="480"/>
          <w:marRight w:val="0"/>
          <w:marTop w:val="0"/>
          <w:marBottom w:val="0"/>
          <w:divBdr>
            <w:top w:val="none" w:sz="0" w:space="0" w:color="auto"/>
            <w:left w:val="none" w:sz="0" w:space="0" w:color="auto"/>
            <w:bottom w:val="none" w:sz="0" w:space="0" w:color="auto"/>
            <w:right w:val="none" w:sz="0" w:space="0" w:color="auto"/>
          </w:divBdr>
        </w:div>
        <w:div w:id="10111209">
          <w:marLeft w:val="480"/>
          <w:marRight w:val="0"/>
          <w:marTop w:val="0"/>
          <w:marBottom w:val="0"/>
          <w:divBdr>
            <w:top w:val="none" w:sz="0" w:space="0" w:color="auto"/>
            <w:left w:val="none" w:sz="0" w:space="0" w:color="auto"/>
            <w:bottom w:val="none" w:sz="0" w:space="0" w:color="auto"/>
            <w:right w:val="none" w:sz="0" w:space="0" w:color="auto"/>
          </w:divBdr>
        </w:div>
      </w:divsChild>
    </w:div>
    <w:div w:id="1128205903">
      <w:bodyDiv w:val="1"/>
      <w:marLeft w:val="0"/>
      <w:marRight w:val="0"/>
      <w:marTop w:val="0"/>
      <w:marBottom w:val="0"/>
      <w:divBdr>
        <w:top w:val="none" w:sz="0" w:space="0" w:color="auto"/>
        <w:left w:val="none" w:sz="0" w:space="0" w:color="auto"/>
        <w:bottom w:val="none" w:sz="0" w:space="0" w:color="auto"/>
        <w:right w:val="none" w:sz="0" w:space="0" w:color="auto"/>
      </w:divBdr>
      <w:divsChild>
        <w:div w:id="41753798">
          <w:marLeft w:val="480"/>
          <w:marRight w:val="0"/>
          <w:marTop w:val="0"/>
          <w:marBottom w:val="0"/>
          <w:divBdr>
            <w:top w:val="none" w:sz="0" w:space="0" w:color="auto"/>
            <w:left w:val="none" w:sz="0" w:space="0" w:color="auto"/>
            <w:bottom w:val="none" w:sz="0" w:space="0" w:color="auto"/>
            <w:right w:val="none" w:sz="0" w:space="0" w:color="auto"/>
          </w:divBdr>
        </w:div>
        <w:div w:id="1459447262">
          <w:marLeft w:val="480"/>
          <w:marRight w:val="0"/>
          <w:marTop w:val="0"/>
          <w:marBottom w:val="0"/>
          <w:divBdr>
            <w:top w:val="none" w:sz="0" w:space="0" w:color="auto"/>
            <w:left w:val="none" w:sz="0" w:space="0" w:color="auto"/>
            <w:bottom w:val="none" w:sz="0" w:space="0" w:color="auto"/>
            <w:right w:val="none" w:sz="0" w:space="0" w:color="auto"/>
          </w:divBdr>
        </w:div>
        <w:div w:id="353965278">
          <w:marLeft w:val="480"/>
          <w:marRight w:val="0"/>
          <w:marTop w:val="0"/>
          <w:marBottom w:val="0"/>
          <w:divBdr>
            <w:top w:val="none" w:sz="0" w:space="0" w:color="auto"/>
            <w:left w:val="none" w:sz="0" w:space="0" w:color="auto"/>
            <w:bottom w:val="none" w:sz="0" w:space="0" w:color="auto"/>
            <w:right w:val="none" w:sz="0" w:space="0" w:color="auto"/>
          </w:divBdr>
        </w:div>
        <w:div w:id="186676105">
          <w:marLeft w:val="480"/>
          <w:marRight w:val="0"/>
          <w:marTop w:val="0"/>
          <w:marBottom w:val="0"/>
          <w:divBdr>
            <w:top w:val="none" w:sz="0" w:space="0" w:color="auto"/>
            <w:left w:val="none" w:sz="0" w:space="0" w:color="auto"/>
            <w:bottom w:val="none" w:sz="0" w:space="0" w:color="auto"/>
            <w:right w:val="none" w:sz="0" w:space="0" w:color="auto"/>
          </w:divBdr>
        </w:div>
        <w:div w:id="2001078832">
          <w:marLeft w:val="480"/>
          <w:marRight w:val="0"/>
          <w:marTop w:val="0"/>
          <w:marBottom w:val="0"/>
          <w:divBdr>
            <w:top w:val="none" w:sz="0" w:space="0" w:color="auto"/>
            <w:left w:val="none" w:sz="0" w:space="0" w:color="auto"/>
            <w:bottom w:val="none" w:sz="0" w:space="0" w:color="auto"/>
            <w:right w:val="none" w:sz="0" w:space="0" w:color="auto"/>
          </w:divBdr>
        </w:div>
        <w:div w:id="1659729236">
          <w:marLeft w:val="480"/>
          <w:marRight w:val="0"/>
          <w:marTop w:val="0"/>
          <w:marBottom w:val="0"/>
          <w:divBdr>
            <w:top w:val="none" w:sz="0" w:space="0" w:color="auto"/>
            <w:left w:val="none" w:sz="0" w:space="0" w:color="auto"/>
            <w:bottom w:val="none" w:sz="0" w:space="0" w:color="auto"/>
            <w:right w:val="none" w:sz="0" w:space="0" w:color="auto"/>
          </w:divBdr>
        </w:div>
        <w:div w:id="1074477204">
          <w:marLeft w:val="480"/>
          <w:marRight w:val="0"/>
          <w:marTop w:val="0"/>
          <w:marBottom w:val="0"/>
          <w:divBdr>
            <w:top w:val="none" w:sz="0" w:space="0" w:color="auto"/>
            <w:left w:val="none" w:sz="0" w:space="0" w:color="auto"/>
            <w:bottom w:val="none" w:sz="0" w:space="0" w:color="auto"/>
            <w:right w:val="none" w:sz="0" w:space="0" w:color="auto"/>
          </w:divBdr>
        </w:div>
        <w:div w:id="345248541">
          <w:marLeft w:val="480"/>
          <w:marRight w:val="0"/>
          <w:marTop w:val="0"/>
          <w:marBottom w:val="0"/>
          <w:divBdr>
            <w:top w:val="none" w:sz="0" w:space="0" w:color="auto"/>
            <w:left w:val="none" w:sz="0" w:space="0" w:color="auto"/>
            <w:bottom w:val="none" w:sz="0" w:space="0" w:color="auto"/>
            <w:right w:val="none" w:sz="0" w:space="0" w:color="auto"/>
          </w:divBdr>
        </w:div>
        <w:div w:id="1035737802">
          <w:marLeft w:val="480"/>
          <w:marRight w:val="0"/>
          <w:marTop w:val="0"/>
          <w:marBottom w:val="0"/>
          <w:divBdr>
            <w:top w:val="none" w:sz="0" w:space="0" w:color="auto"/>
            <w:left w:val="none" w:sz="0" w:space="0" w:color="auto"/>
            <w:bottom w:val="none" w:sz="0" w:space="0" w:color="auto"/>
            <w:right w:val="none" w:sz="0" w:space="0" w:color="auto"/>
          </w:divBdr>
        </w:div>
        <w:div w:id="1402170091">
          <w:marLeft w:val="480"/>
          <w:marRight w:val="0"/>
          <w:marTop w:val="0"/>
          <w:marBottom w:val="0"/>
          <w:divBdr>
            <w:top w:val="none" w:sz="0" w:space="0" w:color="auto"/>
            <w:left w:val="none" w:sz="0" w:space="0" w:color="auto"/>
            <w:bottom w:val="none" w:sz="0" w:space="0" w:color="auto"/>
            <w:right w:val="none" w:sz="0" w:space="0" w:color="auto"/>
          </w:divBdr>
        </w:div>
        <w:div w:id="1410925945">
          <w:marLeft w:val="480"/>
          <w:marRight w:val="0"/>
          <w:marTop w:val="0"/>
          <w:marBottom w:val="0"/>
          <w:divBdr>
            <w:top w:val="none" w:sz="0" w:space="0" w:color="auto"/>
            <w:left w:val="none" w:sz="0" w:space="0" w:color="auto"/>
            <w:bottom w:val="none" w:sz="0" w:space="0" w:color="auto"/>
            <w:right w:val="none" w:sz="0" w:space="0" w:color="auto"/>
          </w:divBdr>
        </w:div>
        <w:div w:id="58788413">
          <w:marLeft w:val="480"/>
          <w:marRight w:val="0"/>
          <w:marTop w:val="0"/>
          <w:marBottom w:val="0"/>
          <w:divBdr>
            <w:top w:val="none" w:sz="0" w:space="0" w:color="auto"/>
            <w:left w:val="none" w:sz="0" w:space="0" w:color="auto"/>
            <w:bottom w:val="none" w:sz="0" w:space="0" w:color="auto"/>
            <w:right w:val="none" w:sz="0" w:space="0" w:color="auto"/>
          </w:divBdr>
        </w:div>
        <w:div w:id="1495534331">
          <w:marLeft w:val="480"/>
          <w:marRight w:val="0"/>
          <w:marTop w:val="0"/>
          <w:marBottom w:val="0"/>
          <w:divBdr>
            <w:top w:val="none" w:sz="0" w:space="0" w:color="auto"/>
            <w:left w:val="none" w:sz="0" w:space="0" w:color="auto"/>
            <w:bottom w:val="none" w:sz="0" w:space="0" w:color="auto"/>
            <w:right w:val="none" w:sz="0" w:space="0" w:color="auto"/>
          </w:divBdr>
        </w:div>
        <w:div w:id="1495413312">
          <w:marLeft w:val="480"/>
          <w:marRight w:val="0"/>
          <w:marTop w:val="0"/>
          <w:marBottom w:val="0"/>
          <w:divBdr>
            <w:top w:val="none" w:sz="0" w:space="0" w:color="auto"/>
            <w:left w:val="none" w:sz="0" w:space="0" w:color="auto"/>
            <w:bottom w:val="none" w:sz="0" w:space="0" w:color="auto"/>
            <w:right w:val="none" w:sz="0" w:space="0" w:color="auto"/>
          </w:divBdr>
        </w:div>
        <w:div w:id="1603688181">
          <w:marLeft w:val="480"/>
          <w:marRight w:val="0"/>
          <w:marTop w:val="0"/>
          <w:marBottom w:val="0"/>
          <w:divBdr>
            <w:top w:val="none" w:sz="0" w:space="0" w:color="auto"/>
            <w:left w:val="none" w:sz="0" w:space="0" w:color="auto"/>
            <w:bottom w:val="none" w:sz="0" w:space="0" w:color="auto"/>
            <w:right w:val="none" w:sz="0" w:space="0" w:color="auto"/>
          </w:divBdr>
        </w:div>
        <w:div w:id="666832741">
          <w:marLeft w:val="480"/>
          <w:marRight w:val="0"/>
          <w:marTop w:val="0"/>
          <w:marBottom w:val="0"/>
          <w:divBdr>
            <w:top w:val="none" w:sz="0" w:space="0" w:color="auto"/>
            <w:left w:val="none" w:sz="0" w:space="0" w:color="auto"/>
            <w:bottom w:val="none" w:sz="0" w:space="0" w:color="auto"/>
            <w:right w:val="none" w:sz="0" w:space="0" w:color="auto"/>
          </w:divBdr>
        </w:div>
        <w:div w:id="617370560">
          <w:marLeft w:val="480"/>
          <w:marRight w:val="0"/>
          <w:marTop w:val="0"/>
          <w:marBottom w:val="0"/>
          <w:divBdr>
            <w:top w:val="none" w:sz="0" w:space="0" w:color="auto"/>
            <w:left w:val="none" w:sz="0" w:space="0" w:color="auto"/>
            <w:bottom w:val="none" w:sz="0" w:space="0" w:color="auto"/>
            <w:right w:val="none" w:sz="0" w:space="0" w:color="auto"/>
          </w:divBdr>
        </w:div>
        <w:div w:id="2114350889">
          <w:marLeft w:val="480"/>
          <w:marRight w:val="0"/>
          <w:marTop w:val="0"/>
          <w:marBottom w:val="0"/>
          <w:divBdr>
            <w:top w:val="none" w:sz="0" w:space="0" w:color="auto"/>
            <w:left w:val="none" w:sz="0" w:space="0" w:color="auto"/>
            <w:bottom w:val="none" w:sz="0" w:space="0" w:color="auto"/>
            <w:right w:val="none" w:sz="0" w:space="0" w:color="auto"/>
          </w:divBdr>
        </w:div>
        <w:div w:id="708846072">
          <w:marLeft w:val="480"/>
          <w:marRight w:val="0"/>
          <w:marTop w:val="0"/>
          <w:marBottom w:val="0"/>
          <w:divBdr>
            <w:top w:val="none" w:sz="0" w:space="0" w:color="auto"/>
            <w:left w:val="none" w:sz="0" w:space="0" w:color="auto"/>
            <w:bottom w:val="none" w:sz="0" w:space="0" w:color="auto"/>
            <w:right w:val="none" w:sz="0" w:space="0" w:color="auto"/>
          </w:divBdr>
        </w:div>
        <w:div w:id="801114629">
          <w:marLeft w:val="480"/>
          <w:marRight w:val="0"/>
          <w:marTop w:val="0"/>
          <w:marBottom w:val="0"/>
          <w:divBdr>
            <w:top w:val="none" w:sz="0" w:space="0" w:color="auto"/>
            <w:left w:val="none" w:sz="0" w:space="0" w:color="auto"/>
            <w:bottom w:val="none" w:sz="0" w:space="0" w:color="auto"/>
            <w:right w:val="none" w:sz="0" w:space="0" w:color="auto"/>
          </w:divBdr>
        </w:div>
        <w:div w:id="1901937838">
          <w:marLeft w:val="480"/>
          <w:marRight w:val="0"/>
          <w:marTop w:val="0"/>
          <w:marBottom w:val="0"/>
          <w:divBdr>
            <w:top w:val="none" w:sz="0" w:space="0" w:color="auto"/>
            <w:left w:val="none" w:sz="0" w:space="0" w:color="auto"/>
            <w:bottom w:val="none" w:sz="0" w:space="0" w:color="auto"/>
            <w:right w:val="none" w:sz="0" w:space="0" w:color="auto"/>
          </w:divBdr>
        </w:div>
        <w:div w:id="1504735115">
          <w:marLeft w:val="480"/>
          <w:marRight w:val="0"/>
          <w:marTop w:val="0"/>
          <w:marBottom w:val="0"/>
          <w:divBdr>
            <w:top w:val="none" w:sz="0" w:space="0" w:color="auto"/>
            <w:left w:val="none" w:sz="0" w:space="0" w:color="auto"/>
            <w:bottom w:val="none" w:sz="0" w:space="0" w:color="auto"/>
            <w:right w:val="none" w:sz="0" w:space="0" w:color="auto"/>
          </w:divBdr>
        </w:div>
        <w:div w:id="1440031262">
          <w:marLeft w:val="480"/>
          <w:marRight w:val="0"/>
          <w:marTop w:val="0"/>
          <w:marBottom w:val="0"/>
          <w:divBdr>
            <w:top w:val="none" w:sz="0" w:space="0" w:color="auto"/>
            <w:left w:val="none" w:sz="0" w:space="0" w:color="auto"/>
            <w:bottom w:val="none" w:sz="0" w:space="0" w:color="auto"/>
            <w:right w:val="none" w:sz="0" w:space="0" w:color="auto"/>
          </w:divBdr>
        </w:div>
        <w:div w:id="2095742782">
          <w:marLeft w:val="480"/>
          <w:marRight w:val="0"/>
          <w:marTop w:val="0"/>
          <w:marBottom w:val="0"/>
          <w:divBdr>
            <w:top w:val="none" w:sz="0" w:space="0" w:color="auto"/>
            <w:left w:val="none" w:sz="0" w:space="0" w:color="auto"/>
            <w:bottom w:val="none" w:sz="0" w:space="0" w:color="auto"/>
            <w:right w:val="none" w:sz="0" w:space="0" w:color="auto"/>
          </w:divBdr>
        </w:div>
        <w:div w:id="707534051">
          <w:marLeft w:val="480"/>
          <w:marRight w:val="0"/>
          <w:marTop w:val="0"/>
          <w:marBottom w:val="0"/>
          <w:divBdr>
            <w:top w:val="none" w:sz="0" w:space="0" w:color="auto"/>
            <w:left w:val="none" w:sz="0" w:space="0" w:color="auto"/>
            <w:bottom w:val="none" w:sz="0" w:space="0" w:color="auto"/>
            <w:right w:val="none" w:sz="0" w:space="0" w:color="auto"/>
          </w:divBdr>
        </w:div>
      </w:divsChild>
    </w:div>
    <w:div w:id="1228957848">
      <w:bodyDiv w:val="1"/>
      <w:marLeft w:val="0"/>
      <w:marRight w:val="0"/>
      <w:marTop w:val="0"/>
      <w:marBottom w:val="0"/>
      <w:divBdr>
        <w:top w:val="none" w:sz="0" w:space="0" w:color="auto"/>
        <w:left w:val="none" w:sz="0" w:space="0" w:color="auto"/>
        <w:bottom w:val="none" w:sz="0" w:space="0" w:color="auto"/>
        <w:right w:val="none" w:sz="0" w:space="0" w:color="auto"/>
      </w:divBdr>
      <w:divsChild>
        <w:div w:id="207760453">
          <w:marLeft w:val="480"/>
          <w:marRight w:val="0"/>
          <w:marTop w:val="0"/>
          <w:marBottom w:val="0"/>
          <w:divBdr>
            <w:top w:val="none" w:sz="0" w:space="0" w:color="auto"/>
            <w:left w:val="none" w:sz="0" w:space="0" w:color="auto"/>
            <w:bottom w:val="none" w:sz="0" w:space="0" w:color="auto"/>
            <w:right w:val="none" w:sz="0" w:space="0" w:color="auto"/>
          </w:divBdr>
        </w:div>
        <w:div w:id="1668288252">
          <w:marLeft w:val="480"/>
          <w:marRight w:val="0"/>
          <w:marTop w:val="0"/>
          <w:marBottom w:val="0"/>
          <w:divBdr>
            <w:top w:val="none" w:sz="0" w:space="0" w:color="auto"/>
            <w:left w:val="none" w:sz="0" w:space="0" w:color="auto"/>
            <w:bottom w:val="none" w:sz="0" w:space="0" w:color="auto"/>
            <w:right w:val="none" w:sz="0" w:space="0" w:color="auto"/>
          </w:divBdr>
        </w:div>
        <w:div w:id="1961569420">
          <w:marLeft w:val="480"/>
          <w:marRight w:val="0"/>
          <w:marTop w:val="0"/>
          <w:marBottom w:val="0"/>
          <w:divBdr>
            <w:top w:val="none" w:sz="0" w:space="0" w:color="auto"/>
            <w:left w:val="none" w:sz="0" w:space="0" w:color="auto"/>
            <w:bottom w:val="none" w:sz="0" w:space="0" w:color="auto"/>
            <w:right w:val="none" w:sz="0" w:space="0" w:color="auto"/>
          </w:divBdr>
        </w:div>
        <w:div w:id="474951960">
          <w:marLeft w:val="480"/>
          <w:marRight w:val="0"/>
          <w:marTop w:val="0"/>
          <w:marBottom w:val="0"/>
          <w:divBdr>
            <w:top w:val="none" w:sz="0" w:space="0" w:color="auto"/>
            <w:left w:val="none" w:sz="0" w:space="0" w:color="auto"/>
            <w:bottom w:val="none" w:sz="0" w:space="0" w:color="auto"/>
            <w:right w:val="none" w:sz="0" w:space="0" w:color="auto"/>
          </w:divBdr>
        </w:div>
        <w:div w:id="1769736974">
          <w:marLeft w:val="480"/>
          <w:marRight w:val="0"/>
          <w:marTop w:val="0"/>
          <w:marBottom w:val="0"/>
          <w:divBdr>
            <w:top w:val="none" w:sz="0" w:space="0" w:color="auto"/>
            <w:left w:val="none" w:sz="0" w:space="0" w:color="auto"/>
            <w:bottom w:val="none" w:sz="0" w:space="0" w:color="auto"/>
            <w:right w:val="none" w:sz="0" w:space="0" w:color="auto"/>
          </w:divBdr>
        </w:div>
        <w:div w:id="757101282">
          <w:marLeft w:val="480"/>
          <w:marRight w:val="0"/>
          <w:marTop w:val="0"/>
          <w:marBottom w:val="0"/>
          <w:divBdr>
            <w:top w:val="none" w:sz="0" w:space="0" w:color="auto"/>
            <w:left w:val="none" w:sz="0" w:space="0" w:color="auto"/>
            <w:bottom w:val="none" w:sz="0" w:space="0" w:color="auto"/>
            <w:right w:val="none" w:sz="0" w:space="0" w:color="auto"/>
          </w:divBdr>
        </w:div>
        <w:div w:id="1898855941">
          <w:marLeft w:val="480"/>
          <w:marRight w:val="0"/>
          <w:marTop w:val="0"/>
          <w:marBottom w:val="0"/>
          <w:divBdr>
            <w:top w:val="none" w:sz="0" w:space="0" w:color="auto"/>
            <w:left w:val="none" w:sz="0" w:space="0" w:color="auto"/>
            <w:bottom w:val="none" w:sz="0" w:space="0" w:color="auto"/>
            <w:right w:val="none" w:sz="0" w:space="0" w:color="auto"/>
          </w:divBdr>
        </w:div>
        <w:div w:id="1527209939">
          <w:marLeft w:val="480"/>
          <w:marRight w:val="0"/>
          <w:marTop w:val="0"/>
          <w:marBottom w:val="0"/>
          <w:divBdr>
            <w:top w:val="none" w:sz="0" w:space="0" w:color="auto"/>
            <w:left w:val="none" w:sz="0" w:space="0" w:color="auto"/>
            <w:bottom w:val="none" w:sz="0" w:space="0" w:color="auto"/>
            <w:right w:val="none" w:sz="0" w:space="0" w:color="auto"/>
          </w:divBdr>
        </w:div>
        <w:div w:id="1417938215">
          <w:marLeft w:val="480"/>
          <w:marRight w:val="0"/>
          <w:marTop w:val="0"/>
          <w:marBottom w:val="0"/>
          <w:divBdr>
            <w:top w:val="none" w:sz="0" w:space="0" w:color="auto"/>
            <w:left w:val="none" w:sz="0" w:space="0" w:color="auto"/>
            <w:bottom w:val="none" w:sz="0" w:space="0" w:color="auto"/>
            <w:right w:val="none" w:sz="0" w:space="0" w:color="auto"/>
          </w:divBdr>
        </w:div>
        <w:div w:id="1040931718">
          <w:marLeft w:val="480"/>
          <w:marRight w:val="0"/>
          <w:marTop w:val="0"/>
          <w:marBottom w:val="0"/>
          <w:divBdr>
            <w:top w:val="none" w:sz="0" w:space="0" w:color="auto"/>
            <w:left w:val="none" w:sz="0" w:space="0" w:color="auto"/>
            <w:bottom w:val="none" w:sz="0" w:space="0" w:color="auto"/>
            <w:right w:val="none" w:sz="0" w:space="0" w:color="auto"/>
          </w:divBdr>
        </w:div>
        <w:div w:id="1367868736">
          <w:marLeft w:val="480"/>
          <w:marRight w:val="0"/>
          <w:marTop w:val="0"/>
          <w:marBottom w:val="0"/>
          <w:divBdr>
            <w:top w:val="none" w:sz="0" w:space="0" w:color="auto"/>
            <w:left w:val="none" w:sz="0" w:space="0" w:color="auto"/>
            <w:bottom w:val="none" w:sz="0" w:space="0" w:color="auto"/>
            <w:right w:val="none" w:sz="0" w:space="0" w:color="auto"/>
          </w:divBdr>
        </w:div>
        <w:div w:id="2136485781">
          <w:marLeft w:val="480"/>
          <w:marRight w:val="0"/>
          <w:marTop w:val="0"/>
          <w:marBottom w:val="0"/>
          <w:divBdr>
            <w:top w:val="none" w:sz="0" w:space="0" w:color="auto"/>
            <w:left w:val="none" w:sz="0" w:space="0" w:color="auto"/>
            <w:bottom w:val="none" w:sz="0" w:space="0" w:color="auto"/>
            <w:right w:val="none" w:sz="0" w:space="0" w:color="auto"/>
          </w:divBdr>
        </w:div>
        <w:div w:id="1924293816">
          <w:marLeft w:val="480"/>
          <w:marRight w:val="0"/>
          <w:marTop w:val="0"/>
          <w:marBottom w:val="0"/>
          <w:divBdr>
            <w:top w:val="none" w:sz="0" w:space="0" w:color="auto"/>
            <w:left w:val="none" w:sz="0" w:space="0" w:color="auto"/>
            <w:bottom w:val="none" w:sz="0" w:space="0" w:color="auto"/>
            <w:right w:val="none" w:sz="0" w:space="0" w:color="auto"/>
          </w:divBdr>
        </w:div>
        <w:div w:id="137039115">
          <w:marLeft w:val="480"/>
          <w:marRight w:val="0"/>
          <w:marTop w:val="0"/>
          <w:marBottom w:val="0"/>
          <w:divBdr>
            <w:top w:val="none" w:sz="0" w:space="0" w:color="auto"/>
            <w:left w:val="none" w:sz="0" w:space="0" w:color="auto"/>
            <w:bottom w:val="none" w:sz="0" w:space="0" w:color="auto"/>
            <w:right w:val="none" w:sz="0" w:space="0" w:color="auto"/>
          </w:divBdr>
        </w:div>
        <w:div w:id="2091266798">
          <w:marLeft w:val="480"/>
          <w:marRight w:val="0"/>
          <w:marTop w:val="0"/>
          <w:marBottom w:val="0"/>
          <w:divBdr>
            <w:top w:val="none" w:sz="0" w:space="0" w:color="auto"/>
            <w:left w:val="none" w:sz="0" w:space="0" w:color="auto"/>
            <w:bottom w:val="none" w:sz="0" w:space="0" w:color="auto"/>
            <w:right w:val="none" w:sz="0" w:space="0" w:color="auto"/>
          </w:divBdr>
        </w:div>
        <w:div w:id="2121486375">
          <w:marLeft w:val="480"/>
          <w:marRight w:val="0"/>
          <w:marTop w:val="0"/>
          <w:marBottom w:val="0"/>
          <w:divBdr>
            <w:top w:val="none" w:sz="0" w:space="0" w:color="auto"/>
            <w:left w:val="none" w:sz="0" w:space="0" w:color="auto"/>
            <w:bottom w:val="none" w:sz="0" w:space="0" w:color="auto"/>
            <w:right w:val="none" w:sz="0" w:space="0" w:color="auto"/>
          </w:divBdr>
        </w:div>
        <w:div w:id="116872479">
          <w:marLeft w:val="480"/>
          <w:marRight w:val="0"/>
          <w:marTop w:val="0"/>
          <w:marBottom w:val="0"/>
          <w:divBdr>
            <w:top w:val="none" w:sz="0" w:space="0" w:color="auto"/>
            <w:left w:val="none" w:sz="0" w:space="0" w:color="auto"/>
            <w:bottom w:val="none" w:sz="0" w:space="0" w:color="auto"/>
            <w:right w:val="none" w:sz="0" w:space="0" w:color="auto"/>
          </w:divBdr>
        </w:div>
        <w:div w:id="885872781">
          <w:marLeft w:val="480"/>
          <w:marRight w:val="0"/>
          <w:marTop w:val="0"/>
          <w:marBottom w:val="0"/>
          <w:divBdr>
            <w:top w:val="none" w:sz="0" w:space="0" w:color="auto"/>
            <w:left w:val="none" w:sz="0" w:space="0" w:color="auto"/>
            <w:bottom w:val="none" w:sz="0" w:space="0" w:color="auto"/>
            <w:right w:val="none" w:sz="0" w:space="0" w:color="auto"/>
          </w:divBdr>
        </w:div>
        <w:div w:id="1125611717">
          <w:marLeft w:val="480"/>
          <w:marRight w:val="0"/>
          <w:marTop w:val="0"/>
          <w:marBottom w:val="0"/>
          <w:divBdr>
            <w:top w:val="none" w:sz="0" w:space="0" w:color="auto"/>
            <w:left w:val="none" w:sz="0" w:space="0" w:color="auto"/>
            <w:bottom w:val="none" w:sz="0" w:space="0" w:color="auto"/>
            <w:right w:val="none" w:sz="0" w:space="0" w:color="auto"/>
          </w:divBdr>
        </w:div>
        <w:div w:id="947616234">
          <w:marLeft w:val="480"/>
          <w:marRight w:val="0"/>
          <w:marTop w:val="0"/>
          <w:marBottom w:val="0"/>
          <w:divBdr>
            <w:top w:val="none" w:sz="0" w:space="0" w:color="auto"/>
            <w:left w:val="none" w:sz="0" w:space="0" w:color="auto"/>
            <w:bottom w:val="none" w:sz="0" w:space="0" w:color="auto"/>
            <w:right w:val="none" w:sz="0" w:space="0" w:color="auto"/>
          </w:divBdr>
        </w:div>
        <w:div w:id="995494609">
          <w:marLeft w:val="480"/>
          <w:marRight w:val="0"/>
          <w:marTop w:val="0"/>
          <w:marBottom w:val="0"/>
          <w:divBdr>
            <w:top w:val="none" w:sz="0" w:space="0" w:color="auto"/>
            <w:left w:val="none" w:sz="0" w:space="0" w:color="auto"/>
            <w:bottom w:val="none" w:sz="0" w:space="0" w:color="auto"/>
            <w:right w:val="none" w:sz="0" w:space="0" w:color="auto"/>
          </w:divBdr>
        </w:div>
        <w:div w:id="2005549402">
          <w:marLeft w:val="480"/>
          <w:marRight w:val="0"/>
          <w:marTop w:val="0"/>
          <w:marBottom w:val="0"/>
          <w:divBdr>
            <w:top w:val="none" w:sz="0" w:space="0" w:color="auto"/>
            <w:left w:val="none" w:sz="0" w:space="0" w:color="auto"/>
            <w:bottom w:val="none" w:sz="0" w:space="0" w:color="auto"/>
            <w:right w:val="none" w:sz="0" w:space="0" w:color="auto"/>
          </w:divBdr>
        </w:div>
        <w:div w:id="1179468170">
          <w:marLeft w:val="480"/>
          <w:marRight w:val="0"/>
          <w:marTop w:val="0"/>
          <w:marBottom w:val="0"/>
          <w:divBdr>
            <w:top w:val="none" w:sz="0" w:space="0" w:color="auto"/>
            <w:left w:val="none" w:sz="0" w:space="0" w:color="auto"/>
            <w:bottom w:val="none" w:sz="0" w:space="0" w:color="auto"/>
            <w:right w:val="none" w:sz="0" w:space="0" w:color="auto"/>
          </w:divBdr>
        </w:div>
        <w:div w:id="1809007155">
          <w:marLeft w:val="480"/>
          <w:marRight w:val="0"/>
          <w:marTop w:val="0"/>
          <w:marBottom w:val="0"/>
          <w:divBdr>
            <w:top w:val="none" w:sz="0" w:space="0" w:color="auto"/>
            <w:left w:val="none" w:sz="0" w:space="0" w:color="auto"/>
            <w:bottom w:val="none" w:sz="0" w:space="0" w:color="auto"/>
            <w:right w:val="none" w:sz="0" w:space="0" w:color="auto"/>
          </w:divBdr>
        </w:div>
      </w:divsChild>
    </w:div>
    <w:div w:id="1254120579">
      <w:bodyDiv w:val="1"/>
      <w:marLeft w:val="0"/>
      <w:marRight w:val="0"/>
      <w:marTop w:val="0"/>
      <w:marBottom w:val="0"/>
      <w:divBdr>
        <w:top w:val="none" w:sz="0" w:space="0" w:color="auto"/>
        <w:left w:val="none" w:sz="0" w:space="0" w:color="auto"/>
        <w:bottom w:val="none" w:sz="0" w:space="0" w:color="auto"/>
        <w:right w:val="none" w:sz="0" w:space="0" w:color="auto"/>
      </w:divBdr>
    </w:div>
    <w:div w:id="1273442823">
      <w:bodyDiv w:val="1"/>
      <w:marLeft w:val="0"/>
      <w:marRight w:val="0"/>
      <w:marTop w:val="0"/>
      <w:marBottom w:val="0"/>
      <w:divBdr>
        <w:top w:val="none" w:sz="0" w:space="0" w:color="auto"/>
        <w:left w:val="none" w:sz="0" w:space="0" w:color="auto"/>
        <w:bottom w:val="none" w:sz="0" w:space="0" w:color="auto"/>
        <w:right w:val="none" w:sz="0" w:space="0" w:color="auto"/>
      </w:divBdr>
      <w:divsChild>
        <w:div w:id="1033921241">
          <w:marLeft w:val="480"/>
          <w:marRight w:val="0"/>
          <w:marTop w:val="0"/>
          <w:marBottom w:val="0"/>
          <w:divBdr>
            <w:top w:val="none" w:sz="0" w:space="0" w:color="auto"/>
            <w:left w:val="none" w:sz="0" w:space="0" w:color="auto"/>
            <w:bottom w:val="none" w:sz="0" w:space="0" w:color="auto"/>
            <w:right w:val="none" w:sz="0" w:space="0" w:color="auto"/>
          </w:divBdr>
        </w:div>
        <w:div w:id="1351877111">
          <w:marLeft w:val="480"/>
          <w:marRight w:val="0"/>
          <w:marTop w:val="0"/>
          <w:marBottom w:val="0"/>
          <w:divBdr>
            <w:top w:val="none" w:sz="0" w:space="0" w:color="auto"/>
            <w:left w:val="none" w:sz="0" w:space="0" w:color="auto"/>
            <w:bottom w:val="none" w:sz="0" w:space="0" w:color="auto"/>
            <w:right w:val="none" w:sz="0" w:space="0" w:color="auto"/>
          </w:divBdr>
        </w:div>
        <w:div w:id="2062947051">
          <w:marLeft w:val="480"/>
          <w:marRight w:val="0"/>
          <w:marTop w:val="0"/>
          <w:marBottom w:val="0"/>
          <w:divBdr>
            <w:top w:val="none" w:sz="0" w:space="0" w:color="auto"/>
            <w:left w:val="none" w:sz="0" w:space="0" w:color="auto"/>
            <w:bottom w:val="none" w:sz="0" w:space="0" w:color="auto"/>
            <w:right w:val="none" w:sz="0" w:space="0" w:color="auto"/>
          </w:divBdr>
        </w:div>
        <w:div w:id="1428308423">
          <w:marLeft w:val="480"/>
          <w:marRight w:val="0"/>
          <w:marTop w:val="0"/>
          <w:marBottom w:val="0"/>
          <w:divBdr>
            <w:top w:val="none" w:sz="0" w:space="0" w:color="auto"/>
            <w:left w:val="none" w:sz="0" w:space="0" w:color="auto"/>
            <w:bottom w:val="none" w:sz="0" w:space="0" w:color="auto"/>
            <w:right w:val="none" w:sz="0" w:space="0" w:color="auto"/>
          </w:divBdr>
        </w:div>
        <w:div w:id="2017683740">
          <w:marLeft w:val="480"/>
          <w:marRight w:val="0"/>
          <w:marTop w:val="0"/>
          <w:marBottom w:val="0"/>
          <w:divBdr>
            <w:top w:val="none" w:sz="0" w:space="0" w:color="auto"/>
            <w:left w:val="none" w:sz="0" w:space="0" w:color="auto"/>
            <w:bottom w:val="none" w:sz="0" w:space="0" w:color="auto"/>
            <w:right w:val="none" w:sz="0" w:space="0" w:color="auto"/>
          </w:divBdr>
        </w:div>
        <w:div w:id="2095319118">
          <w:marLeft w:val="480"/>
          <w:marRight w:val="0"/>
          <w:marTop w:val="0"/>
          <w:marBottom w:val="0"/>
          <w:divBdr>
            <w:top w:val="none" w:sz="0" w:space="0" w:color="auto"/>
            <w:left w:val="none" w:sz="0" w:space="0" w:color="auto"/>
            <w:bottom w:val="none" w:sz="0" w:space="0" w:color="auto"/>
            <w:right w:val="none" w:sz="0" w:space="0" w:color="auto"/>
          </w:divBdr>
        </w:div>
        <w:div w:id="843470207">
          <w:marLeft w:val="480"/>
          <w:marRight w:val="0"/>
          <w:marTop w:val="0"/>
          <w:marBottom w:val="0"/>
          <w:divBdr>
            <w:top w:val="none" w:sz="0" w:space="0" w:color="auto"/>
            <w:left w:val="none" w:sz="0" w:space="0" w:color="auto"/>
            <w:bottom w:val="none" w:sz="0" w:space="0" w:color="auto"/>
            <w:right w:val="none" w:sz="0" w:space="0" w:color="auto"/>
          </w:divBdr>
        </w:div>
        <w:div w:id="498814508">
          <w:marLeft w:val="480"/>
          <w:marRight w:val="0"/>
          <w:marTop w:val="0"/>
          <w:marBottom w:val="0"/>
          <w:divBdr>
            <w:top w:val="none" w:sz="0" w:space="0" w:color="auto"/>
            <w:left w:val="none" w:sz="0" w:space="0" w:color="auto"/>
            <w:bottom w:val="none" w:sz="0" w:space="0" w:color="auto"/>
            <w:right w:val="none" w:sz="0" w:space="0" w:color="auto"/>
          </w:divBdr>
        </w:div>
        <w:div w:id="442071539">
          <w:marLeft w:val="480"/>
          <w:marRight w:val="0"/>
          <w:marTop w:val="0"/>
          <w:marBottom w:val="0"/>
          <w:divBdr>
            <w:top w:val="none" w:sz="0" w:space="0" w:color="auto"/>
            <w:left w:val="none" w:sz="0" w:space="0" w:color="auto"/>
            <w:bottom w:val="none" w:sz="0" w:space="0" w:color="auto"/>
            <w:right w:val="none" w:sz="0" w:space="0" w:color="auto"/>
          </w:divBdr>
        </w:div>
        <w:div w:id="217789397">
          <w:marLeft w:val="480"/>
          <w:marRight w:val="0"/>
          <w:marTop w:val="0"/>
          <w:marBottom w:val="0"/>
          <w:divBdr>
            <w:top w:val="none" w:sz="0" w:space="0" w:color="auto"/>
            <w:left w:val="none" w:sz="0" w:space="0" w:color="auto"/>
            <w:bottom w:val="none" w:sz="0" w:space="0" w:color="auto"/>
            <w:right w:val="none" w:sz="0" w:space="0" w:color="auto"/>
          </w:divBdr>
        </w:div>
        <w:div w:id="105581168">
          <w:marLeft w:val="480"/>
          <w:marRight w:val="0"/>
          <w:marTop w:val="0"/>
          <w:marBottom w:val="0"/>
          <w:divBdr>
            <w:top w:val="none" w:sz="0" w:space="0" w:color="auto"/>
            <w:left w:val="none" w:sz="0" w:space="0" w:color="auto"/>
            <w:bottom w:val="none" w:sz="0" w:space="0" w:color="auto"/>
            <w:right w:val="none" w:sz="0" w:space="0" w:color="auto"/>
          </w:divBdr>
        </w:div>
        <w:div w:id="1725711693">
          <w:marLeft w:val="480"/>
          <w:marRight w:val="0"/>
          <w:marTop w:val="0"/>
          <w:marBottom w:val="0"/>
          <w:divBdr>
            <w:top w:val="none" w:sz="0" w:space="0" w:color="auto"/>
            <w:left w:val="none" w:sz="0" w:space="0" w:color="auto"/>
            <w:bottom w:val="none" w:sz="0" w:space="0" w:color="auto"/>
            <w:right w:val="none" w:sz="0" w:space="0" w:color="auto"/>
          </w:divBdr>
        </w:div>
        <w:div w:id="968361718">
          <w:marLeft w:val="480"/>
          <w:marRight w:val="0"/>
          <w:marTop w:val="0"/>
          <w:marBottom w:val="0"/>
          <w:divBdr>
            <w:top w:val="none" w:sz="0" w:space="0" w:color="auto"/>
            <w:left w:val="none" w:sz="0" w:space="0" w:color="auto"/>
            <w:bottom w:val="none" w:sz="0" w:space="0" w:color="auto"/>
            <w:right w:val="none" w:sz="0" w:space="0" w:color="auto"/>
          </w:divBdr>
        </w:div>
        <w:div w:id="48454969">
          <w:marLeft w:val="480"/>
          <w:marRight w:val="0"/>
          <w:marTop w:val="0"/>
          <w:marBottom w:val="0"/>
          <w:divBdr>
            <w:top w:val="none" w:sz="0" w:space="0" w:color="auto"/>
            <w:left w:val="none" w:sz="0" w:space="0" w:color="auto"/>
            <w:bottom w:val="none" w:sz="0" w:space="0" w:color="auto"/>
            <w:right w:val="none" w:sz="0" w:space="0" w:color="auto"/>
          </w:divBdr>
        </w:div>
        <w:div w:id="176962918">
          <w:marLeft w:val="480"/>
          <w:marRight w:val="0"/>
          <w:marTop w:val="0"/>
          <w:marBottom w:val="0"/>
          <w:divBdr>
            <w:top w:val="none" w:sz="0" w:space="0" w:color="auto"/>
            <w:left w:val="none" w:sz="0" w:space="0" w:color="auto"/>
            <w:bottom w:val="none" w:sz="0" w:space="0" w:color="auto"/>
            <w:right w:val="none" w:sz="0" w:space="0" w:color="auto"/>
          </w:divBdr>
        </w:div>
        <w:div w:id="284312510">
          <w:marLeft w:val="480"/>
          <w:marRight w:val="0"/>
          <w:marTop w:val="0"/>
          <w:marBottom w:val="0"/>
          <w:divBdr>
            <w:top w:val="none" w:sz="0" w:space="0" w:color="auto"/>
            <w:left w:val="none" w:sz="0" w:space="0" w:color="auto"/>
            <w:bottom w:val="none" w:sz="0" w:space="0" w:color="auto"/>
            <w:right w:val="none" w:sz="0" w:space="0" w:color="auto"/>
          </w:divBdr>
        </w:div>
        <w:div w:id="1973095881">
          <w:marLeft w:val="480"/>
          <w:marRight w:val="0"/>
          <w:marTop w:val="0"/>
          <w:marBottom w:val="0"/>
          <w:divBdr>
            <w:top w:val="none" w:sz="0" w:space="0" w:color="auto"/>
            <w:left w:val="none" w:sz="0" w:space="0" w:color="auto"/>
            <w:bottom w:val="none" w:sz="0" w:space="0" w:color="auto"/>
            <w:right w:val="none" w:sz="0" w:space="0" w:color="auto"/>
          </w:divBdr>
        </w:div>
        <w:div w:id="1824854358">
          <w:marLeft w:val="480"/>
          <w:marRight w:val="0"/>
          <w:marTop w:val="0"/>
          <w:marBottom w:val="0"/>
          <w:divBdr>
            <w:top w:val="none" w:sz="0" w:space="0" w:color="auto"/>
            <w:left w:val="none" w:sz="0" w:space="0" w:color="auto"/>
            <w:bottom w:val="none" w:sz="0" w:space="0" w:color="auto"/>
            <w:right w:val="none" w:sz="0" w:space="0" w:color="auto"/>
          </w:divBdr>
        </w:div>
        <w:div w:id="579220463">
          <w:marLeft w:val="480"/>
          <w:marRight w:val="0"/>
          <w:marTop w:val="0"/>
          <w:marBottom w:val="0"/>
          <w:divBdr>
            <w:top w:val="none" w:sz="0" w:space="0" w:color="auto"/>
            <w:left w:val="none" w:sz="0" w:space="0" w:color="auto"/>
            <w:bottom w:val="none" w:sz="0" w:space="0" w:color="auto"/>
            <w:right w:val="none" w:sz="0" w:space="0" w:color="auto"/>
          </w:divBdr>
        </w:div>
        <w:div w:id="1652830120">
          <w:marLeft w:val="480"/>
          <w:marRight w:val="0"/>
          <w:marTop w:val="0"/>
          <w:marBottom w:val="0"/>
          <w:divBdr>
            <w:top w:val="none" w:sz="0" w:space="0" w:color="auto"/>
            <w:left w:val="none" w:sz="0" w:space="0" w:color="auto"/>
            <w:bottom w:val="none" w:sz="0" w:space="0" w:color="auto"/>
            <w:right w:val="none" w:sz="0" w:space="0" w:color="auto"/>
          </w:divBdr>
        </w:div>
        <w:div w:id="1240017045">
          <w:marLeft w:val="480"/>
          <w:marRight w:val="0"/>
          <w:marTop w:val="0"/>
          <w:marBottom w:val="0"/>
          <w:divBdr>
            <w:top w:val="none" w:sz="0" w:space="0" w:color="auto"/>
            <w:left w:val="none" w:sz="0" w:space="0" w:color="auto"/>
            <w:bottom w:val="none" w:sz="0" w:space="0" w:color="auto"/>
            <w:right w:val="none" w:sz="0" w:space="0" w:color="auto"/>
          </w:divBdr>
        </w:div>
        <w:div w:id="8801185">
          <w:marLeft w:val="480"/>
          <w:marRight w:val="0"/>
          <w:marTop w:val="0"/>
          <w:marBottom w:val="0"/>
          <w:divBdr>
            <w:top w:val="none" w:sz="0" w:space="0" w:color="auto"/>
            <w:left w:val="none" w:sz="0" w:space="0" w:color="auto"/>
            <w:bottom w:val="none" w:sz="0" w:space="0" w:color="auto"/>
            <w:right w:val="none" w:sz="0" w:space="0" w:color="auto"/>
          </w:divBdr>
        </w:div>
        <w:div w:id="2073115079">
          <w:marLeft w:val="480"/>
          <w:marRight w:val="0"/>
          <w:marTop w:val="0"/>
          <w:marBottom w:val="0"/>
          <w:divBdr>
            <w:top w:val="none" w:sz="0" w:space="0" w:color="auto"/>
            <w:left w:val="none" w:sz="0" w:space="0" w:color="auto"/>
            <w:bottom w:val="none" w:sz="0" w:space="0" w:color="auto"/>
            <w:right w:val="none" w:sz="0" w:space="0" w:color="auto"/>
          </w:divBdr>
        </w:div>
        <w:div w:id="791169805">
          <w:marLeft w:val="480"/>
          <w:marRight w:val="0"/>
          <w:marTop w:val="0"/>
          <w:marBottom w:val="0"/>
          <w:divBdr>
            <w:top w:val="none" w:sz="0" w:space="0" w:color="auto"/>
            <w:left w:val="none" w:sz="0" w:space="0" w:color="auto"/>
            <w:bottom w:val="none" w:sz="0" w:space="0" w:color="auto"/>
            <w:right w:val="none" w:sz="0" w:space="0" w:color="auto"/>
          </w:divBdr>
        </w:div>
      </w:divsChild>
    </w:div>
    <w:div w:id="1326199967">
      <w:bodyDiv w:val="1"/>
      <w:marLeft w:val="0"/>
      <w:marRight w:val="0"/>
      <w:marTop w:val="0"/>
      <w:marBottom w:val="0"/>
      <w:divBdr>
        <w:top w:val="none" w:sz="0" w:space="0" w:color="auto"/>
        <w:left w:val="none" w:sz="0" w:space="0" w:color="auto"/>
        <w:bottom w:val="none" w:sz="0" w:space="0" w:color="auto"/>
        <w:right w:val="none" w:sz="0" w:space="0" w:color="auto"/>
      </w:divBdr>
    </w:div>
    <w:div w:id="1496415768">
      <w:bodyDiv w:val="1"/>
      <w:marLeft w:val="0"/>
      <w:marRight w:val="0"/>
      <w:marTop w:val="0"/>
      <w:marBottom w:val="0"/>
      <w:divBdr>
        <w:top w:val="none" w:sz="0" w:space="0" w:color="auto"/>
        <w:left w:val="none" w:sz="0" w:space="0" w:color="auto"/>
        <w:bottom w:val="none" w:sz="0" w:space="0" w:color="auto"/>
        <w:right w:val="none" w:sz="0" w:space="0" w:color="auto"/>
      </w:divBdr>
    </w:div>
    <w:div w:id="1524050897">
      <w:bodyDiv w:val="1"/>
      <w:marLeft w:val="0"/>
      <w:marRight w:val="0"/>
      <w:marTop w:val="0"/>
      <w:marBottom w:val="0"/>
      <w:divBdr>
        <w:top w:val="none" w:sz="0" w:space="0" w:color="auto"/>
        <w:left w:val="none" w:sz="0" w:space="0" w:color="auto"/>
        <w:bottom w:val="none" w:sz="0" w:space="0" w:color="auto"/>
        <w:right w:val="none" w:sz="0" w:space="0" w:color="auto"/>
      </w:divBdr>
    </w:div>
    <w:div w:id="1572689984">
      <w:bodyDiv w:val="1"/>
      <w:marLeft w:val="0"/>
      <w:marRight w:val="0"/>
      <w:marTop w:val="0"/>
      <w:marBottom w:val="0"/>
      <w:divBdr>
        <w:top w:val="none" w:sz="0" w:space="0" w:color="auto"/>
        <w:left w:val="none" w:sz="0" w:space="0" w:color="auto"/>
        <w:bottom w:val="none" w:sz="0" w:space="0" w:color="auto"/>
        <w:right w:val="none" w:sz="0" w:space="0" w:color="auto"/>
      </w:divBdr>
    </w:div>
    <w:div w:id="1576356114">
      <w:bodyDiv w:val="1"/>
      <w:marLeft w:val="0"/>
      <w:marRight w:val="0"/>
      <w:marTop w:val="0"/>
      <w:marBottom w:val="0"/>
      <w:divBdr>
        <w:top w:val="none" w:sz="0" w:space="0" w:color="auto"/>
        <w:left w:val="none" w:sz="0" w:space="0" w:color="auto"/>
        <w:bottom w:val="none" w:sz="0" w:space="0" w:color="auto"/>
        <w:right w:val="none" w:sz="0" w:space="0" w:color="auto"/>
      </w:divBdr>
    </w:div>
    <w:div w:id="1653018542">
      <w:bodyDiv w:val="1"/>
      <w:marLeft w:val="0"/>
      <w:marRight w:val="0"/>
      <w:marTop w:val="0"/>
      <w:marBottom w:val="0"/>
      <w:divBdr>
        <w:top w:val="none" w:sz="0" w:space="0" w:color="auto"/>
        <w:left w:val="none" w:sz="0" w:space="0" w:color="auto"/>
        <w:bottom w:val="none" w:sz="0" w:space="0" w:color="auto"/>
        <w:right w:val="none" w:sz="0" w:space="0" w:color="auto"/>
      </w:divBdr>
    </w:div>
    <w:div w:id="1699696663">
      <w:bodyDiv w:val="1"/>
      <w:marLeft w:val="0"/>
      <w:marRight w:val="0"/>
      <w:marTop w:val="0"/>
      <w:marBottom w:val="0"/>
      <w:divBdr>
        <w:top w:val="none" w:sz="0" w:space="0" w:color="auto"/>
        <w:left w:val="none" w:sz="0" w:space="0" w:color="auto"/>
        <w:bottom w:val="none" w:sz="0" w:space="0" w:color="auto"/>
        <w:right w:val="none" w:sz="0" w:space="0" w:color="auto"/>
      </w:divBdr>
    </w:div>
    <w:div w:id="1760369501">
      <w:bodyDiv w:val="1"/>
      <w:marLeft w:val="0"/>
      <w:marRight w:val="0"/>
      <w:marTop w:val="0"/>
      <w:marBottom w:val="0"/>
      <w:divBdr>
        <w:top w:val="none" w:sz="0" w:space="0" w:color="auto"/>
        <w:left w:val="none" w:sz="0" w:space="0" w:color="auto"/>
        <w:bottom w:val="none" w:sz="0" w:space="0" w:color="auto"/>
        <w:right w:val="none" w:sz="0" w:space="0" w:color="auto"/>
      </w:divBdr>
      <w:divsChild>
        <w:div w:id="1183206174">
          <w:marLeft w:val="480"/>
          <w:marRight w:val="0"/>
          <w:marTop w:val="0"/>
          <w:marBottom w:val="0"/>
          <w:divBdr>
            <w:top w:val="none" w:sz="0" w:space="0" w:color="auto"/>
            <w:left w:val="none" w:sz="0" w:space="0" w:color="auto"/>
            <w:bottom w:val="none" w:sz="0" w:space="0" w:color="auto"/>
            <w:right w:val="none" w:sz="0" w:space="0" w:color="auto"/>
          </w:divBdr>
        </w:div>
        <w:div w:id="1289431031">
          <w:marLeft w:val="480"/>
          <w:marRight w:val="0"/>
          <w:marTop w:val="0"/>
          <w:marBottom w:val="0"/>
          <w:divBdr>
            <w:top w:val="none" w:sz="0" w:space="0" w:color="auto"/>
            <w:left w:val="none" w:sz="0" w:space="0" w:color="auto"/>
            <w:bottom w:val="none" w:sz="0" w:space="0" w:color="auto"/>
            <w:right w:val="none" w:sz="0" w:space="0" w:color="auto"/>
          </w:divBdr>
        </w:div>
        <w:div w:id="921641644">
          <w:marLeft w:val="480"/>
          <w:marRight w:val="0"/>
          <w:marTop w:val="0"/>
          <w:marBottom w:val="0"/>
          <w:divBdr>
            <w:top w:val="none" w:sz="0" w:space="0" w:color="auto"/>
            <w:left w:val="none" w:sz="0" w:space="0" w:color="auto"/>
            <w:bottom w:val="none" w:sz="0" w:space="0" w:color="auto"/>
            <w:right w:val="none" w:sz="0" w:space="0" w:color="auto"/>
          </w:divBdr>
        </w:div>
        <w:div w:id="869877535">
          <w:marLeft w:val="480"/>
          <w:marRight w:val="0"/>
          <w:marTop w:val="0"/>
          <w:marBottom w:val="0"/>
          <w:divBdr>
            <w:top w:val="none" w:sz="0" w:space="0" w:color="auto"/>
            <w:left w:val="none" w:sz="0" w:space="0" w:color="auto"/>
            <w:bottom w:val="none" w:sz="0" w:space="0" w:color="auto"/>
            <w:right w:val="none" w:sz="0" w:space="0" w:color="auto"/>
          </w:divBdr>
        </w:div>
        <w:div w:id="219555215">
          <w:marLeft w:val="480"/>
          <w:marRight w:val="0"/>
          <w:marTop w:val="0"/>
          <w:marBottom w:val="0"/>
          <w:divBdr>
            <w:top w:val="none" w:sz="0" w:space="0" w:color="auto"/>
            <w:left w:val="none" w:sz="0" w:space="0" w:color="auto"/>
            <w:bottom w:val="none" w:sz="0" w:space="0" w:color="auto"/>
            <w:right w:val="none" w:sz="0" w:space="0" w:color="auto"/>
          </w:divBdr>
        </w:div>
        <w:div w:id="1813712462">
          <w:marLeft w:val="480"/>
          <w:marRight w:val="0"/>
          <w:marTop w:val="0"/>
          <w:marBottom w:val="0"/>
          <w:divBdr>
            <w:top w:val="none" w:sz="0" w:space="0" w:color="auto"/>
            <w:left w:val="none" w:sz="0" w:space="0" w:color="auto"/>
            <w:bottom w:val="none" w:sz="0" w:space="0" w:color="auto"/>
            <w:right w:val="none" w:sz="0" w:space="0" w:color="auto"/>
          </w:divBdr>
        </w:div>
        <w:div w:id="1407653782">
          <w:marLeft w:val="480"/>
          <w:marRight w:val="0"/>
          <w:marTop w:val="0"/>
          <w:marBottom w:val="0"/>
          <w:divBdr>
            <w:top w:val="none" w:sz="0" w:space="0" w:color="auto"/>
            <w:left w:val="none" w:sz="0" w:space="0" w:color="auto"/>
            <w:bottom w:val="none" w:sz="0" w:space="0" w:color="auto"/>
            <w:right w:val="none" w:sz="0" w:space="0" w:color="auto"/>
          </w:divBdr>
        </w:div>
        <w:div w:id="1564028289">
          <w:marLeft w:val="480"/>
          <w:marRight w:val="0"/>
          <w:marTop w:val="0"/>
          <w:marBottom w:val="0"/>
          <w:divBdr>
            <w:top w:val="none" w:sz="0" w:space="0" w:color="auto"/>
            <w:left w:val="none" w:sz="0" w:space="0" w:color="auto"/>
            <w:bottom w:val="none" w:sz="0" w:space="0" w:color="auto"/>
            <w:right w:val="none" w:sz="0" w:space="0" w:color="auto"/>
          </w:divBdr>
        </w:div>
        <w:div w:id="941843655">
          <w:marLeft w:val="480"/>
          <w:marRight w:val="0"/>
          <w:marTop w:val="0"/>
          <w:marBottom w:val="0"/>
          <w:divBdr>
            <w:top w:val="none" w:sz="0" w:space="0" w:color="auto"/>
            <w:left w:val="none" w:sz="0" w:space="0" w:color="auto"/>
            <w:bottom w:val="none" w:sz="0" w:space="0" w:color="auto"/>
            <w:right w:val="none" w:sz="0" w:space="0" w:color="auto"/>
          </w:divBdr>
        </w:div>
        <w:div w:id="1236354701">
          <w:marLeft w:val="480"/>
          <w:marRight w:val="0"/>
          <w:marTop w:val="0"/>
          <w:marBottom w:val="0"/>
          <w:divBdr>
            <w:top w:val="none" w:sz="0" w:space="0" w:color="auto"/>
            <w:left w:val="none" w:sz="0" w:space="0" w:color="auto"/>
            <w:bottom w:val="none" w:sz="0" w:space="0" w:color="auto"/>
            <w:right w:val="none" w:sz="0" w:space="0" w:color="auto"/>
          </w:divBdr>
        </w:div>
        <w:div w:id="845752131">
          <w:marLeft w:val="480"/>
          <w:marRight w:val="0"/>
          <w:marTop w:val="0"/>
          <w:marBottom w:val="0"/>
          <w:divBdr>
            <w:top w:val="none" w:sz="0" w:space="0" w:color="auto"/>
            <w:left w:val="none" w:sz="0" w:space="0" w:color="auto"/>
            <w:bottom w:val="none" w:sz="0" w:space="0" w:color="auto"/>
            <w:right w:val="none" w:sz="0" w:space="0" w:color="auto"/>
          </w:divBdr>
        </w:div>
        <w:div w:id="1285650299">
          <w:marLeft w:val="480"/>
          <w:marRight w:val="0"/>
          <w:marTop w:val="0"/>
          <w:marBottom w:val="0"/>
          <w:divBdr>
            <w:top w:val="none" w:sz="0" w:space="0" w:color="auto"/>
            <w:left w:val="none" w:sz="0" w:space="0" w:color="auto"/>
            <w:bottom w:val="none" w:sz="0" w:space="0" w:color="auto"/>
            <w:right w:val="none" w:sz="0" w:space="0" w:color="auto"/>
          </w:divBdr>
        </w:div>
        <w:div w:id="1352147419">
          <w:marLeft w:val="480"/>
          <w:marRight w:val="0"/>
          <w:marTop w:val="0"/>
          <w:marBottom w:val="0"/>
          <w:divBdr>
            <w:top w:val="none" w:sz="0" w:space="0" w:color="auto"/>
            <w:left w:val="none" w:sz="0" w:space="0" w:color="auto"/>
            <w:bottom w:val="none" w:sz="0" w:space="0" w:color="auto"/>
            <w:right w:val="none" w:sz="0" w:space="0" w:color="auto"/>
          </w:divBdr>
        </w:div>
        <w:div w:id="1836415614">
          <w:marLeft w:val="480"/>
          <w:marRight w:val="0"/>
          <w:marTop w:val="0"/>
          <w:marBottom w:val="0"/>
          <w:divBdr>
            <w:top w:val="none" w:sz="0" w:space="0" w:color="auto"/>
            <w:left w:val="none" w:sz="0" w:space="0" w:color="auto"/>
            <w:bottom w:val="none" w:sz="0" w:space="0" w:color="auto"/>
            <w:right w:val="none" w:sz="0" w:space="0" w:color="auto"/>
          </w:divBdr>
        </w:div>
        <w:div w:id="1705862926">
          <w:marLeft w:val="480"/>
          <w:marRight w:val="0"/>
          <w:marTop w:val="0"/>
          <w:marBottom w:val="0"/>
          <w:divBdr>
            <w:top w:val="none" w:sz="0" w:space="0" w:color="auto"/>
            <w:left w:val="none" w:sz="0" w:space="0" w:color="auto"/>
            <w:bottom w:val="none" w:sz="0" w:space="0" w:color="auto"/>
            <w:right w:val="none" w:sz="0" w:space="0" w:color="auto"/>
          </w:divBdr>
        </w:div>
        <w:div w:id="499194938">
          <w:marLeft w:val="480"/>
          <w:marRight w:val="0"/>
          <w:marTop w:val="0"/>
          <w:marBottom w:val="0"/>
          <w:divBdr>
            <w:top w:val="none" w:sz="0" w:space="0" w:color="auto"/>
            <w:left w:val="none" w:sz="0" w:space="0" w:color="auto"/>
            <w:bottom w:val="none" w:sz="0" w:space="0" w:color="auto"/>
            <w:right w:val="none" w:sz="0" w:space="0" w:color="auto"/>
          </w:divBdr>
        </w:div>
        <w:div w:id="1820607949">
          <w:marLeft w:val="480"/>
          <w:marRight w:val="0"/>
          <w:marTop w:val="0"/>
          <w:marBottom w:val="0"/>
          <w:divBdr>
            <w:top w:val="none" w:sz="0" w:space="0" w:color="auto"/>
            <w:left w:val="none" w:sz="0" w:space="0" w:color="auto"/>
            <w:bottom w:val="none" w:sz="0" w:space="0" w:color="auto"/>
            <w:right w:val="none" w:sz="0" w:space="0" w:color="auto"/>
          </w:divBdr>
        </w:div>
        <w:div w:id="1798717626">
          <w:marLeft w:val="480"/>
          <w:marRight w:val="0"/>
          <w:marTop w:val="0"/>
          <w:marBottom w:val="0"/>
          <w:divBdr>
            <w:top w:val="none" w:sz="0" w:space="0" w:color="auto"/>
            <w:left w:val="none" w:sz="0" w:space="0" w:color="auto"/>
            <w:bottom w:val="none" w:sz="0" w:space="0" w:color="auto"/>
            <w:right w:val="none" w:sz="0" w:space="0" w:color="auto"/>
          </w:divBdr>
        </w:div>
        <w:div w:id="720713144">
          <w:marLeft w:val="480"/>
          <w:marRight w:val="0"/>
          <w:marTop w:val="0"/>
          <w:marBottom w:val="0"/>
          <w:divBdr>
            <w:top w:val="none" w:sz="0" w:space="0" w:color="auto"/>
            <w:left w:val="none" w:sz="0" w:space="0" w:color="auto"/>
            <w:bottom w:val="none" w:sz="0" w:space="0" w:color="auto"/>
            <w:right w:val="none" w:sz="0" w:space="0" w:color="auto"/>
          </w:divBdr>
        </w:div>
        <w:div w:id="1757168784">
          <w:marLeft w:val="480"/>
          <w:marRight w:val="0"/>
          <w:marTop w:val="0"/>
          <w:marBottom w:val="0"/>
          <w:divBdr>
            <w:top w:val="none" w:sz="0" w:space="0" w:color="auto"/>
            <w:left w:val="none" w:sz="0" w:space="0" w:color="auto"/>
            <w:bottom w:val="none" w:sz="0" w:space="0" w:color="auto"/>
            <w:right w:val="none" w:sz="0" w:space="0" w:color="auto"/>
          </w:divBdr>
        </w:div>
        <w:div w:id="1900749748">
          <w:marLeft w:val="480"/>
          <w:marRight w:val="0"/>
          <w:marTop w:val="0"/>
          <w:marBottom w:val="0"/>
          <w:divBdr>
            <w:top w:val="none" w:sz="0" w:space="0" w:color="auto"/>
            <w:left w:val="none" w:sz="0" w:space="0" w:color="auto"/>
            <w:bottom w:val="none" w:sz="0" w:space="0" w:color="auto"/>
            <w:right w:val="none" w:sz="0" w:space="0" w:color="auto"/>
          </w:divBdr>
        </w:div>
        <w:div w:id="1205095829">
          <w:marLeft w:val="480"/>
          <w:marRight w:val="0"/>
          <w:marTop w:val="0"/>
          <w:marBottom w:val="0"/>
          <w:divBdr>
            <w:top w:val="none" w:sz="0" w:space="0" w:color="auto"/>
            <w:left w:val="none" w:sz="0" w:space="0" w:color="auto"/>
            <w:bottom w:val="none" w:sz="0" w:space="0" w:color="auto"/>
            <w:right w:val="none" w:sz="0" w:space="0" w:color="auto"/>
          </w:divBdr>
        </w:div>
        <w:div w:id="1815758807">
          <w:marLeft w:val="480"/>
          <w:marRight w:val="0"/>
          <w:marTop w:val="0"/>
          <w:marBottom w:val="0"/>
          <w:divBdr>
            <w:top w:val="none" w:sz="0" w:space="0" w:color="auto"/>
            <w:left w:val="none" w:sz="0" w:space="0" w:color="auto"/>
            <w:bottom w:val="none" w:sz="0" w:space="0" w:color="auto"/>
            <w:right w:val="none" w:sz="0" w:space="0" w:color="auto"/>
          </w:divBdr>
        </w:div>
        <w:div w:id="419058897">
          <w:marLeft w:val="480"/>
          <w:marRight w:val="0"/>
          <w:marTop w:val="0"/>
          <w:marBottom w:val="0"/>
          <w:divBdr>
            <w:top w:val="none" w:sz="0" w:space="0" w:color="auto"/>
            <w:left w:val="none" w:sz="0" w:space="0" w:color="auto"/>
            <w:bottom w:val="none" w:sz="0" w:space="0" w:color="auto"/>
            <w:right w:val="none" w:sz="0" w:space="0" w:color="auto"/>
          </w:divBdr>
        </w:div>
      </w:divsChild>
    </w:div>
    <w:div w:id="1826583247">
      <w:bodyDiv w:val="1"/>
      <w:marLeft w:val="0"/>
      <w:marRight w:val="0"/>
      <w:marTop w:val="0"/>
      <w:marBottom w:val="0"/>
      <w:divBdr>
        <w:top w:val="none" w:sz="0" w:space="0" w:color="auto"/>
        <w:left w:val="none" w:sz="0" w:space="0" w:color="auto"/>
        <w:bottom w:val="none" w:sz="0" w:space="0" w:color="auto"/>
        <w:right w:val="none" w:sz="0" w:space="0" w:color="auto"/>
      </w:divBdr>
      <w:divsChild>
        <w:div w:id="189034658">
          <w:marLeft w:val="480"/>
          <w:marRight w:val="0"/>
          <w:marTop w:val="0"/>
          <w:marBottom w:val="0"/>
          <w:divBdr>
            <w:top w:val="none" w:sz="0" w:space="0" w:color="auto"/>
            <w:left w:val="none" w:sz="0" w:space="0" w:color="auto"/>
            <w:bottom w:val="none" w:sz="0" w:space="0" w:color="auto"/>
            <w:right w:val="none" w:sz="0" w:space="0" w:color="auto"/>
          </w:divBdr>
        </w:div>
        <w:div w:id="366294083">
          <w:marLeft w:val="480"/>
          <w:marRight w:val="0"/>
          <w:marTop w:val="0"/>
          <w:marBottom w:val="0"/>
          <w:divBdr>
            <w:top w:val="none" w:sz="0" w:space="0" w:color="auto"/>
            <w:left w:val="none" w:sz="0" w:space="0" w:color="auto"/>
            <w:bottom w:val="none" w:sz="0" w:space="0" w:color="auto"/>
            <w:right w:val="none" w:sz="0" w:space="0" w:color="auto"/>
          </w:divBdr>
        </w:div>
        <w:div w:id="2101950513">
          <w:marLeft w:val="480"/>
          <w:marRight w:val="0"/>
          <w:marTop w:val="0"/>
          <w:marBottom w:val="0"/>
          <w:divBdr>
            <w:top w:val="none" w:sz="0" w:space="0" w:color="auto"/>
            <w:left w:val="none" w:sz="0" w:space="0" w:color="auto"/>
            <w:bottom w:val="none" w:sz="0" w:space="0" w:color="auto"/>
            <w:right w:val="none" w:sz="0" w:space="0" w:color="auto"/>
          </w:divBdr>
        </w:div>
        <w:div w:id="969436220">
          <w:marLeft w:val="480"/>
          <w:marRight w:val="0"/>
          <w:marTop w:val="0"/>
          <w:marBottom w:val="0"/>
          <w:divBdr>
            <w:top w:val="none" w:sz="0" w:space="0" w:color="auto"/>
            <w:left w:val="none" w:sz="0" w:space="0" w:color="auto"/>
            <w:bottom w:val="none" w:sz="0" w:space="0" w:color="auto"/>
            <w:right w:val="none" w:sz="0" w:space="0" w:color="auto"/>
          </w:divBdr>
        </w:div>
        <w:div w:id="1657686742">
          <w:marLeft w:val="480"/>
          <w:marRight w:val="0"/>
          <w:marTop w:val="0"/>
          <w:marBottom w:val="0"/>
          <w:divBdr>
            <w:top w:val="none" w:sz="0" w:space="0" w:color="auto"/>
            <w:left w:val="none" w:sz="0" w:space="0" w:color="auto"/>
            <w:bottom w:val="none" w:sz="0" w:space="0" w:color="auto"/>
            <w:right w:val="none" w:sz="0" w:space="0" w:color="auto"/>
          </w:divBdr>
        </w:div>
        <w:div w:id="29188774">
          <w:marLeft w:val="480"/>
          <w:marRight w:val="0"/>
          <w:marTop w:val="0"/>
          <w:marBottom w:val="0"/>
          <w:divBdr>
            <w:top w:val="none" w:sz="0" w:space="0" w:color="auto"/>
            <w:left w:val="none" w:sz="0" w:space="0" w:color="auto"/>
            <w:bottom w:val="none" w:sz="0" w:space="0" w:color="auto"/>
            <w:right w:val="none" w:sz="0" w:space="0" w:color="auto"/>
          </w:divBdr>
        </w:div>
        <w:div w:id="639651808">
          <w:marLeft w:val="480"/>
          <w:marRight w:val="0"/>
          <w:marTop w:val="0"/>
          <w:marBottom w:val="0"/>
          <w:divBdr>
            <w:top w:val="none" w:sz="0" w:space="0" w:color="auto"/>
            <w:left w:val="none" w:sz="0" w:space="0" w:color="auto"/>
            <w:bottom w:val="none" w:sz="0" w:space="0" w:color="auto"/>
            <w:right w:val="none" w:sz="0" w:space="0" w:color="auto"/>
          </w:divBdr>
        </w:div>
        <w:div w:id="1701395580">
          <w:marLeft w:val="480"/>
          <w:marRight w:val="0"/>
          <w:marTop w:val="0"/>
          <w:marBottom w:val="0"/>
          <w:divBdr>
            <w:top w:val="none" w:sz="0" w:space="0" w:color="auto"/>
            <w:left w:val="none" w:sz="0" w:space="0" w:color="auto"/>
            <w:bottom w:val="none" w:sz="0" w:space="0" w:color="auto"/>
            <w:right w:val="none" w:sz="0" w:space="0" w:color="auto"/>
          </w:divBdr>
        </w:div>
        <w:div w:id="118231537">
          <w:marLeft w:val="480"/>
          <w:marRight w:val="0"/>
          <w:marTop w:val="0"/>
          <w:marBottom w:val="0"/>
          <w:divBdr>
            <w:top w:val="none" w:sz="0" w:space="0" w:color="auto"/>
            <w:left w:val="none" w:sz="0" w:space="0" w:color="auto"/>
            <w:bottom w:val="none" w:sz="0" w:space="0" w:color="auto"/>
            <w:right w:val="none" w:sz="0" w:space="0" w:color="auto"/>
          </w:divBdr>
        </w:div>
        <w:div w:id="1208645079">
          <w:marLeft w:val="480"/>
          <w:marRight w:val="0"/>
          <w:marTop w:val="0"/>
          <w:marBottom w:val="0"/>
          <w:divBdr>
            <w:top w:val="none" w:sz="0" w:space="0" w:color="auto"/>
            <w:left w:val="none" w:sz="0" w:space="0" w:color="auto"/>
            <w:bottom w:val="none" w:sz="0" w:space="0" w:color="auto"/>
            <w:right w:val="none" w:sz="0" w:space="0" w:color="auto"/>
          </w:divBdr>
        </w:div>
        <w:div w:id="1665283643">
          <w:marLeft w:val="480"/>
          <w:marRight w:val="0"/>
          <w:marTop w:val="0"/>
          <w:marBottom w:val="0"/>
          <w:divBdr>
            <w:top w:val="none" w:sz="0" w:space="0" w:color="auto"/>
            <w:left w:val="none" w:sz="0" w:space="0" w:color="auto"/>
            <w:bottom w:val="none" w:sz="0" w:space="0" w:color="auto"/>
            <w:right w:val="none" w:sz="0" w:space="0" w:color="auto"/>
          </w:divBdr>
        </w:div>
        <w:div w:id="2119376077">
          <w:marLeft w:val="480"/>
          <w:marRight w:val="0"/>
          <w:marTop w:val="0"/>
          <w:marBottom w:val="0"/>
          <w:divBdr>
            <w:top w:val="none" w:sz="0" w:space="0" w:color="auto"/>
            <w:left w:val="none" w:sz="0" w:space="0" w:color="auto"/>
            <w:bottom w:val="none" w:sz="0" w:space="0" w:color="auto"/>
            <w:right w:val="none" w:sz="0" w:space="0" w:color="auto"/>
          </w:divBdr>
        </w:div>
        <w:div w:id="2132280477">
          <w:marLeft w:val="480"/>
          <w:marRight w:val="0"/>
          <w:marTop w:val="0"/>
          <w:marBottom w:val="0"/>
          <w:divBdr>
            <w:top w:val="none" w:sz="0" w:space="0" w:color="auto"/>
            <w:left w:val="none" w:sz="0" w:space="0" w:color="auto"/>
            <w:bottom w:val="none" w:sz="0" w:space="0" w:color="auto"/>
            <w:right w:val="none" w:sz="0" w:space="0" w:color="auto"/>
          </w:divBdr>
        </w:div>
        <w:div w:id="151607239">
          <w:marLeft w:val="480"/>
          <w:marRight w:val="0"/>
          <w:marTop w:val="0"/>
          <w:marBottom w:val="0"/>
          <w:divBdr>
            <w:top w:val="none" w:sz="0" w:space="0" w:color="auto"/>
            <w:left w:val="none" w:sz="0" w:space="0" w:color="auto"/>
            <w:bottom w:val="none" w:sz="0" w:space="0" w:color="auto"/>
            <w:right w:val="none" w:sz="0" w:space="0" w:color="auto"/>
          </w:divBdr>
        </w:div>
        <w:div w:id="6752984">
          <w:marLeft w:val="480"/>
          <w:marRight w:val="0"/>
          <w:marTop w:val="0"/>
          <w:marBottom w:val="0"/>
          <w:divBdr>
            <w:top w:val="none" w:sz="0" w:space="0" w:color="auto"/>
            <w:left w:val="none" w:sz="0" w:space="0" w:color="auto"/>
            <w:bottom w:val="none" w:sz="0" w:space="0" w:color="auto"/>
            <w:right w:val="none" w:sz="0" w:space="0" w:color="auto"/>
          </w:divBdr>
        </w:div>
        <w:div w:id="7681821">
          <w:marLeft w:val="480"/>
          <w:marRight w:val="0"/>
          <w:marTop w:val="0"/>
          <w:marBottom w:val="0"/>
          <w:divBdr>
            <w:top w:val="none" w:sz="0" w:space="0" w:color="auto"/>
            <w:left w:val="none" w:sz="0" w:space="0" w:color="auto"/>
            <w:bottom w:val="none" w:sz="0" w:space="0" w:color="auto"/>
            <w:right w:val="none" w:sz="0" w:space="0" w:color="auto"/>
          </w:divBdr>
        </w:div>
        <w:div w:id="1845393402">
          <w:marLeft w:val="480"/>
          <w:marRight w:val="0"/>
          <w:marTop w:val="0"/>
          <w:marBottom w:val="0"/>
          <w:divBdr>
            <w:top w:val="none" w:sz="0" w:space="0" w:color="auto"/>
            <w:left w:val="none" w:sz="0" w:space="0" w:color="auto"/>
            <w:bottom w:val="none" w:sz="0" w:space="0" w:color="auto"/>
            <w:right w:val="none" w:sz="0" w:space="0" w:color="auto"/>
          </w:divBdr>
        </w:div>
        <w:div w:id="1619943431">
          <w:marLeft w:val="480"/>
          <w:marRight w:val="0"/>
          <w:marTop w:val="0"/>
          <w:marBottom w:val="0"/>
          <w:divBdr>
            <w:top w:val="none" w:sz="0" w:space="0" w:color="auto"/>
            <w:left w:val="none" w:sz="0" w:space="0" w:color="auto"/>
            <w:bottom w:val="none" w:sz="0" w:space="0" w:color="auto"/>
            <w:right w:val="none" w:sz="0" w:space="0" w:color="auto"/>
          </w:divBdr>
        </w:div>
        <w:div w:id="127672953">
          <w:marLeft w:val="480"/>
          <w:marRight w:val="0"/>
          <w:marTop w:val="0"/>
          <w:marBottom w:val="0"/>
          <w:divBdr>
            <w:top w:val="none" w:sz="0" w:space="0" w:color="auto"/>
            <w:left w:val="none" w:sz="0" w:space="0" w:color="auto"/>
            <w:bottom w:val="none" w:sz="0" w:space="0" w:color="auto"/>
            <w:right w:val="none" w:sz="0" w:space="0" w:color="auto"/>
          </w:divBdr>
        </w:div>
        <w:div w:id="119223805">
          <w:marLeft w:val="480"/>
          <w:marRight w:val="0"/>
          <w:marTop w:val="0"/>
          <w:marBottom w:val="0"/>
          <w:divBdr>
            <w:top w:val="none" w:sz="0" w:space="0" w:color="auto"/>
            <w:left w:val="none" w:sz="0" w:space="0" w:color="auto"/>
            <w:bottom w:val="none" w:sz="0" w:space="0" w:color="auto"/>
            <w:right w:val="none" w:sz="0" w:space="0" w:color="auto"/>
          </w:divBdr>
        </w:div>
        <w:div w:id="1063715286">
          <w:marLeft w:val="480"/>
          <w:marRight w:val="0"/>
          <w:marTop w:val="0"/>
          <w:marBottom w:val="0"/>
          <w:divBdr>
            <w:top w:val="none" w:sz="0" w:space="0" w:color="auto"/>
            <w:left w:val="none" w:sz="0" w:space="0" w:color="auto"/>
            <w:bottom w:val="none" w:sz="0" w:space="0" w:color="auto"/>
            <w:right w:val="none" w:sz="0" w:space="0" w:color="auto"/>
          </w:divBdr>
        </w:div>
        <w:div w:id="1840461940">
          <w:marLeft w:val="480"/>
          <w:marRight w:val="0"/>
          <w:marTop w:val="0"/>
          <w:marBottom w:val="0"/>
          <w:divBdr>
            <w:top w:val="none" w:sz="0" w:space="0" w:color="auto"/>
            <w:left w:val="none" w:sz="0" w:space="0" w:color="auto"/>
            <w:bottom w:val="none" w:sz="0" w:space="0" w:color="auto"/>
            <w:right w:val="none" w:sz="0" w:space="0" w:color="auto"/>
          </w:divBdr>
        </w:div>
        <w:div w:id="1509521016">
          <w:marLeft w:val="480"/>
          <w:marRight w:val="0"/>
          <w:marTop w:val="0"/>
          <w:marBottom w:val="0"/>
          <w:divBdr>
            <w:top w:val="none" w:sz="0" w:space="0" w:color="auto"/>
            <w:left w:val="none" w:sz="0" w:space="0" w:color="auto"/>
            <w:bottom w:val="none" w:sz="0" w:space="0" w:color="auto"/>
            <w:right w:val="none" w:sz="0" w:space="0" w:color="auto"/>
          </w:divBdr>
        </w:div>
        <w:div w:id="13386226">
          <w:marLeft w:val="480"/>
          <w:marRight w:val="0"/>
          <w:marTop w:val="0"/>
          <w:marBottom w:val="0"/>
          <w:divBdr>
            <w:top w:val="none" w:sz="0" w:space="0" w:color="auto"/>
            <w:left w:val="none" w:sz="0" w:space="0" w:color="auto"/>
            <w:bottom w:val="none" w:sz="0" w:space="0" w:color="auto"/>
            <w:right w:val="none" w:sz="0" w:space="0" w:color="auto"/>
          </w:divBdr>
        </w:div>
      </w:divsChild>
    </w:div>
    <w:div w:id="1858538578">
      <w:bodyDiv w:val="1"/>
      <w:marLeft w:val="0"/>
      <w:marRight w:val="0"/>
      <w:marTop w:val="0"/>
      <w:marBottom w:val="0"/>
      <w:divBdr>
        <w:top w:val="none" w:sz="0" w:space="0" w:color="auto"/>
        <w:left w:val="none" w:sz="0" w:space="0" w:color="auto"/>
        <w:bottom w:val="none" w:sz="0" w:space="0" w:color="auto"/>
        <w:right w:val="none" w:sz="0" w:space="0" w:color="auto"/>
      </w:divBdr>
    </w:div>
    <w:div w:id="1888953395">
      <w:bodyDiv w:val="1"/>
      <w:marLeft w:val="0"/>
      <w:marRight w:val="0"/>
      <w:marTop w:val="0"/>
      <w:marBottom w:val="0"/>
      <w:divBdr>
        <w:top w:val="none" w:sz="0" w:space="0" w:color="auto"/>
        <w:left w:val="none" w:sz="0" w:space="0" w:color="auto"/>
        <w:bottom w:val="none" w:sz="0" w:space="0" w:color="auto"/>
        <w:right w:val="none" w:sz="0" w:space="0" w:color="auto"/>
      </w:divBdr>
      <w:divsChild>
        <w:div w:id="1848789432">
          <w:marLeft w:val="480"/>
          <w:marRight w:val="0"/>
          <w:marTop w:val="0"/>
          <w:marBottom w:val="0"/>
          <w:divBdr>
            <w:top w:val="none" w:sz="0" w:space="0" w:color="auto"/>
            <w:left w:val="none" w:sz="0" w:space="0" w:color="auto"/>
            <w:bottom w:val="none" w:sz="0" w:space="0" w:color="auto"/>
            <w:right w:val="none" w:sz="0" w:space="0" w:color="auto"/>
          </w:divBdr>
        </w:div>
        <w:div w:id="785344287">
          <w:marLeft w:val="480"/>
          <w:marRight w:val="0"/>
          <w:marTop w:val="0"/>
          <w:marBottom w:val="0"/>
          <w:divBdr>
            <w:top w:val="none" w:sz="0" w:space="0" w:color="auto"/>
            <w:left w:val="none" w:sz="0" w:space="0" w:color="auto"/>
            <w:bottom w:val="none" w:sz="0" w:space="0" w:color="auto"/>
            <w:right w:val="none" w:sz="0" w:space="0" w:color="auto"/>
          </w:divBdr>
        </w:div>
        <w:div w:id="884221969">
          <w:marLeft w:val="480"/>
          <w:marRight w:val="0"/>
          <w:marTop w:val="0"/>
          <w:marBottom w:val="0"/>
          <w:divBdr>
            <w:top w:val="none" w:sz="0" w:space="0" w:color="auto"/>
            <w:left w:val="none" w:sz="0" w:space="0" w:color="auto"/>
            <w:bottom w:val="none" w:sz="0" w:space="0" w:color="auto"/>
            <w:right w:val="none" w:sz="0" w:space="0" w:color="auto"/>
          </w:divBdr>
        </w:div>
        <w:div w:id="745612277">
          <w:marLeft w:val="480"/>
          <w:marRight w:val="0"/>
          <w:marTop w:val="0"/>
          <w:marBottom w:val="0"/>
          <w:divBdr>
            <w:top w:val="none" w:sz="0" w:space="0" w:color="auto"/>
            <w:left w:val="none" w:sz="0" w:space="0" w:color="auto"/>
            <w:bottom w:val="none" w:sz="0" w:space="0" w:color="auto"/>
            <w:right w:val="none" w:sz="0" w:space="0" w:color="auto"/>
          </w:divBdr>
        </w:div>
        <w:div w:id="1916040621">
          <w:marLeft w:val="480"/>
          <w:marRight w:val="0"/>
          <w:marTop w:val="0"/>
          <w:marBottom w:val="0"/>
          <w:divBdr>
            <w:top w:val="none" w:sz="0" w:space="0" w:color="auto"/>
            <w:left w:val="none" w:sz="0" w:space="0" w:color="auto"/>
            <w:bottom w:val="none" w:sz="0" w:space="0" w:color="auto"/>
            <w:right w:val="none" w:sz="0" w:space="0" w:color="auto"/>
          </w:divBdr>
        </w:div>
        <w:div w:id="302277488">
          <w:marLeft w:val="480"/>
          <w:marRight w:val="0"/>
          <w:marTop w:val="0"/>
          <w:marBottom w:val="0"/>
          <w:divBdr>
            <w:top w:val="none" w:sz="0" w:space="0" w:color="auto"/>
            <w:left w:val="none" w:sz="0" w:space="0" w:color="auto"/>
            <w:bottom w:val="none" w:sz="0" w:space="0" w:color="auto"/>
            <w:right w:val="none" w:sz="0" w:space="0" w:color="auto"/>
          </w:divBdr>
        </w:div>
        <w:div w:id="1830168183">
          <w:marLeft w:val="480"/>
          <w:marRight w:val="0"/>
          <w:marTop w:val="0"/>
          <w:marBottom w:val="0"/>
          <w:divBdr>
            <w:top w:val="none" w:sz="0" w:space="0" w:color="auto"/>
            <w:left w:val="none" w:sz="0" w:space="0" w:color="auto"/>
            <w:bottom w:val="none" w:sz="0" w:space="0" w:color="auto"/>
            <w:right w:val="none" w:sz="0" w:space="0" w:color="auto"/>
          </w:divBdr>
        </w:div>
        <w:div w:id="1050807457">
          <w:marLeft w:val="480"/>
          <w:marRight w:val="0"/>
          <w:marTop w:val="0"/>
          <w:marBottom w:val="0"/>
          <w:divBdr>
            <w:top w:val="none" w:sz="0" w:space="0" w:color="auto"/>
            <w:left w:val="none" w:sz="0" w:space="0" w:color="auto"/>
            <w:bottom w:val="none" w:sz="0" w:space="0" w:color="auto"/>
            <w:right w:val="none" w:sz="0" w:space="0" w:color="auto"/>
          </w:divBdr>
        </w:div>
        <w:div w:id="2137523298">
          <w:marLeft w:val="480"/>
          <w:marRight w:val="0"/>
          <w:marTop w:val="0"/>
          <w:marBottom w:val="0"/>
          <w:divBdr>
            <w:top w:val="none" w:sz="0" w:space="0" w:color="auto"/>
            <w:left w:val="none" w:sz="0" w:space="0" w:color="auto"/>
            <w:bottom w:val="none" w:sz="0" w:space="0" w:color="auto"/>
            <w:right w:val="none" w:sz="0" w:space="0" w:color="auto"/>
          </w:divBdr>
        </w:div>
        <w:div w:id="489715206">
          <w:marLeft w:val="480"/>
          <w:marRight w:val="0"/>
          <w:marTop w:val="0"/>
          <w:marBottom w:val="0"/>
          <w:divBdr>
            <w:top w:val="none" w:sz="0" w:space="0" w:color="auto"/>
            <w:left w:val="none" w:sz="0" w:space="0" w:color="auto"/>
            <w:bottom w:val="none" w:sz="0" w:space="0" w:color="auto"/>
            <w:right w:val="none" w:sz="0" w:space="0" w:color="auto"/>
          </w:divBdr>
        </w:div>
        <w:div w:id="2080900401">
          <w:marLeft w:val="480"/>
          <w:marRight w:val="0"/>
          <w:marTop w:val="0"/>
          <w:marBottom w:val="0"/>
          <w:divBdr>
            <w:top w:val="none" w:sz="0" w:space="0" w:color="auto"/>
            <w:left w:val="none" w:sz="0" w:space="0" w:color="auto"/>
            <w:bottom w:val="none" w:sz="0" w:space="0" w:color="auto"/>
            <w:right w:val="none" w:sz="0" w:space="0" w:color="auto"/>
          </w:divBdr>
        </w:div>
        <w:div w:id="916017789">
          <w:marLeft w:val="480"/>
          <w:marRight w:val="0"/>
          <w:marTop w:val="0"/>
          <w:marBottom w:val="0"/>
          <w:divBdr>
            <w:top w:val="none" w:sz="0" w:space="0" w:color="auto"/>
            <w:left w:val="none" w:sz="0" w:space="0" w:color="auto"/>
            <w:bottom w:val="none" w:sz="0" w:space="0" w:color="auto"/>
            <w:right w:val="none" w:sz="0" w:space="0" w:color="auto"/>
          </w:divBdr>
        </w:div>
        <w:div w:id="346296365">
          <w:marLeft w:val="480"/>
          <w:marRight w:val="0"/>
          <w:marTop w:val="0"/>
          <w:marBottom w:val="0"/>
          <w:divBdr>
            <w:top w:val="none" w:sz="0" w:space="0" w:color="auto"/>
            <w:left w:val="none" w:sz="0" w:space="0" w:color="auto"/>
            <w:bottom w:val="none" w:sz="0" w:space="0" w:color="auto"/>
            <w:right w:val="none" w:sz="0" w:space="0" w:color="auto"/>
          </w:divBdr>
        </w:div>
        <w:div w:id="466319651">
          <w:marLeft w:val="480"/>
          <w:marRight w:val="0"/>
          <w:marTop w:val="0"/>
          <w:marBottom w:val="0"/>
          <w:divBdr>
            <w:top w:val="none" w:sz="0" w:space="0" w:color="auto"/>
            <w:left w:val="none" w:sz="0" w:space="0" w:color="auto"/>
            <w:bottom w:val="none" w:sz="0" w:space="0" w:color="auto"/>
            <w:right w:val="none" w:sz="0" w:space="0" w:color="auto"/>
          </w:divBdr>
        </w:div>
        <w:div w:id="1909925468">
          <w:marLeft w:val="480"/>
          <w:marRight w:val="0"/>
          <w:marTop w:val="0"/>
          <w:marBottom w:val="0"/>
          <w:divBdr>
            <w:top w:val="none" w:sz="0" w:space="0" w:color="auto"/>
            <w:left w:val="none" w:sz="0" w:space="0" w:color="auto"/>
            <w:bottom w:val="none" w:sz="0" w:space="0" w:color="auto"/>
            <w:right w:val="none" w:sz="0" w:space="0" w:color="auto"/>
          </w:divBdr>
        </w:div>
        <w:div w:id="681204782">
          <w:marLeft w:val="480"/>
          <w:marRight w:val="0"/>
          <w:marTop w:val="0"/>
          <w:marBottom w:val="0"/>
          <w:divBdr>
            <w:top w:val="none" w:sz="0" w:space="0" w:color="auto"/>
            <w:left w:val="none" w:sz="0" w:space="0" w:color="auto"/>
            <w:bottom w:val="none" w:sz="0" w:space="0" w:color="auto"/>
            <w:right w:val="none" w:sz="0" w:space="0" w:color="auto"/>
          </w:divBdr>
        </w:div>
        <w:div w:id="1591750">
          <w:marLeft w:val="480"/>
          <w:marRight w:val="0"/>
          <w:marTop w:val="0"/>
          <w:marBottom w:val="0"/>
          <w:divBdr>
            <w:top w:val="none" w:sz="0" w:space="0" w:color="auto"/>
            <w:left w:val="none" w:sz="0" w:space="0" w:color="auto"/>
            <w:bottom w:val="none" w:sz="0" w:space="0" w:color="auto"/>
            <w:right w:val="none" w:sz="0" w:space="0" w:color="auto"/>
          </w:divBdr>
        </w:div>
        <w:div w:id="1639726342">
          <w:marLeft w:val="480"/>
          <w:marRight w:val="0"/>
          <w:marTop w:val="0"/>
          <w:marBottom w:val="0"/>
          <w:divBdr>
            <w:top w:val="none" w:sz="0" w:space="0" w:color="auto"/>
            <w:left w:val="none" w:sz="0" w:space="0" w:color="auto"/>
            <w:bottom w:val="none" w:sz="0" w:space="0" w:color="auto"/>
            <w:right w:val="none" w:sz="0" w:space="0" w:color="auto"/>
          </w:divBdr>
        </w:div>
        <w:div w:id="417866468">
          <w:marLeft w:val="480"/>
          <w:marRight w:val="0"/>
          <w:marTop w:val="0"/>
          <w:marBottom w:val="0"/>
          <w:divBdr>
            <w:top w:val="none" w:sz="0" w:space="0" w:color="auto"/>
            <w:left w:val="none" w:sz="0" w:space="0" w:color="auto"/>
            <w:bottom w:val="none" w:sz="0" w:space="0" w:color="auto"/>
            <w:right w:val="none" w:sz="0" w:space="0" w:color="auto"/>
          </w:divBdr>
        </w:div>
        <w:div w:id="137189326">
          <w:marLeft w:val="480"/>
          <w:marRight w:val="0"/>
          <w:marTop w:val="0"/>
          <w:marBottom w:val="0"/>
          <w:divBdr>
            <w:top w:val="none" w:sz="0" w:space="0" w:color="auto"/>
            <w:left w:val="none" w:sz="0" w:space="0" w:color="auto"/>
            <w:bottom w:val="none" w:sz="0" w:space="0" w:color="auto"/>
            <w:right w:val="none" w:sz="0" w:space="0" w:color="auto"/>
          </w:divBdr>
        </w:div>
        <w:div w:id="475492610">
          <w:marLeft w:val="480"/>
          <w:marRight w:val="0"/>
          <w:marTop w:val="0"/>
          <w:marBottom w:val="0"/>
          <w:divBdr>
            <w:top w:val="none" w:sz="0" w:space="0" w:color="auto"/>
            <w:left w:val="none" w:sz="0" w:space="0" w:color="auto"/>
            <w:bottom w:val="none" w:sz="0" w:space="0" w:color="auto"/>
            <w:right w:val="none" w:sz="0" w:space="0" w:color="auto"/>
          </w:divBdr>
        </w:div>
        <w:div w:id="1932277774">
          <w:marLeft w:val="480"/>
          <w:marRight w:val="0"/>
          <w:marTop w:val="0"/>
          <w:marBottom w:val="0"/>
          <w:divBdr>
            <w:top w:val="none" w:sz="0" w:space="0" w:color="auto"/>
            <w:left w:val="none" w:sz="0" w:space="0" w:color="auto"/>
            <w:bottom w:val="none" w:sz="0" w:space="0" w:color="auto"/>
            <w:right w:val="none" w:sz="0" w:space="0" w:color="auto"/>
          </w:divBdr>
        </w:div>
        <w:div w:id="175922684">
          <w:marLeft w:val="480"/>
          <w:marRight w:val="0"/>
          <w:marTop w:val="0"/>
          <w:marBottom w:val="0"/>
          <w:divBdr>
            <w:top w:val="none" w:sz="0" w:space="0" w:color="auto"/>
            <w:left w:val="none" w:sz="0" w:space="0" w:color="auto"/>
            <w:bottom w:val="none" w:sz="0" w:space="0" w:color="auto"/>
            <w:right w:val="none" w:sz="0" w:space="0" w:color="auto"/>
          </w:divBdr>
        </w:div>
        <w:div w:id="615451580">
          <w:marLeft w:val="480"/>
          <w:marRight w:val="0"/>
          <w:marTop w:val="0"/>
          <w:marBottom w:val="0"/>
          <w:divBdr>
            <w:top w:val="none" w:sz="0" w:space="0" w:color="auto"/>
            <w:left w:val="none" w:sz="0" w:space="0" w:color="auto"/>
            <w:bottom w:val="none" w:sz="0" w:space="0" w:color="auto"/>
            <w:right w:val="none" w:sz="0" w:space="0" w:color="auto"/>
          </w:divBdr>
        </w:div>
        <w:div w:id="617611520">
          <w:marLeft w:val="480"/>
          <w:marRight w:val="0"/>
          <w:marTop w:val="0"/>
          <w:marBottom w:val="0"/>
          <w:divBdr>
            <w:top w:val="none" w:sz="0" w:space="0" w:color="auto"/>
            <w:left w:val="none" w:sz="0" w:space="0" w:color="auto"/>
            <w:bottom w:val="none" w:sz="0" w:space="0" w:color="auto"/>
            <w:right w:val="none" w:sz="0" w:space="0" w:color="auto"/>
          </w:divBdr>
        </w:div>
      </w:divsChild>
    </w:div>
    <w:div w:id="1897818958">
      <w:bodyDiv w:val="1"/>
      <w:marLeft w:val="0"/>
      <w:marRight w:val="0"/>
      <w:marTop w:val="0"/>
      <w:marBottom w:val="0"/>
      <w:divBdr>
        <w:top w:val="none" w:sz="0" w:space="0" w:color="auto"/>
        <w:left w:val="none" w:sz="0" w:space="0" w:color="auto"/>
        <w:bottom w:val="none" w:sz="0" w:space="0" w:color="auto"/>
        <w:right w:val="none" w:sz="0" w:space="0" w:color="auto"/>
      </w:divBdr>
      <w:divsChild>
        <w:div w:id="1780297509">
          <w:marLeft w:val="480"/>
          <w:marRight w:val="0"/>
          <w:marTop w:val="0"/>
          <w:marBottom w:val="0"/>
          <w:divBdr>
            <w:top w:val="none" w:sz="0" w:space="0" w:color="auto"/>
            <w:left w:val="none" w:sz="0" w:space="0" w:color="auto"/>
            <w:bottom w:val="none" w:sz="0" w:space="0" w:color="auto"/>
            <w:right w:val="none" w:sz="0" w:space="0" w:color="auto"/>
          </w:divBdr>
        </w:div>
        <w:div w:id="1109663209">
          <w:marLeft w:val="480"/>
          <w:marRight w:val="0"/>
          <w:marTop w:val="0"/>
          <w:marBottom w:val="0"/>
          <w:divBdr>
            <w:top w:val="none" w:sz="0" w:space="0" w:color="auto"/>
            <w:left w:val="none" w:sz="0" w:space="0" w:color="auto"/>
            <w:bottom w:val="none" w:sz="0" w:space="0" w:color="auto"/>
            <w:right w:val="none" w:sz="0" w:space="0" w:color="auto"/>
          </w:divBdr>
        </w:div>
        <w:div w:id="2087916885">
          <w:marLeft w:val="480"/>
          <w:marRight w:val="0"/>
          <w:marTop w:val="0"/>
          <w:marBottom w:val="0"/>
          <w:divBdr>
            <w:top w:val="none" w:sz="0" w:space="0" w:color="auto"/>
            <w:left w:val="none" w:sz="0" w:space="0" w:color="auto"/>
            <w:bottom w:val="none" w:sz="0" w:space="0" w:color="auto"/>
            <w:right w:val="none" w:sz="0" w:space="0" w:color="auto"/>
          </w:divBdr>
        </w:div>
        <w:div w:id="2086535890">
          <w:marLeft w:val="480"/>
          <w:marRight w:val="0"/>
          <w:marTop w:val="0"/>
          <w:marBottom w:val="0"/>
          <w:divBdr>
            <w:top w:val="none" w:sz="0" w:space="0" w:color="auto"/>
            <w:left w:val="none" w:sz="0" w:space="0" w:color="auto"/>
            <w:bottom w:val="none" w:sz="0" w:space="0" w:color="auto"/>
            <w:right w:val="none" w:sz="0" w:space="0" w:color="auto"/>
          </w:divBdr>
        </w:div>
        <w:div w:id="1203982768">
          <w:marLeft w:val="480"/>
          <w:marRight w:val="0"/>
          <w:marTop w:val="0"/>
          <w:marBottom w:val="0"/>
          <w:divBdr>
            <w:top w:val="none" w:sz="0" w:space="0" w:color="auto"/>
            <w:left w:val="none" w:sz="0" w:space="0" w:color="auto"/>
            <w:bottom w:val="none" w:sz="0" w:space="0" w:color="auto"/>
            <w:right w:val="none" w:sz="0" w:space="0" w:color="auto"/>
          </w:divBdr>
        </w:div>
        <w:div w:id="1775978325">
          <w:marLeft w:val="480"/>
          <w:marRight w:val="0"/>
          <w:marTop w:val="0"/>
          <w:marBottom w:val="0"/>
          <w:divBdr>
            <w:top w:val="none" w:sz="0" w:space="0" w:color="auto"/>
            <w:left w:val="none" w:sz="0" w:space="0" w:color="auto"/>
            <w:bottom w:val="none" w:sz="0" w:space="0" w:color="auto"/>
            <w:right w:val="none" w:sz="0" w:space="0" w:color="auto"/>
          </w:divBdr>
        </w:div>
        <w:div w:id="936787257">
          <w:marLeft w:val="480"/>
          <w:marRight w:val="0"/>
          <w:marTop w:val="0"/>
          <w:marBottom w:val="0"/>
          <w:divBdr>
            <w:top w:val="none" w:sz="0" w:space="0" w:color="auto"/>
            <w:left w:val="none" w:sz="0" w:space="0" w:color="auto"/>
            <w:bottom w:val="none" w:sz="0" w:space="0" w:color="auto"/>
            <w:right w:val="none" w:sz="0" w:space="0" w:color="auto"/>
          </w:divBdr>
        </w:div>
        <w:div w:id="1480078796">
          <w:marLeft w:val="480"/>
          <w:marRight w:val="0"/>
          <w:marTop w:val="0"/>
          <w:marBottom w:val="0"/>
          <w:divBdr>
            <w:top w:val="none" w:sz="0" w:space="0" w:color="auto"/>
            <w:left w:val="none" w:sz="0" w:space="0" w:color="auto"/>
            <w:bottom w:val="none" w:sz="0" w:space="0" w:color="auto"/>
            <w:right w:val="none" w:sz="0" w:space="0" w:color="auto"/>
          </w:divBdr>
        </w:div>
        <w:div w:id="2053842754">
          <w:marLeft w:val="480"/>
          <w:marRight w:val="0"/>
          <w:marTop w:val="0"/>
          <w:marBottom w:val="0"/>
          <w:divBdr>
            <w:top w:val="none" w:sz="0" w:space="0" w:color="auto"/>
            <w:left w:val="none" w:sz="0" w:space="0" w:color="auto"/>
            <w:bottom w:val="none" w:sz="0" w:space="0" w:color="auto"/>
            <w:right w:val="none" w:sz="0" w:space="0" w:color="auto"/>
          </w:divBdr>
        </w:div>
        <w:div w:id="605305397">
          <w:marLeft w:val="480"/>
          <w:marRight w:val="0"/>
          <w:marTop w:val="0"/>
          <w:marBottom w:val="0"/>
          <w:divBdr>
            <w:top w:val="none" w:sz="0" w:space="0" w:color="auto"/>
            <w:left w:val="none" w:sz="0" w:space="0" w:color="auto"/>
            <w:bottom w:val="none" w:sz="0" w:space="0" w:color="auto"/>
            <w:right w:val="none" w:sz="0" w:space="0" w:color="auto"/>
          </w:divBdr>
        </w:div>
        <w:div w:id="520509542">
          <w:marLeft w:val="480"/>
          <w:marRight w:val="0"/>
          <w:marTop w:val="0"/>
          <w:marBottom w:val="0"/>
          <w:divBdr>
            <w:top w:val="none" w:sz="0" w:space="0" w:color="auto"/>
            <w:left w:val="none" w:sz="0" w:space="0" w:color="auto"/>
            <w:bottom w:val="none" w:sz="0" w:space="0" w:color="auto"/>
            <w:right w:val="none" w:sz="0" w:space="0" w:color="auto"/>
          </w:divBdr>
        </w:div>
        <w:div w:id="1623926914">
          <w:marLeft w:val="480"/>
          <w:marRight w:val="0"/>
          <w:marTop w:val="0"/>
          <w:marBottom w:val="0"/>
          <w:divBdr>
            <w:top w:val="none" w:sz="0" w:space="0" w:color="auto"/>
            <w:left w:val="none" w:sz="0" w:space="0" w:color="auto"/>
            <w:bottom w:val="none" w:sz="0" w:space="0" w:color="auto"/>
            <w:right w:val="none" w:sz="0" w:space="0" w:color="auto"/>
          </w:divBdr>
        </w:div>
        <w:div w:id="644434130">
          <w:marLeft w:val="480"/>
          <w:marRight w:val="0"/>
          <w:marTop w:val="0"/>
          <w:marBottom w:val="0"/>
          <w:divBdr>
            <w:top w:val="none" w:sz="0" w:space="0" w:color="auto"/>
            <w:left w:val="none" w:sz="0" w:space="0" w:color="auto"/>
            <w:bottom w:val="none" w:sz="0" w:space="0" w:color="auto"/>
            <w:right w:val="none" w:sz="0" w:space="0" w:color="auto"/>
          </w:divBdr>
        </w:div>
        <w:div w:id="987705910">
          <w:marLeft w:val="480"/>
          <w:marRight w:val="0"/>
          <w:marTop w:val="0"/>
          <w:marBottom w:val="0"/>
          <w:divBdr>
            <w:top w:val="none" w:sz="0" w:space="0" w:color="auto"/>
            <w:left w:val="none" w:sz="0" w:space="0" w:color="auto"/>
            <w:bottom w:val="none" w:sz="0" w:space="0" w:color="auto"/>
            <w:right w:val="none" w:sz="0" w:space="0" w:color="auto"/>
          </w:divBdr>
        </w:div>
        <w:div w:id="1429735207">
          <w:marLeft w:val="480"/>
          <w:marRight w:val="0"/>
          <w:marTop w:val="0"/>
          <w:marBottom w:val="0"/>
          <w:divBdr>
            <w:top w:val="none" w:sz="0" w:space="0" w:color="auto"/>
            <w:left w:val="none" w:sz="0" w:space="0" w:color="auto"/>
            <w:bottom w:val="none" w:sz="0" w:space="0" w:color="auto"/>
            <w:right w:val="none" w:sz="0" w:space="0" w:color="auto"/>
          </w:divBdr>
        </w:div>
        <w:div w:id="1694259912">
          <w:marLeft w:val="480"/>
          <w:marRight w:val="0"/>
          <w:marTop w:val="0"/>
          <w:marBottom w:val="0"/>
          <w:divBdr>
            <w:top w:val="none" w:sz="0" w:space="0" w:color="auto"/>
            <w:left w:val="none" w:sz="0" w:space="0" w:color="auto"/>
            <w:bottom w:val="none" w:sz="0" w:space="0" w:color="auto"/>
            <w:right w:val="none" w:sz="0" w:space="0" w:color="auto"/>
          </w:divBdr>
        </w:div>
        <w:div w:id="1481381579">
          <w:marLeft w:val="480"/>
          <w:marRight w:val="0"/>
          <w:marTop w:val="0"/>
          <w:marBottom w:val="0"/>
          <w:divBdr>
            <w:top w:val="none" w:sz="0" w:space="0" w:color="auto"/>
            <w:left w:val="none" w:sz="0" w:space="0" w:color="auto"/>
            <w:bottom w:val="none" w:sz="0" w:space="0" w:color="auto"/>
            <w:right w:val="none" w:sz="0" w:space="0" w:color="auto"/>
          </w:divBdr>
        </w:div>
        <w:div w:id="2006201726">
          <w:marLeft w:val="480"/>
          <w:marRight w:val="0"/>
          <w:marTop w:val="0"/>
          <w:marBottom w:val="0"/>
          <w:divBdr>
            <w:top w:val="none" w:sz="0" w:space="0" w:color="auto"/>
            <w:left w:val="none" w:sz="0" w:space="0" w:color="auto"/>
            <w:bottom w:val="none" w:sz="0" w:space="0" w:color="auto"/>
            <w:right w:val="none" w:sz="0" w:space="0" w:color="auto"/>
          </w:divBdr>
        </w:div>
        <w:div w:id="1292057051">
          <w:marLeft w:val="480"/>
          <w:marRight w:val="0"/>
          <w:marTop w:val="0"/>
          <w:marBottom w:val="0"/>
          <w:divBdr>
            <w:top w:val="none" w:sz="0" w:space="0" w:color="auto"/>
            <w:left w:val="none" w:sz="0" w:space="0" w:color="auto"/>
            <w:bottom w:val="none" w:sz="0" w:space="0" w:color="auto"/>
            <w:right w:val="none" w:sz="0" w:space="0" w:color="auto"/>
          </w:divBdr>
        </w:div>
        <w:div w:id="345979762">
          <w:marLeft w:val="480"/>
          <w:marRight w:val="0"/>
          <w:marTop w:val="0"/>
          <w:marBottom w:val="0"/>
          <w:divBdr>
            <w:top w:val="none" w:sz="0" w:space="0" w:color="auto"/>
            <w:left w:val="none" w:sz="0" w:space="0" w:color="auto"/>
            <w:bottom w:val="none" w:sz="0" w:space="0" w:color="auto"/>
            <w:right w:val="none" w:sz="0" w:space="0" w:color="auto"/>
          </w:divBdr>
        </w:div>
        <w:div w:id="469249747">
          <w:marLeft w:val="480"/>
          <w:marRight w:val="0"/>
          <w:marTop w:val="0"/>
          <w:marBottom w:val="0"/>
          <w:divBdr>
            <w:top w:val="none" w:sz="0" w:space="0" w:color="auto"/>
            <w:left w:val="none" w:sz="0" w:space="0" w:color="auto"/>
            <w:bottom w:val="none" w:sz="0" w:space="0" w:color="auto"/>
            <w:right w:val="none" w:sz="0" w:space="0" w:color="auto"/>
          </w:divBdr>
        </w:div>
        <w:div w:id="1666981482">
          <w:marLeft w:val="480"/>
          <w:marRight w:val="0"/>
          <w:marTop w:val="0"/>
          <w:marBottom w:val="0"/>
          <w:divBdr>
            <w:top w:val="none" w:sz="0" w:space="0" w:color="auto"/>
            <w:left w:val="none" w:sz="0" w:space="0" w:color="auto"/>
            <w:bottom w:val="none" w:sz="0" w:space="0" w:color="auto"/>
            <w:right w:val="none" w:sz="0" w:space="0" w:color="auto"/>
          </w:divBdr>
        </w:div>
        <w:div w:id="1667899197">
          <w:marLeft w:val="480"/>
          <w:marRight w:val="0"/>
          <w:marTop w:val="0"/>
          <w:marBottom w:val="0"/>
          <w:divBdr>
            <w:top w:val="none" w:sz="0" w:space="0" w:color="auto"/>
            <w:left w:val="none" w:sz="0" w:space="0" w:color="auto"/>
            <w:bottom w:val="none" w:sz="0" w:space="0" w:color="auto"/>
            <w:right w:val="none" w:sz="0" w:space="0" w:color="auto"/>
          </w:divBdr>
        </w:div>
      </w:divsChild>
    </w:div>
    <w:div w:id="1907832639">
      <w:bodyDiv w:val="1"/>
      <w:marLeft w:val="0"/>
      <w:marRight w:val="0"/>
      <w:marTop w:val="0"/>
      <w:marBottom w:val="0"/>
      <w:divBdr>
        <w:top w:val="none" w:sz="0" w:space="0" w:color="auto"/>
        <w:left w:val="none" w:sz="0" w:space="0" w:color="auto"/>
        <w:bottom w:val="none" w:sz="0" w:space="0" w:color="auto"/>
        <w:right w:val="none" w:sz="0" w:space="0" w:color="auto"/>
      </w:divBdr>
    </w:div>
    <w:div w:id="1983653655">
      <w:bodyDiv w:val="1"/>
      <w:marLeft w:val="0"/>
      <w:marRight w:val="0"/>
      <w:marTop w:val="0"/>
      <w:marBottom w:val="0"/>
      <w:divBdr>
        <w:top w:val="none" w:sz="0" w:space="0" w:color="auto"/>
        <w:left w:val="none" w:sz="0" w:space="0" w:color="auto"/>
        <w:bottom w:val="none" w:sz="0" w:space="0" w:color="auto"/>
        <w:right w:val="none" w:sz="0" w:space="0" w:color="auto"/>
      </w:divBdr>
      <w:divsChild>
        <w:div w:id="1749229148">
          <w:marLeft w:val="480"/>
          <w:marRight w:val="0"/>
          <w:marTop w:val="0"/>
          <w:marBottom w:val="0"/>
          <w:divBdr>
            <w:top w:val="none" w:sz="0" w:space="0" w:color="auto"/>
            <w:left w:val="none" w:sz="0" w:space="0" w:color="auto"/>
            <w:bottom w:val="none" w:sz="0" w:space="0" w:color="auto"/>
            <w:right w:val="none" w:sz="0" w:space="0" w:color="auto"/>
          </w:divBdr>
        </w:div>
        <w:div w:id="1058480687">
          <w:marLeft w:val="480"/>
          <w:marRight w:val="0"/>
          <w:marTop w:val="0"/>
          <w:marBottom w:val="0"/>
          <w:divBdr>
            <w:top w:val="none" w:sz="0" w:space="0" w:color="auto"/>
            <w:left w:val="none" w:sz="0" w:space="0" w:color="auto"/>
            <w:bottom w:val="none" w:sz="0" w:space="0" w:color="auto"/>
            <w:right w:val="none" w:sz="0" w:space="0" w:color="auto"/>
          </w:divBdr>
        </w:div>
        <w:div w:id="2019965328">
          <w:marLeft w:val="480"/>
          <w:marRight w:val="0"/>
          <w:marTop w:val="0"/>
          <w:marBottom w:val="0"/>
          <w:divBdr>
            <w:top w:val="none" w:sz="0" w:space="0" w:color="auto"/>
            <w:left w:val="none" w:sz="0" w:space="0" w:color="auto"/>
            <w:bottom w:val="none" w:sz="0" w:space="0" w:color="auto"/>
            <w:right w:val="none" w:sz="0" w:space="0" w:color="auto"/>
          </w:divBdr>
        </w:div>
        <w:div w:id="1356615508">
          <w:marLeft w:val="480"/>
          <w:marRight w:val="0"/>
          <w:marTop w:val="0"/>
          <w:marBottom w:val="0"/>
          <w:divBdr>
            <w:top w:val="none" w:sz="0" w:space="0" w:color="auto"/>
            <w:left w:val="none" w:sz="0" w:space="0" w:color="auto"/>
            <w:bottom w:val="none" w:sz="0" w:space="0" w:color="auto"/>
            <w:right w:val="none" w:sz="0" w:space="0" w:color="auto"/>
          </w:divBdr>
        </w:div>
        <w:div w:id="1533957347">
          <w:marLeft w:val="480"/>
          <w:marRight w:val="0"/>
          <w:marTop w:val="0"/>
          <w:marBottom w:val="0"/>
          <w:divBdr>
            <w:top w:val="none" w:sz="0" w:space="0" w:color="auto"/>
            <w:left w:val="none" w:sz="0" w:space="0" w:color="auto"/>
            <w:bottom w:val="none" w:sz="0" w:space="0" w:color="auto"/>
            <w:right w:val="none" w:sz="0" w:space="0" w:color="auto"/>
          </w:divBdr>
        </w:div>
        <w:div w:id="986400927">
          <w:marLeft w:val="480"/>
          <w:marRight w:val="0"/>
          <w:marTop w:val="0"/>
          <w:marBottom w:val="0"/>
          <w:divBdr>
            <w:top w:val="none" w:sz="0" w:space="0" w:color="auto"/>
            <w:left w:val="none" w:sz="0" w:space="0" w:color="auto"/>
            <w:bottom w:val="none" w:sz="0" w:space="0" w:color="auto"/>
            <w:right w:val="none" w:sz="0" w:space="0" w:color="auto"/>
          </w:divBdr>
        </w:div>
        <w:div w:id="386030208">
          <w:marLeft w:val="480"/>
          <w:marRight w:val="0"/>
          <w:marTop w:val="0"/>
          <w:marBottom w:val="0"/>
          <w:divBdr>
            <w:top w:val="none" w:sz="0" w:space="0" w:color="auto"/>
            <w:left w:val="none" w:sz="0" w:space="0" w:color="auto"/>
            <w:bottom w:val="none" w:sz="0" w:space="0" w:color="auto"/>
            <w:right w:val="none" w:sz="0" w:space="0" w:color="auto"/>
          </w:divBdr>
        </w:div>
        <w:div w:id="1909221494">
          <w:marLeft w:val="480"/>
          <w:marRight w:val="0"/>
          <w:marTop w:val="0"/>
          <w:marBottom w:val="0"/>
          <w:divBdr>
            <w:top w:val="none" w:sz="0" w:space="0" w:color="auto"/>
            <w:left w:val="none" w:sz="0" w:space="0" w:color="auto"/>
            <w:bottom w:val="none" w:sz="0" w:space="0" w:color="auto"/>
            <w:right w:val="none" w:sz="0" w:space="0" w:color="auto"/>
          </w:divBdr>
        </w:div>
        <w:div w:id="680283585">
          <w:marLeft w:val="480"/>
          <w:marRight w:val="0"/>
          <w:marTop w:val="0"/>
          <w:marBottom w:val="0"/>
          <w:divBdr>
            <w:top w:val="none" w:sz="0" w:space="0" w:color="auto"/>
            <w:left w:val="none" w:sz="0" w:space="0" w:color="auto"/>
            <w:bottom w:val="none" w:sz="0" w:space="0" w:color="auto"/>
            <w:right w:val="none" w:sz="0" w:space="0" w:color="auto"/>
          </w:divBdr>
        </w:div>
        <w:div w:id="2001811606">
          <w:marLeft w:val="480"/>
          <w:marRight w:val="0"/>
          <w:marTop w:val="0"/>
          <w:marBottom w:val="0"/>
          <w:divBdr>
            <w:top w:val="none" w:sz="0" w:space="0" w:color="auto"/>
            <w:left w:val="none" w:sz="0" w:space="0" w:color="auto"/>
            <w:bottom w:val="none" w:sz="0" w:space="0" w:color="auto"/>
            <w:right w:val="none" w:sz="0" w:space="0" w:color="auto"/>
          </w:divBdr>
        </w:div>
        <w:div w:id="1775318882">
          <w:marLeft w:val="480"/>
          <w:marRight w:val="0"/>
          <w:marTop w:val="0"/>
          <w:marBottom w:val="0"/>
          <w:divBdr>
            <w:top w:val="none" w:sz="0" w:space="0" w:color="auto"/>
            <w:left w:val="none" w:sz="0" w:space="0" w:color="auto"/>
            <w:bottom w:val="none" w:sz="0" w:space="0" w:color="auto"/>
            <w:right w:val="none" w:sz="0" w:space="0" w:color="auto"/>
          </w:divBdr>
        </w:div>
        <w:div w:id="1187518216">
          <w:marLeft w:val="480"/>
          <w:marRight w:val="0"/>
          <w:marTop w:val="0"/>
          <w:marBottom w:val="0"/>
          <w:divBdr>
            <w:top w:val="none" w:sz="0" w:space="0" w:color="auto"/>
            <w:left w:val="none" w:sz="0" w:space="0" w:color="auto"/>
            <w:bottom w:val="none" w:sz="0" w:space="0" w:color="auto"/>
            <w:right w:val="none" w:sz="0" w:space="0" w:color="auto"/>
          </w:divBdr>
        </w:div>
        <w:div w:id="745540303">
          <w:marLeft w:val="480"/>
          <w:marRight w:val="0"/>
          <w:marTop w:val="0"/>
          <w:marBottom w:val="0"/>
          <w:divBdr>
            <w:top w:val="none" w:sz="0" w:space="0" w:color="auto"/>
            <w:left w:val="none" w:sz="0" w:space="0" w:color="auto"/>
            <w:bottom w:val="none" w:sz="0" w:space="0" w:color="auto"/>
            <w:right w:val="none" w:sz="0" w:space="0" w:color="auto"/>
          </w:divBdr>
        </w:div>
        <w:div w:id="991326788">
          <w:marLeft w:val="480"/>
          <w:marRight w:val="0"/>
          <w:marTop w:val="0"/>
          <w:marBottom w:val="0"/>
          <w:divBdr>
            <w:top w:val="none" w:sz="0" w:space="0" w:color="auto"/>
            <w:left w:val="none" w:sz="0" w:space="0" w:color="auto"/>
            <w:bottom w:val="none" w:sz="0" w:space="0" w:color="auto"/>
            <w:right w:val="none" w:sz="0" w:space="0" w:color="auto"/>
          </w:divBdr>
        </w:div>
        <w:div w:id="1267688062">
          <w:marLeft w:val="480"/>
          <w:marRight w:val="0"/>
          <w:marTop w:val="0"/>
          <w:marBottom w:val="0"/>
          <w:divBdr>
            <w:top w:val="none" w:sz="0" w:space="0" w:color="auto"/>
            <w:left w:val="none" w:sz="0" w:space="0" w:color="auto"/>
            <w:bottom w:val="none" w:sz="0" w:space="0" w:color="auto"/>
            <w:right w:val="none" w:sz="0" w:space="0" w:color="auto"/>
          </w:divBdr>
        </w:div>
        <w:div w:id="650183434">
          <w:marLeft w:val="480"/>
          <w:marRight w:val="0"/>
          <w:marTop w:val="0"/>
          <w:marBottom w:val="0"/>
          <w:divBdr>
            <w:top w:val="none" w:sz="0" w:space="0" w:color="auto"/>
            <w:left w:val="none" w:sz="0" w:space="0" w:color="auto"/>
            <w:bottom w:val="none" w:sz="0" w:space="0" w:color="auto"/>
            <w:right w:val="none" w:sz="0" w:space="0" w:color="auto"/>
          </w:divBdr>
        </w:div>
        <w:div w:id="553588990">
          <w:marLeft w:val="480"/>
          <w:marRight w:val="0"/>
          <w:marTop w:val="0"/>
          <w:marBottom w:val="0"/>
          <w:divBdr>
            <w:top w:val="none" w:sz="0" w:space="0" w:color="auto"/>
            <w:left w:val="none" w:sz="0" w:space="0" w:color="auto"/>
            <w:bottom w:val="none" w:sz="0" w:space="0" w:color="auto"/>
            <w:right w:val="none" w:sz="0" w:space="0" w:color="auto"/>
          </w:divBdr>
        </w:div>
        <w:div w:id="1454977313">
          <w:marLeft w:val="480"/>
          <w:marRight w:val="0"/>
          <w:marTop w:val="0"/>
          <w:marBottom w:val="0"/>
          <w:divBdr>
            <w:top w:val="none" w:sz="0" w:space="0" w:color="auto"/>
            <w:left w:val="none" w:sz="0" w:space="0" w:color="auto"/>
            <w:bottom w:val="none" w:sz="0" w:space="0" w:color="auto"/>
            <w:right w:val="none" w:sz="0" w:space="0" w:color="auto"/>
          </w:divBdr>
        </w:div>
        <w:div w:id="1532959683">
          <w:marLeft w:val="480"/>
          <w:marRight w:val="0"/>
          <w:marTop w:val="0"/>
          <w:marBottom w:val="0"/>
          <w:divBdr>
            <w:top w:val="none" w:sz="0" w:space="0" w:color="auto"/>
            <w:left w:val="none" w:sz="0" w:space="0" w:color="auto"/>
            <w:bottom w:val="none" w:sz="0" w:space="0" w:color="auto"/>
            <w:right w:val="none" w:sz="0" w:space="0" w:color="auto"/>
          </w:divBdr>
        </w:div>
        <w:div w:id="685062700">
          <w:marLeft w:val="480"/>
          <w:marRight w:val="0"/>
          <w:marTop w:val="0"/>
          <w:marBottom w:val="0"/>
          <w:divBdr>
            <w:top w:val="none" w:sz="0" w:space="0" w:color="auto"/>
            <w:left w:val="none" w:sz="0" w:space="0" w:color="auto"/>
            <w:bottom w:val="none" w:sz="0" w:space="0" w:color="auto"/>
            <w:right w:val="none" w:sz="0" w:space="0" w:color="auto"/>
          </w:divBdr>
        </w:div>
        <w:div w:id="936795382">
          <w:marLeft w:val="480"/>
          <w:marRight w:val="0"/>
          <w:marTop w:val="0"/>
          <w:marBottom w:val="0"/>
          <w:divBdr>
            <w:top w:val="none" w:sz="0" w:space="0" w:color="auto"/>
            <w:left w:val="none" w:sz="0" w:space="0" w:color="auto"/>
            <w:bottom w:val="none" w:sz="0" w:space="0" w:color="auto"/>
            <w:right w:val="none" w:sz="0" w:space="0" w:color="auto"/>
          </w:divBdr>
        </w:div>
        <w:div w:id="1915697709">
          <w:marLeft w:val="480"/>
          <w:marRight w:val="0"/>
          <w:marTop w:val="0"/>
          <w:marBottom w:val="0"/>
          <w:divBdr>
            <w:top w:val="none" w:sz="0" w:space="0" w:color="auto"/>
            <w:left w:val="none" w:sz="0" w:space="0" w:color="auto"/>
            <w:bottom w:val="none" w:sz="0" w:space="0" w:color="auto"/>
            <w:right w:val="none" w:sz="0" w:space="0" w:color="auto"/>
          </w:divBdr>
        </w:div>
        <w:div w:id="1842623513">
          <w:marLeft w:val="480"/>
          <w:marRight w:val="0"/>
          <w:marTop w:val="0"/>
          <w:marBottom w:val="0"/>
          <w:divBdr>
            <w:top w:val="none" w:sz="0" w:space="0" w:color="auto"/>
            <w:left w:val="none" w:sz="0" w:space="0" w:color="auto"/>
            <w:bottom w:val="none" w:sz="0" w:space="0" w:color="auto"/>
            <w:right w:val="none" w:sz="0" w:space="0" w:color="auto"/>
          </w:divBdr>
        </w:div>
        <w:div w:id="970282477">
          <w:marLeft w:val="480"/>
          <w:marRight w:val="0"/>
          <w:marTop w:val="0"/>
          <w:marBottom w:val="0"/>
          <w:divBdr>
            <w:top w:val="none" w:sz="0" w:space="0" w:color="auto"/>
            <w:left w:val="none" w:sz="0" w:space="0" w:color="auto"/>
            <w:bottom w:val="none" w:sz="0" w:space="0" w:color="auto"/>
            <w:right w:val="none" w:sz="0" w:space="0" w:color="auto"/>
          </w:divBdr>
        </w:div>
      </w:divsChild>
    </w:div>
    <w:div w:id="2060586152">
      <w:bodyDiv w:val="1"/>
      <w:marLeft w:val="0"/>
      <w:marRight w:val="0"/>
      <w:marTop w:val="0"/>
      <w:marBottom w:val="0"/>
      <w:divBdr>
        <w:top w:val="none" w:sz="0" w:space="0" w:color="auto"/>
        <w:left w:val="none" w:sz="0" w:space="0" w:color="auto"/>
        <w:bottom w:val="none" w:sz="0" w:space="0" w:color="auto"/>
        <w:right w:val="none" w:sz="0" w:space="0" w:color="auto"/>
      </w:divBdr>
      <w:divsChild>
        <w:div w:id="1599100688">
          <w:marLeft w:val="480"/>
          <w:marRight w:val="0"/>
          <w:marTop w:val="0"/>
          <w:marBottom w:val="0"/>
          <w:divBdr>
            <w:top w:val="none" w:sz="0" w:space="0" w:color="auto"/>
            <w:left w:val="none" w:sz="0" w:space="0" w:color="auto"/>
            <w:bottom w:val="none" w:sz="0" w:space="0" w:color="auto"/>
            <w:right w:val="none" w:sz="0" w:space="0" w:color="auto"/>
          </w:divBdr>
        </w:div>
        <w:div w:id="358236078">
          <w:marLeft w:val="480"/>
          <w:marRight w:val="0"/>
          <w:marTop w:val="0"/>
          <w:marBottom w:val="0"/>
          <w:divBdr>
            <w:top w:val="none" w:sz="0" w:space="0" w:color="auto"/>
            <w:left w:val="none" w:sz="0" w:space="0" w:color="auto"/>
            <w:bottom w:val="none" w:sz="0" w:space="0" w:color="auto"/>
            <w:right w:val="none" w:sz="0" w:space="0" w:color="auto"/>
          </w:divBdr>
        </w:div>
        <w:div w:id="151332913">
          <w:marLeft w:val="480"/>
          <w:marRight w:val="0"/>
          <w:marTop w:val="0"/>
          <w:marBottom w:val="0"/>
          <w:divBdr>
            <w:top w:val="none" w:sz="0" w:space="0" w:color="auto"/>
            <w:left w:val="none" w:sz="0" w:space="0" w:color="auto"/>
            <w:bottom w:val="none" w:sz="0" w:space="0" w:color="auto"/>
            <w:right w:val="none" w:sz="0" w:space="0" w:color="auto"/>
          </w:divBdr>
        </w:div>
        <w:div w:id="2118013317">
          <w:marLeft w:val="480"/>
          <w:marRight w:val="0"/>
          <w:marTop w:val="0"/>
          <w:marBottom w:val="0"/>
          <w:divBdr>
            <w:top w:val="none" w:sz="0" w:space="0" w:color="auto"/>
            <w:left w:val="none" w:sz="0" w:space="0" w:color="auto"/>
            <w:bottom w:val="none" w:sz="0" w:space="0" w:color="auto"/>
            <w:right w:val="none" w:sz="0" w:space="0" w:color="auto"/>
          </w:divBdr>
        </w:div>
        <w:div w:id="154808476">
          <w:marLeft w:val="480"/>
          <w:marRight w:val="0"/>
          <w:marTop w:val="0"/>
          <w:marBottom w:val="0"/>
          <w:divBdr>
            <w:top w:val="none" w:sz="0" w:space="0" w:color="auto"/>
            <w:left w:val="none" w:sz="0" w:space="0" w:color="auto"/>
            <w:bottom w:val="none" w:sz="0" w:space="0" w:color="auto"/>
            <w:right w:val="none" w:sz="0" w:space="0" w:color="auto"/>
          </w:divBdr>
        </w:div>
        <w:div w:id="1543904027">
          <w:marLeft w:val="480"/>
          <w:marRight w:val="0"/>
          <w:marTop w:val="0"/>
          <w:marBottom w:val="0"/>
          <w:divBdr>
            <w:top w:val="none" w:sz="0" w:space="0" w:color="auto"/>
            <w:left w:val="none" w:sz="0" w:space="0" w:color="auto"/>
            <w:bottom w:val="none" w:sz="0" w:space="0" w:color="auto"/>
            <w:right w:val="none" w:sz="0" w:space="0" w:color="auto"/>
          </w:divBdr>
        </w:div>
        <w:div w:id="1703241181">
          <w:marLeft w:val="480"/>
          <w:marRight w:val="0"/>
          <w:marTop w:val="0"/>
          <w:marBottom w:val="0"/>
          <w:divBdr>
            <w:top w:val="none" w:sz="0" w:space="0" w:color="auto"/>
            <w:left w:val="none" w:sz="0" w:space="0" w:color="auto"/>
            <w:bottom w:val="none" w:sz="0" w:space="0" w:color="auto"/>
            <w:right w:val="none" w:sz="0" w:space="0" w:color="auto"/>
          </w:divBdr>
        </w:div>
        <w:div w:id="2102097929">
          <w:marLeft w:val="480"/>
          <w:marRight w:val="0"/>
          <w:marTop w:val="0"/>
          <w:marBottom w:val="0"/>
          <w:divBdr>
            <w:top w:val="none" w:sz="0" w:space="0" w:color="auto"/>
            <w:left w:val="none" w:sz="0" w:space="0" w:color="auto"/>
            <w:bottom w:val="none" w:sz="0" w:space="0" w:color="auto"/>
            <w:right w:val="none" w:sz="0" w:space="0" w:color="auto"/>
          </w:divBdr>
        </w:div>
        <w:div w:id="621688939">
          <w:marLeft w:val="480"/>
          <w:marRight w:val="0"/>
          <w:marTop w:val="0"/>
          <w:marBottom w:val="0"/>
          <w:divBdr>
            <w:top w:val="none" w:sz="0" w:space="0" w:color="auto"/>
            <w:left w:val="none" w:sz="0" w:space="0" w:color="auto"/>
            <w:bottom w:val="none" w:sz="0" w:space="0" w:color="auto"/>
            <w:right w:val="none" w:sz="0" w:space="0" w:color="auto"/>
          </w:divBdr>
        </w:div>
        <w:div w:id="88163265">
          <w:marLeft w:val="480"/>
          <w:marRight w:val="0"/>
          <w:marTop w:val="0"/>
          <w:marBottom w:val="0"/>
          <w:divBdr>
            <w:top w:val="none" w:sz="0" w:space="0" w:color="auto"/>
            <w:left w:val="none" w:sz="0" w:space="0" w:color="auto"/>
            <w:bottom w:val="none" w:sz="0" w:space="0" w:color="auto"/>
            <w:right w:val="none" w:sz="0" w:space="0" w:color="auto"/>
          </w:divBdr>
        </w:div>
        <w:div w:id="1361780988">
          <w:marLeft w:val="480"/>
          <w:marRight w:val="0"/>
          <w:marTop w:val="0"/>
          <w:marBottom w:val="0"/>
          <w:divBdr>
            <w:top w:val="none" w:sz="0" w:space="0" w:color="auto"/>
            <w:left w:val="none" w:sz="0" w:space="0" w:color="auto"/>
            <w:bottom w:val="none" w:sz="0" w:space="0" w:color="auto"/>
            <w:right w:val="none" w:sz="0" w:space="0" w:color="auto"/>
          </w:divBdr>
        </w:div>
        <w:div w:id="1870100503">
          <w:marLeft w:val="480"/>
          <w:marRight w:val="0"/>
          <w:marTop w:val="0"/>
          <w:marBottom w:val="0"/>
          <w:divBdr>
            <w:top w:val="none" w:sz="0" w:space="0" w:color="auto"/>
            <w:left w:val="none" w:sz="0" w:space="0" w:color="auto"/>
            <w:bottom w:val="none" w:sz="0" w:space="0" w:color="auto"/>
            <w:right w:val="none" w:sz="0" w:space="0" w:color="auto"/>
          </w:divBdr>
        </w:div>
        <w:div w:id="1186015157">
          <w:marLeft w:val="480"/>
          <w:marRight w:val="0"/>
          <w:marTop w:val="0"/>
          <w:marBottom w:val="0"/>
          <w:divBdr>
            <w:top w:val="none" w:sz="0" w:space="0" w:color="auto"/>
            <w:left w:val="none" w:sz="0" w:space="0" w:color="auto"/>
            <w:bottom w:val="none" w:sz="0" w:space="0" w:color="auto"/>
            <w:right w:val="none" w:sz="0" w:space="0" w:color="auto"/>
          </w:divBdr>
        </w:div>
        <w:div w:id="1747413080">
          <w:marLeft w:val="480"/>
          <w:marRight w:val="0"/>
          <w:marTop w:val="0"/>
          <w:marBottom w:val="0"/>
          <w:divBdr>
            <w:top w:val="none" w:sz="0" w:space="0" w:color="auto"/>
            <w:left w:val="none" w:sz="0" w:space="0" w:color="auto"/>
            <w:bottom w:val="none" w:sz="0" w:space="0" w:color="auto"/>
            <w:right w:val="none" w:sz="0" w:space="0" w:color="auto"/>
          </w:divBdr>
        </w:div>
        <w:div w:id="405613465">
          <w:marLeft w:val="480"/>
          <w:marRight w:val="0"/>
          <w:marTop w:val="0"/>
          <w:marBottom w:val="0"/>
          <w:divBdr>
            <w:top w:val="none" w:sz="0" w:space="0" w:color="auto"/>
            <w:left w:val="none" w:sz="0" w:space="0" w:color="auto"/>
            <w:bottom w:val="none" w:sz="0" w:space="0" w:color="auto"/>
            <w:right w:val="none" w:sz="0" w:space="0" w:color="auto"/>
          </w:divBdr>
        </w:div>
        <w:div w:id="501045121">
          <w:marLeft w:val="480"/>
          <w:marRight w:val="0"/>
          <w:marTop w:val="0"/>
          <w:marBottom w:val="0"/>
          <w:divBdr>
            <w:top w:val="none" w:sz="0" w:space="0" w:color="auto"/>
            <w:left w:val="none" w:sz="0" w:space="0" w:color="auto"/>
            <w:bottom w:val="none" w:sz="0" w:space="0" w:color="auto"/>
            <w:right w:val="none" w:sz="0" w:space="0" w:color="auto"/>
          </w:divBdr>
        </w:div>
        <w:div w:id="22096359">
          <w:marLeft w:val="480"/>
          <w:marRight w:val="0"/>
          <w:marTop w:val="0"/>
          <w:marBottom w:val="0"/>
          <w:divBdr>
            <w:top w:val="none" w:sz="0" w:space="0" w:color="auto"/>
            <w:left w:val="none" w:sz="0" w:space="0" w:color="auto"/>
            <w:bottom w:val="none" w:sz="0" w:space="0" w:color="auto"/>
            <w:right w:val="none" w:sz="0" w:space="0" w:color="auto"/>
          </w:divBdr>
        </w:div>
        <w:div w:id="412244644">
          <w:marLeft w:val="480"/>
          <w:marRight w:val="0"/>
          <w:marTop w:val="0"/>
          <w:marBottom w:val="0"/>
          <w:divBdr>
            <w:top w:val="none" w:sz="0" w:space="0" w:color="auto"/>
            <w:left w:val="none" w:sz="0" w:space="0" w:color="auto"/>
            <w:bottom w:val="none" w:sz="0" w:space="0" w:color="auto"/>
            <w:right w:val="none" w:sz="0" w:space="0" w:color="auto"/>
          </w:divBdr>
        </w:div>
        <w:div w:id="1700886125">
          <w:marLeft w:val="480"/>
          <w:marRight w:val="0"/>
          <w:marTop w:val="0"/>
          <w:marBottom w:val="0"/>
          <w:divBdr>
            <w:top w:val="none" w:sz="0" w:space="0" w:color="auto"/>
            <w:left w:val="none" w:sz="0" w:space="0" w:color="auto"/>
            <w:bottom w:val="none" w:sz="0" w:space="0" w:color="auto"/>
            <w:right w:val="none" w:sz="0" w:space="0" w:color="auto"/>
          </w:divBdr>
        </w:div>
        <w:div w:id="1318878396">
          <w:marLeft w:val="480"/>
          <w:marRight w:val="0"/>
          <w:marTop w:val="0"/>
          <w:marBottom w:val="0"/>
          <w:divBdr>
            <w:top w:val="none" w:sz="0" w:space="0" w:color="auto"/>
            <w:left w:val="none" w:sz="0" w:space="0" w:color="auto"/>
            <w:bottom w:val="none" w:sz="0" w:space="0" w:color="auto"/>
            <w:right w:val="none" w:sz="0" w:space="0" w:color="auto"/>
          </w:divBdr>
        </w:div>
        <w:div w:id="1519271678">
          <w:marLeft w:val="480"/>
          <w:marRight w:val="0"/>
          <w:marTop w:val="0"/>
          <w:marBottom w:val="0"/>
          <w:divBdr>
            <w:top w:val="none" w:sz="0" w:space="0" w:color="auto"/>
            <w:left w:val="none" w:sz="0" w:space="0" w:color="auto"/>
            <w:bottom w:val="none" w:sz="0" w:space="0" w:color="auto"/>
            <w:right w:val="none" w:sz="0" w:space="0" w:color="auto"/>
          </w:divBdr>
        </w:div>
        <w:div w:id="583535717">
          <w:marLeft w:val="480"/>
          <w:marRight w:val="0"/>
          <w:marTop w:val="0"/>
          <w:marBottom w:val="0"/>
          <w:divBdr>
            <w:top w:val="none" w:sz="0" w:space="0" w:color="auto"/>
            <w:left w:val="none" w:sz="0" w:space="0" w:color="auto"/>
            <w:bottom w:val="none" w:sz="0" w:space="0" w:color="auto"/>
            <w:right w:val="none" w:sz="0" w:space="0" w:color="auto"/>
          </w:divBdr>
        </w:div>
        <w:div w:id="2088769801">
          <w:marLeft w:val="480"/>
          <w:marRight w:val="0"/>
          <w:marTop w:val="0"/>
          <w:marBottom w:val="0"/>
          <w:divBdr>
            <w:top w:val="none" w:sz="0" w:space="0" w:color="auto"/>
            <w:left w:val="none" w:sz="0" w:space="0" w:color="auto"/>
            <w:bottom w:val="none" w:sz="0" w:space="0" w:color="auto"/>
            <w:right w:val="none" w:sz="0" w:space="0" w:color="auto"/>
          </w:divBdr>
        </w:div>
        <w:div w:id="1822848265">
          <w:marLeft w:val="480"/>
          <w:marRight w:val="0"/>
          <w:marTop w:val="0"/>
          <w:marBottom w:val="0"/>
          <w:divBdr>
            <w:top w:val="none" w:sz="0" w:space="0" w:color="auto"/>
            <w:left w:val="none" w:sz="0" w:space="0" w:color="auto"/>
            <w:bottom w:val="none" w:sz="0" w:space="0" w:color="auto"/>
            <w:right w:val="none" w:sz="0" w:space="0" w:color="auto"/>
          </w:divBdr>
        </w:div>
      </w:divsChild>
    </w:div>
    <w:div w:id="20866840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alauralordi@gmail.com"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E95D4C-48AF-4F31-97A9-CED709578FA6}">
  <we:reference id="wa104382081" version="1.46.0.0" store="pt-PT" storeType="OMEX"/>
  <we:alternateReferences>
    <we:reference id="wa104382081" version="1.46.0.0" store="WA104382081" storeType="OMEX"/>
  </we:alternateReferences>
  <we:properties>
    <we:property name="MENDELEY_CITATIONS" value="[{&quot;citationID&quot;:&quot;MENDELEY_CITATION_bda5d9cb-03d8-4e32-aa3a-7af8210aa01e&quot;,&quot;properties&quot;:{&quot;noteIndex&quot;:0},&quot;isEdited&quot;:false,&quot;manualOverride&quot;:{&quot;isManuallyOverridden&quot;:true,&quot;citeprocText&quot;:&quot;(Bollinger et al. 2007a)&quot;,&quot;manualOverrideText&quot;:&quot;Bollinger et al. 2007&quot;},&quot;citationTag&quot;:&quot;MENDELEY_CITATION_v3_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&quot;,&quot;citationItems&quot;:[{&quot;id&quot;:&quot;010ba1cb-66b6-397b-9b1b-f463b79c97c7&quot;,&quot;itemData&quot;:{&quot;type&quot;:&quot;article-journal&quot;,&quot;id&quot;:&quot;010ba1cb-66b6-397b-9b1b-f463b79c97c7&quot;,&quot;title&quot;:&quot;Seasonal modulation of seismicity in the Himalaya of Nepal&quot;,&quot;author&quot;:[{&quot;family&quot;:&quot;Bollinger&quot;,&quot;given&quot;:&quot;Laurent&quot;,&quot;parse-names&quot;:false,&quot;dropping-particle&quot;:&quot;&quot;,&quot;non-dropping-particle&quot;:&quot;&quot;},{&quot;family&quot;:&quot;Perrier&quot;,&quot;given&quot;:&quot;F.&quot;,&quot;parse-names&quot;:false,&quot;dropping-particle&quot;:&quot;&quot;,&quot;non-dropping-particle&quot;:&quot;&quot;},{&quot;family&quot;:&quot;Avouac&quot;,&quot;given&quot;:&quot;J. P.&quot;,&quot;parse-names&quot;:false,&quot;dropping-particle&quot;:&quot;&quot;,&quot;non-dropping-particle&quot;:&quot;&quot;},{&quot;family&quot;:&quot;Sapkota&quot;,&quot;given&quot;:&quot;S.&quot;,&quot;parse-names&quot;:false,&quot;dropping-particle&quot;:&quot;&quot;,&quot;non-dropping-particle&quot;:&quot;&quot;},{&quot;family&quot;:&quot;Gautam&quot;,&quot;given&quot;:&quot;U.&quot;,&quot;parse-names&quot;:false,&quot;dropping-particle&quot;:&quot;&quot;,&quot;non-dropping-particle&quot;:&quot;&quot;},{&quot;family&quot;:&quot;Tiwari&quot;,&quot;given&quot;:&quot;D. R.&quot;,&quot;parse-names&quot;:false,&quot;dropping-particle&quot;:&quot;&quot;,&quot;non-dropping-particle&quot;:&quot;&quot;}],&quot;container-title&quot;:&quot;Geophysical Research Letters&quot;,&quot;DOI&quot;:&quot;10.1029/2006GL029192&quot;,&quot;ISSN&quot;:&quot;00948276&quot;,&quot;issued&quot;:{&quot;date-parts&quot;:[[2007,4,28]]},&quot;abstract&quot;:&quot;For the period 1995-2000, the Nepal seismic network recorded 37 ± 8% fewer earthquakes in the summer than in the winter; for local magnitudes ML &gt; 2 to ML &gt; 4 the percentage increases from 31% to 63% respectively. We show the probability of observing this by chance is less than 1%. We find that most surface loading phenomena are either too small, or have the wrong polarity to enhance winter seismicity. We consider enhanced Coulomb failure caused by a pore-pressure increase at seismogenic depths as a possible mechanism. For this to enhance winter seismicity, however, we find that fluid diffusion following surface hydraulic loading would need to be associated with a six-month phase lag, which we consider to be possible, though unlikely. We favor instead the suppression of summer seismicity caused by stress-loading accompanying monsoon rains in the Ganges and northern India, a mechanism that is discussed in a companion article. Copyright 2007 by the American Geophysical Union.&quot;,&quot;issue&quot;:&quot;8&quot;,&quot;volume&quot;:&quot;34&quot;,&quot;container-title-short&quot;:&quot;&quot;},&quot;isTemporary&quot;:false}]},{&quot;citationID&quot;:&quot;MENDELEY_CITATION_c26c27a0-3dd8-412a-9c79-8045e52e0a05&quot;,&quot;properties&quot;:{&quot;noteIndex&quot;:0},&quot;isEdited&quot;:false,&quot;manualOverride&quot;:{&quot;isManuallyOverridden&quot;:false,&quot;citeprocText&quot;:&quot;(Heki 2003)&quot;,&quot;manualOverrideText&quot;:&quot;&quot;},&quot;citationTag&quot;:&quot;MENDELEY_CITATION_v3_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&quot;,&quot;citationItems&quot;:[{&quot;id&quot;:&quot;cf61dd4c-0983-3ccc-8943-540f8597cd13&quot;,&quot;itemData&quot;:{&quot;type&quot;:&quot;article-journal&quot;,&quot;id&quot;:&quot;cf61dd4c-0983-3ccc-8943-540f8597cd13&quot;,&quot;title&quot;:&quot;Snow load and seasonal variation of earthquake occurrence in Japan&quot;,&quot;author&quot;:[{&quot;family&quot;:&quot;Heki&quot;,&quot;given&quot;:&quot;Kosuke&quot;,&quot;parse-names&quot;:false,&quot;dropping-particle&quot;:&quot;&quot;,&quot;non-dropping-particle&quot;:&quot;&quot;}],&quot;container-title&quot;:&quot;Earth and Planetary Science Letters&quot;,&quot;DOI&quot;:&quot;10.1016/S0012-821X(02)01148-2&quot;,&quot;ISSN&quot;:&quot;0012821X&quot;,&quot;issued&quot;:{&quot;date-parts&quot;:[[2003,2,28]]},&quot;page&quot;:&quot;159-164&quot;,&quot;abstract&quot;:&quot;Snow load along the western flank of the backbone range of the Japanese Islands causes seasonal crustal deformation. It perturbs the interseismic strain buildup, and may seasonally influence the seismicity in Japan. Intraplate earthquakes in northeastern Japan occur on reverse faults striking parallel with the snow-covered zone. In central and southwestern Japan, they occur on strike-slip faults striking either parallel with, or perpendicular to the snow cover. The snow load enhances compression at these faults, reducing the Coulomb failure stress by a few kPa. This is large enough to modulate the secular stress buildup of a few tens of kPa/yr. Past inland earthquakes with magnitudes ≥7.0 that occurred in regions covered with snow in winter, tend to occur more in spring and summer than in autumn and winter, while those in the snow-free regions do not show such variation. Although its statistical significance is not strong due to limited number of past earthquakes, it suggests that the spring thaw enhances seismicity beneath the snow cover. © 2003 Elsevier Science B.V. All rights reserved.&quot;,&quot;publisher&quot;:&quot;Elsevier B.V.&quot;,&quot;issue&quot;:&quot;1-4&quot;,&quot;volume&quot;:&quot;207&quot;,&quot;container-title-short&quot;:&quot;&quot;},&quot;isTemporary&quot;:false}]},{&quot;citationID&quot;:&quot;MENDELEY_CITATION_a8ce9c96-caf2-4441-b82d-27bc32e88d60&quot;,&quot;properties&quot;:{&quot;noteIndex&quot;:0},&quot;isEdited&quot;:false,&quot;manualOverride&quot;:{&quot;isManuallyOverridden&quot;:true,&quot;citeprocText&quot;:&quot;(Craig et al. 2017a)&quot;,&quot;manualOverrideText&quot;:&quot;Craig et al. 2017&quot;},&quot;citationTag&quot;:&quot;MENDELEY_CITATION_v3_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&quot;,&quot;citationItems&quot;:[{&quot;id&quot;:&quot;37761190-f221-3b94-ba76-069ea658297a&quot;,&quot;itemData&quot;:{&quot;type&quot;:&quot;article-journal&quot;,&quot;id&quot;:&quot;37761190-f221-3b94-ba76-069ea658297a&quot;,&quot;title&quot;:&quot;Hydrologically-driven crustal stresses and seismicity in the New Madrid Seismic Zone&quot;,&quot;author&quot;:[{&quot;family&quot;:&quot;Craig&quot;,&quot;given&quot;:&quot;Timothy J.&quot;,&quot;parse-names&quot;:false,&quot;dropping-particle&quot;:&quot;&quot;,&quot;non-dropping-particle&quot;:&quot;&quot;},{&quot;family&quot;:&quot;Chanard&quot;,&quot;given&quot;:&quot;Kristel&quot;,&quot;parse-names&quot;:false,&quot;dropping-particle&quot;:&quot;&quot;,&quot;non-dropping-particle&quot;:&quot;&quot;},{&quot;family&quot;:&quot;Calais&quot;,&quot;given&quot;:&quot;Eric&quot;,&quot;parse-names&quot;:false,&quot;dropping-particle&quot;:&quot;&quot;,&quot;non-dropping-particle&quot;:&quot;&quot;}],&quot;container-title&quot;:&quot;Nature Communications&quot;,&quot;DOI&quot;:&quot;10.1038/s41467-017-01696-w&quot;,&quot;ISSN&quot;:&quot;20411723&quot;,&quot;PMID&quot;:&quot;29247158&quot;,&quot;issued&quot;:{&quot;date-parts&quot;:[[2017,12,1]]},&quot;abstract&quot;:&quot;The degree to which short-Term non-Tectonic processes, either natural and anthropogenic, influence the occurrence of earthquakes in active tectonic settings or 'stable' plate interiors, remains a subject of debate. Recent work in plate-boundary regions demonstrates the capacity for long-wavelength changes in continental water storage to produce observable surface deformation, induce crustal stresses and modulate seismicity rates. Here we show that a significant variation in the rate of microearthquakes in the intraplate New Madrid Seismic Zone at annual and multi-Annual timescales coincides with hydrological loading in the upper Mississippi embayment. We demonstrate that this loading, which results in geodetically observed surface deformation, induces stresses within the lithosphere that, although of small amplitude, modulate the ongoing seismicity of the New Madrid region. Correspondence between surface deformation, hydrological loading and seismicity rates at both annual and multi-Annual timescales indicates that seismicity variations are the direct result of elastic stresses induced by the water load.&quot;,&quot;publisher&quot;:&quot;Nature Publishing Group&quot;,&quot;issue&quot;:&quot;1&quot;,&quot;volume&quot;:&quot;8&quot;,&quot;container-title-short&quot;:&quot;&quot;},&quot;isTemporary&quot;:false}]},{&quot;citationID&quot;:&quot;MENDELEY_CITATION_12971761-74a7-445a-b6a0-35471f25e66c&quot;,&quot;properties&quot;:{&quot;noteIndex&quot;:0},&quot;isEdited&quot;:false,&quot;manualOverride&quot;:{&quot;isManuallyOverridden&quot;:true,&quot;citeprocText&quot;:&quot;(Johnson et al. 2017)&quot;,&quot;manualOverrideText&quot;:&quot; Johnson et al. 2017)&quot;},&quot;citationTag&quot;:&quot;MENDELEY_CITATION_v3_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&quot;,&quot;citationItems&quot;:[{&quot;id&quot;:&quot;e1b3c54c-3e16-3117-b6e2-be19038f8328&quot;,&quot;itemData&quot;:{&quot;type&quot;:&quot;article-journal&quot;,&quot;id&quot;:&quot;e1b3c54c-3e16-3117-b6e2-be19038f8328&quot;,&quot;title&quot;:&quot;Stress Models of the Annual Hydrospheric, Atmospheric, Thermal, and Tidal Loading Cycles on California Faults: Perturbation of Background Stress and Changes in Seismicity&quot;,&quot;author&quot;:[{&quot;family&quot;:&quot;Johnson&quot;,&quot;given&quot;:&quot;Christopher W.&quot;,&quot;parse-names&quot;:false,&quot;dropping-particle&quot;:&quot;&quot;,&quot;non-dropping-particle&quot;:&quot;&quot;},{&quot;family&quot;:&quot;Fu&quot;,&quot;given&quot;:&quot;Yuning&quot;,&quot;parse-names&quot;:false,&quot;dropping-particle&quot;:&quot;&quot;,&quot;non-dropping-particle&quot;:&quot;&quot;},{&quot;family&quot;:&quot;Bürgmann&quot;,&quot;given&quot;:&quot;Roland&quot;,&quot;parse-names&quot;:false,&quot;dropping-particle&quot;:&quot;&quot;,&quot;non-dropping-particle&quot;:&quot;&quot;}],&quot;container-title&quot;:&quot;Journal of Geophysical Research: Solid Earth&quot;,&quot;DOI&quot;:&quot;10.1002/2017JB014778&quot;,&quot;ISSN&quot;:&quot;21699356&quot;,&quot;issued&quot;:{&quot;date-parts&quot;:[[2017,12,1]]},&quot;page&quot;:&quot;10,605-10,625&quot;,&quot;abstract&quot;:&quot;Stresses in the lithosphere arise from multiple natural loading sources that include both surface and body forces. The largest surface loads include near-surface water storage, snow and ice, atmosphere pressure, ocean loading, and temperature changes. The solid Earth also deforms from celestial body interactions and variations in Earth's rotation. We model the seasonal stress changes in California from 2006 through 2014 for seven different loading sources with annual periods to produce an aggregate stressing history for faults in the study area. Our modeling shows that the annual water loading, atmosphere, temperature, and Earth pole tides are the largest loading sources and should each be evaluated to fully describe seasonal stress changes. In California we find that the hydrological loads are the largest source of seasonal stresses. We explore the seasonal stresses with respect to the background principal stress orientation constrained with regional focal mechanisms and analyze the modulation of seismicity. Our results do not suggest a resolvable seasonal variation for the ambient stress orientation in the shallow crust. When projecting the seasonal stresses into the background stress orientation we find that the timing of microseismicity modestly increases from an ~8 kPa seasonal mean-normal-stress perturbation. The results suggest that faults in California are optimally oriented with the background stress field and respond to subsurface pressure changes, possibly due to processes we have not considered in this study. At any time a population of faults are near failure as evident from earthquakes triggered by these slight seasonal stress perturbations.&quot;,&quot;publisher&quot;:&quot;Blackwell Publishing Ltd&quot;,&quot;issue&quot;:&quot;12&quot;,&quot;volume&quot;:&quot;122&quot;,&quot;container-title-short&quot;:&quot;&quot;},&quot;isTemporary&quot;:false}]},{&quot;citationID&quot;:&quot;MENDELEY_CITATION_8b92722b-f16e-4330-b48a-047f99f2f0e3&quot;,&quot;properties&quot;:{&quot;noteIndex&quot;:0},&quot;isEdited&quot;:false,&quot;manualOverride&quot;:{&quot;isManuallyOverridden&quot;:false,&quot;citeprocText&quot;:&quot;(Wilcock 2001; Tolstoy et al. 2002; Stroup et al. 2007; Tan et al. 2018; Scholz et al. 2019)&quot;,&quot;manualOverrideText&quot;:&quot;&quot;},&quot;citationTag&quot;:&quot;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&quot;,&quot;citationItems&quot;:[{&quot;id&quot;:&quot;43e85ebb-d61e-3102-9471-e6ae8210e680&quot;,&quot;itemData&quot;:{&quot;type&quot;:&quot;article-journal&quot;,&quot;id&quot;:&quot;43e85ebb-d61e-3102-9471-e6ae8210e680&quot;,&quot;title&quot;:&quot;The mechanism of tidal triggering of earthquakes at mid-ocean ridges&quot;,&quot;author&quot;:[{&quot;family&quot;:&quot;Scholz&quot;,&quot;given&quot;:&quot;Christopher H.&quot;,&quot;parse-names&quot;:false,&quot;dropping-particle&quot;:&quot;&quot;,&quot;non-dropping-particle&quot;:&quot;&quot;},{&quot;family&quot;:&quot;Tan&quot;,&quot;given&quot;:&quot;Yen Joe&quot;,&quot;parse-names&quot;:false,&quot;dropping-particle&quot;:&quot;&quot;,&quot;non-dropping-particle&quot;:&quot;&quot;},{&quot;family&quot;:&quot;Albino&quot;,&quot;given&quot;:&quot;Fabien&quot;,&quot;parse-names&quot;:false,&quot;dropping-particle&quot;:&quot;&quot;,&quot;non-dropping-particle&quot;:&quot;&quot;}],&quot;container-title&quot;:&quot;Nature Communications&quot;,&quot;DOI&quot;:&quot;10.1038/s41467-019-10605-2&quot;,&quot;ISSN&quot;:&quot;20411723&quot;,&quot;PMID&quot;:&quot;31175308&quot;,&quot;issued&quot;:{&quot;date-parts&quot;:[[2019,12,1]]},&quot;abstract&quot;:&quot;The strong tidal triggering of mid-ocean ridge earthquakes has remained unexplained because the earthquakes occur preferentially during low tide, when normal faulting earthquakes should be inhibited. Using Axial Volcano on the Juan de Fuca ridge as an example, we show that the axial magma chamber inflates/deflates in response to tidal stresses, producing Coulomb stresses on the faults that are opposite in sign to those produced by the tides. When the magma chamber’s bulk modulus is sufficiently low, the phase of tidal triggering is inverted. We find that the stress dependence of seismicity rate conforms to triggering theory over the entire tidal stress range. There is no triggering stress threshold and stress shadowing is just a continuous function of stress decrease. We find the viscous friction parameter A to be an order of magnitude smaller than laboratory measurements. The high tidal sensitivity at Axial Volcano results from the shallow earthquake depths.&quot;,&quot;publisher&quot;:&quot;Nature Publishing Group&quot;,&quot;issue&quot;:&quot;1&quot;,&quot;volume&quot;:&quot;10&quot;,&quot;container-title-short&quot;:&quot;&quot;},&quot;isTemporary&quot;:false},{&quot;id&quot;:&quot;8a685101-c39a-3bbd-9998-764b5ef9adf0&quot;,&quot;itemData&quot;:{&quot;type&quot;:&quot;article-journal&quot;,&quot;id&quot;:&quot;8a685101-c39a-3bbd-9998-764b5ef9adf0&quot;,&quot;title&quot;:&quot;Pulse of the seafloor: Tidal triggering of microearthquakes at 9°50′N East Pacific Rise&quot;,&quot;author&quot;:[{&quot;family&quot;:&quot;Stroup&quot;,&quot;given&quot;:&quot;Danielle F.&quot;,&quot;parse-names&quot;:false,&quot;dropping-particle&quot;:&quot;&quot;,&quot;non-dropping-particle&quot;:&quot;&quot;},{&quot;family&quot;:&quot;Bohnenstiehl&quot;,&quot;given&quot;:&quot;D. R.&quot;,&quot;parse-names&quot;:false,&quot;dropping-particle&quot;:&quot;&quot;,&quot;non-dropping-particle&quot;:&quot;&quot;},{&quot;family&quot;:&quot;Tolstoy&quot;,&quot;given&quot;:&quot;M.&quot;,&quot;parse-names&quot;:false,&quot;dropping-particle&quot;:&quot;&quot;,&quot;non-dropping-particle&quot;:&quot;&quot;},{&quot;family&quot;:&quot;Waldhauser&quot;,&quot;given&quot;:&quot;F.&quot;,&quot;parse-names&quot;:false,&quot;dropping-particle&quot;:&quot;&quot;,&quot;non-dropping-particle&quot;:&quot;&quot;},{&quot;family&quot;:&quot;Weekly&quot;,&quot;given&quot;:&quot;R. T.&quot;,&quot;parse-names&quot;:false,&quot;dropping-particle&quot;:&quot;&quot;,&quot;non-dropping-particle&quot;:&quot;&quot;}],&quot;container-title&quot;:&quot;Geophysical Research Letters&quot;,&quot;DOI&quot;:&quot;10.1029/2007GL030088&quot;,&quot;ISSN&quot;:&quot;00948276&quot;,&quot;issued&quot;:{&quot;date-parts&quot;:[[2007,8,16]]},&quot;abstract&quot;:&quot;Unequivocal evidence of tidal triggering is observed for microearthquakes (-0.4 to 2.0 ML) recorded between October 2003 to April 2004 near 9°50′N on the East Pacific Rise (EPR). Although semidiurnal tidal stress changes are small (&lt;2 kPa), seismicity exhibits a significant (&gt;99.9%) nonrandom temporal distribution, with events occurring preferentially near times of peak extension. Due to the proximity of this site to an ocean tidal node, where changes in sea surface height are minimal, periodic stress changes are dominated by the solid Earth tide. In contrast, previous studies on the Juan de Fuca Ridge have shown microearthquake triggering to be a response to seafloor unloading during times of low ocean tide. The modulation of 9°50′N microearthquakes by small-amplitude periodic stresses is consistent with earthquake nucleation within a high stressing rate environment that is maintained near a critical state of failure by on-axis magmatic and hydrothermal processes. Copyright 2007 by the American Geophysical Union.&quot;,&quot;issue&quot;:&quot;15&quot;,&quot;volume&quot;:&quot;34&quot;,&quot;container-title-short&quot;:&quot;&quot;},&quot;isTemporary&quot;:false},{&quot;id&quot;:&quot;72be0f25-f7ba-3b5c-b405-2894bc5eefe8&quot;,&quot;itemData&quot;:{&quot;type&quot;:&quot;article-journal&quot;,&quot;id&quot;:&quot;72be0f25-f7ba-3b5c-b405-2894bc5eefe8&quot;,&quot;title&quot;:&quot;Tidal Triggering of Microearthquakes Over an Eruption Cycle at 9°50'N East Pacific Rise&quot;,&quot;author&quot;:[{&quot;family&quot;:&quot;Tan&quot;,&quot;given&quot;:&quot;Yen Joe&quot;,&quot;parse-names&quot;:false,&quot;dropping-particle&quot;:&quot;&quot;,&quot;non-dropping-particle&quot;:&quot;&quot;},{&quot;family&quot;:&quot;Tolstoy&quot;,&quot;given&quot;:&quot;Maya&quot;,&quot;parse-names&quot;:false,&quot;dropping-particle&quot;:&quot;&quot;,&quot;non-dropping-particle&quot;:&quot;&quot;},{&quot;family&quot;:&quot;Waldhauser&quot;,&quot;given&quot;:&quot;Felix&quot;,&quot;parse-names&quot;:false,&quot;dropping-particle&quot;:&quot;&quot;,&quot;non-dropping-particle&quot;:&quot;&quot;},{&quot;family&quot;:&quot;Bohnenstiehl&quot;,&quot;given&quot;:&quot;Del Wayne R.&quot;,&quot;parse-names&quot;:false,&quot;dropping-particle&quot;:&quot;&quot;,&quot;non-dropping-particle&quot;:&quot;&quot;}],&quot;container-title&quot;:&quot;Geophysical Research Letters&quot;,&quot;DOI&quot;:&quot;10.1002/2017GL076497&quot;,&quot;ISSN&quot;:&quot;19448007&quot;,&quot;issued&quot;:{&quot;date-parts&quot;:[[2018,2,28]]},&quot;page&quot;:&quot;1825-1831&quot;,&quot;abstract&quot;:&quot;Studies have found that earthquake timing often correlates with tides at mid-ocean ridges and some terrestrial settings. Studies have also suggested that tidal triggering may preferentially happen when a region is critically stressed, making it a potential tool to forecast earthquakes and volcanic eruptions. We examine tidal triggering of ∼100,000 microearthquakes near 9°50'N East Pacific Rise recorded between October 2003 and January 2007, which encompasses an eruption in January 2006. This allows us to look at how tidal triggering signal varies over an eruption cycle to examine its utility as a forecasting tool. We find that tidal triggering signal is strong but does not vary systematically in the 2+ years leading up to the eruption. However, tidal triggering signal disappears immediately posteruption. Our findings suggest that tidal triggering variation may not be useful for forecasting mid-ocean ridge eruptions over a 2+ year timescale but might be useful over a longer timescale.&quot;,&quot;publisher&quot;:&quot;Blackwell Publishing Ltd&quot;,&quot;issue&quot;:&quot;4&quot;,&quot;volume&quot;:&quot;45&quot;,&quot;container-title-short&quot;:&quot;&quot;},&quot;isTemporary&quot;:false},{&quot;id&quot;:&quot;e135f68b-7676-34d7-9b47-e1752f12165d&quot;,&quot;itemData&quot;:{&quot;type&quot;:&quot;report&quot;,&quot;id&quot;:&quot;e135f68b-7676-34d7-9b47-e1752f12165d&quot;,&quot;title&quot;:&quot;Breathing of the seafloor: Tidal correlations of seismicity at Axial volcano   &quot;,&quot;author&quot;:[{&quot;family&quot;:&quot;Tolstoy&quot;,&quot;given&quot;:&quot;Maya&quot;,&quot;parse-names&quot;:false,&quot;dropping-particle&quot;:&quot;&quot;,&quot;non-dropping-particle&quot;:&quot;&quot;},{&quot;family&quot;:&quot;Frank L Vernon&quot;,&quot;given&quot;:&quot;&quot;,&quot;parse-names&quot;:false,&quot;dropping-particle&quot;:&quot;&quot;,&quot;non-dropping-particle&quot;:&quot;&quot;},{&quot;family&quot;:&quot;John A Orcutt&quot;,&quot;given&quot;:&quot;&quot;,&quot;parse-names&quot;:false,&quot;dropping-particle&quot;:&quot;&quot;,&quot;non-dropping-particle&quot;:&quot;&quot;},{&quot;family&quot;:&quot;Frank K Wyatt&quot;,&quot;given&quot;:&quot;&quot;,&quot;parse-names&quot;:false,&quot;dropping-particle&quot;:&quot;&quot;,&quot;non-dropping-particle&quot;:&quot;&quot;}],&quot;container-title&quot;:&quot;Geology&quot;,&quot;container-title-short&quot;:&quot;Geology&quot;,&quot;issued&quot;:{&quot;date-parts&quot;:[[2002]]},&quot;number-of-pages&quot;:&quot;503&quot;,&quot;abstract&quot;:&quot;Figure 1. Locations and names of three ocean-bottom seis-mographs (OBS) used to locate events and NOAA-PMEL's bottom-pressure recorder (BPR). All located earthquakes are shown as green dots. Purple star indicates location of water-column anomaly as recorded during OBS deployments. Lower right figure shows outline of 1998 flow (Em-bley et al., 1999) compared with location of 1994 seismicity. Lower-left figure shows location of Axial volcano (AS is Ax-ial Seamount) on Juan de Fuca Ridge, off coast of northwestern United States. ABSTRACT Tidal effects on seafloor microearthquakes have been postulated , but the search has been hindered by a lack of continuous long-term data sets. Making this observation is further complicated by the need to distinguish between Earth and ocean tidal influences on the seafloor. In the summer of 1994, a small ocean-bottom seis-mograph array located 402 microseismic events, over a period of two months, on the summit caldera of Axial volcano on the Juan de Fuca Ridge. Harmonic tremor was also observed on all instruments , and Earth and ocean tides were recorded on tiltmeters installed within the seismometer packages. Microearthquakes show a strong correlation with tidal lows, suggesting that faulting is occurring preferentially when ocean loading is at a minimum. The harmonic tremor, interpreted as the movement of superheated fluid in cracks, also has a tidal periodicity.&quot;,&quot;issue&quot;:&quot;6&quot;},&quot;isTemporary&quot;:false},{&quot;id&quot;:&quot;d90caf27-7175-38f8-917c-3140a0b2c3b8&quot;,&quot;itemData&quot;:{&quot;type&quot;:&quot;article-journal&quot;,&quot;id&quot;:&quot;d90caf27-7175-38f8-917c-3140a0b2c3b8&quot;,&quot;title&quot;:&quot;Tidal triggering of microearthquakes on the Juan de Fuca ridge&quot;,&quot;author&quot;:[{&quot;family&quot;:&quot;Wilcock&quot;,&quot;given&quot;:&quot;W. S.D.&quot;,&quot;parse-names&quot;:false,&quot;dropping-particle&quot;:&quot;&quot;,&quot;non-dropping-particle&quot;:&quot;&quot;}],&quot;container-title&quot;:&quot;Geophysical Research Letters&quot;,&quot;DOI&quot;:&quot;10.1029/2001GL013370&quot;,&quot;ISSN&quot;:&quot;00948276&quot;,&quot;issued&quot;:{&quot;date-parts&quot;:[[2001,10,15]]},&quot;page&quot;:&quot;3999-4002&quot;,&quot;abstract&quot;:&quot;Tidal stresses beneath the oceans can be up to an order of magnitude higher than those found in the continents because of the effects of loading by ocean tides. I have analyzed 1899 microearthquakes recorded during a 55-day experiment on the Endeavour segment of the Juan de Fuca Ridge for tidal triggering. The tidal phase of the full data set and of a declustered subset comprising 987 events appears non-random to a high level of confidence. Earthquakes occur more frequently near low tides, especially the lowest spring tides, when the extensional stresses are a maximum in all directions.&quot;,&quot;issue&quot;:&quot;20&quot;,&quot;volume&quot;:&quot;28&quot;,&quot;container-title-short&quot;:&quot;&quot;},&quot;isTemporary&quot;:false}]},{&quot;citationID&quot;:&quot;MENDELEY_CITATION_bc83c697-9e95-4b4a-acf3-efdd152cb09d&quot;,&quot;properties&quot;:{&quot;noteIndex&quot;:0},&quot;isEdited&quot;:false,&quot;manualOverride&quot;:{&quot;isManuallyOverridden&quot;:true,&quot;citeprocText&quot;:&quot;(Grevemeyer et al. 2013; Horning et al. 2018)&quot;,&quot;manualOverrideText&quot;:&quot;Grevemeyer et al. 2013; Horning et al. 2018)&quot;},&quot;citationTag&quot;:&quot;MENDELEY_CITATION_v3_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&quot;,&quot;citationItems&quot;:[{&quot;id&quot;:&quot;269464e8-9e40-30e0-a837-f98ec51be3a3&quot;,&quot;itemData&quot;:{&quot;type&quot;:&quot;article-journal&quot;,&quot;id&quot;:&quot;269464e8-9e40-30e0-a837-f98ec51be3a3&quot;,&quot;title&quot;:&quot;Buoyancy and localizing properties of continental mantle lithosphere: Insights from thermomechanical models of the eastern Gulf of Aden&quot;,&quot;author&quot;:[{&quot;family&quot;:&quot;Grevemeyer&quot;,&quot;given&quot;:&quot;I.&quot;,&quot;parse-names&quot;:false,&quot;dropping-particle&quot;:&quot;&quot;,&quot;non-dropping-particle&quot;:&quot;&quot;},{&quot;family&quot;:&quot;Reston&quot;,&quot;given&quot;:&quot;T. J.&quot;,&quot;parse-names&quot;:false,&quot;dropping-particle&quot;:&quot;&quot;,&quot;non-dropping-particle&quot;:&quot;&quot;},{&quot;family&quot;:&quot;MoelleR&quot;,&quot;given&quot;:&quot;S.&quot;,&quot;parse-names&quot;:false,&quot;dropping-particle&quot;:&quot;&quot;,&quot;non-dropping-particle&quot;:&quot;&quot;}],&quot;container-title&quot;:&quot;Geochemistry, Geophysics, Geosystems&quot;,&quot;DOI&quot;:&quot;10.1002/ggge.20179&quot;,&quot;ISSN&quot;:&quot;15252027&quot;,&quot;issued&quot;:{&quot;date-parts&quot;:[[2013,8,1]]},&quot;page&quot;:&quot;2800-2817&quot;,&quot;abstract&quot;:&quot;Physical properties of the mantle lithosphere have a strong influence on the rifting processes and rifted structures. In particular, in context of rifting, two of these properties have been overlooked: (1) Mohr-Coulomb plasticity (localizing pressure dependent) may not be valid at mantle depths as opposed to nonlocalizing pressure-independent plasticity (hereafter, perfect plasticity), and (2) lithosphere buoyancy can vary, depending on the petrological composition of the mantle. Focussing on the Arabian plate, we show that the lithosphere may be negatively buoyant. We use thermomechanical modeling to investigate the importance of mantle rheology and composition on the formation of a passive margin, ocean-continent transition (OCT) and oceanic basin. We compare the results of this parametric study to observations in the eastern Gulf of Aden (heat flow, refraction seismics and topography) and show that (1) mantle lithosphere rheology controls the margin geometry and timing of the rifting; (2) lithosphere buoyancy has a large impact on the seafloor depth and the timing of partial melting; and (3) a perfectly plastic mantle lithosphere 20 kg m&lt;sup&gt;-3&lt;/sup&gt; denser than the asthenosphere best fits with observed elevation in the Gulf of Aden. Finally, thermomechanical models suggest that partial melting can occur in the mantle during the Arabian crustal breakup. We postulate that the produced melt could then infiltrate through the remnant continental mantle lithosphere, reach the surface and generate oceanic crust. This is in agreement with the observed narrow OCT composed of exhumed continental mantle intruded by volcanic rocks in the eastern Gulf of Aden. ©2013. American Geophysical Union. All Rights Reserved.&quot;,&quot;publisher&quot;:&quot;Blackwell Publishing Ltd&quot;,&quot;issue&quot;:&quot;8&quot;,&quot;volume&quot;:&quot;14&quot;,&quot;container-title-short&quot;:&quot;&quot;},&quot;isTemporary&quot;:false},{&quot;id&quot;:&quot;d441272a-4b5f-3e9c-b048-3cd88d836d42&quot;,&quot;itemData&quot;:{&quot;type&quot;:&quot;article-journal&quot;,&quot;id&quot;:&quot;d441272a-4b5f-3e9c-b048-3cd88d836d42&quot;,&quot;title&quot;:&quot;Local Seismicity of the Rainbow Massif on the Mid-Atlantic Ridge&quot;,&quot;author&quot;:[{&quot;family&quot;:&quot;Horning&quot;,&quot;given&quot;:&quot;G.&quot;,&quot;parse-names&quot;:false,&quot;dropping-particle&quot;:&quot;&quot;,&quot;non-dropping-particle&quot;:&quot;&quot;},{&quot;family&quot;:&quot;Sohn&quot;,&quot;given&quot;:&quot;R. A.&quot;,&quot;parse-names&quot;:false,&quot;dropping-particle&quot;:&quot;&quot;,&quot;non-dropping-particle&quot;:&quot;&quot;},{&quot;family&quot;:&quot;Canales&quot;,&quot;given&quot;:&quot;J. P.&quot;,&quot;parse-names&quot;:false,&quot;dropping-particle&quot;:&quot;&quot;,&quot;non-dropping-particle&quot;:&quot;&quot;},{&quot;family&quot;:&quot;Dunn&quot;,&quot;given&quot;:&quot;R. A.&quot;,&quot;parse-names&quot;:false,&quot;dropping-particle&quot;:&quot;&quot;,&quot;non-dropping-particle&quot;:&quot;&quot;}],&quot;container-title&quot;:&quot;Journal of Geophysical Research: Solid Earth&quot;,&quot;DOI&quot;:&quot;10.1002/2017JB015288&quot;,&quot;ISSN&quot;:&quot;21699356&quot;,&quot;issued&quot;:{&quot;date-parts&quot;:[[2018,2,1]]},&quot;page&quot;:&quot;1615-1630&quot;,&quot;abstract&quot;:&quot;The Rainbow massif, an oceanic core complex located in a nontransform discontinuity on the Mid-Atlantic Ridge (36°N), is notable for hosting high-temperature hydrothermal discharge through ultramafic rocks. Here we report results from a 9 month microearthquake survey conducted with a network of 13 ocean bottom seismometers deployed on and around the Rainbow massif as part of the MARINER experiment in 2013–2014. High rates (~300 per day) of low-magnitude (average ML ~ 0.5) microearthquakes were detected beneath the massif. The hypocenters do not cluster along deeply penetrating fault surfaces and do not exhibit mainshock/aftershock sequences, supporting the hypothesis that the faulting associated with the exhumation of the massif is currently inactive. Instead, the hypocenters demarcate a diffuse zone of continuous, low-magnitude deformation at relatively shallow (&lt; ~3 km) depths beneath the massif, sandwiched in between the seafloor and seismic reflectors interpreted to be magmatic sills driving hydrothermal convection. Most of the seismicity is located in regions where seismic refraction data indicate serpentinized ultramafic host rock, and although the seismic network we deployed was not capable of constraining the focal mechanism of most events, our analysis suggests that serpentinization may play an important role in microearthquake generation at the Rainbow massif.&quot;,&quot;publisher&quot;:&quot;Blackwell Publishing Ltd&quot;,&quot;issue&quot;:&quot;2&quot;,&quot;volume&quot;:&quot;123&quot;,&quot;container-title-short&quot;:&quot;&quot;},&quot;isTemporary&quot;:false}]},{&quot;citationID&quot;:&quot;MENDELEY_CITATION_459525b0-ff9c-4326-af5c-dec869b1940d&quot;,&quot;properties&quot;:{&quot;noteIndex&quot;:0},&quot;isEdited&quot;:false,&quot;manualOverride&quot;:{&quot;isManuallyOverridden&quot;:true,&quot;citeprocText&quot;:&quot;(Tolstoy et al. 2002; Stroup et al. 2007)&quot;,&quot;manualOverrideText&quot;:&quot;Tolstoy et al. 2002; Stroup et al. 2007)&quot;},&quot;citationTag&quot;:&quot;MENDELEY_CITATION_v3_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&quot;,&quot;citationItems&quot;:[{&quot;id&quot;:&quot;8a685101-c39a-3bbd-9998-764b5ef9adf0&quot;,&quot;itemData&quot;:{&quot;type&quot;:&quot;article-journal&quot;,&quot;id&quot;:&quot;8a685101-c39a-3bbd-9998-764b5ef9adf0&quot;,&quot;title&quot;:&quot;Pulse of the seafloor: Tidal triggering of microearthquakes at 9°50′N East Pacific Rise&quot;,&quot;author&quot;:[{&quot;family&quot;:&quot;Stroup&quot;,&quot;given&quot;:&quot;Danielle F.&quot;,&quot;parse-names&quot;:false,&quot;dropping-particle&quot;:&quot;&quot;,&quot;non-dropping-particle&quot;:&quot;&quot;},{&quot;family&quot;:&quot;Bohnenstiehl&quot;,&quot;given&quot;:&quot;D. R.&quot;,&quot;parse-names&quot;:false,&quot;dropping-particle&quot;:&quot;&quot;,&quot;non-dropping-particle&quot;:&quot;&quot;},{&quot;family&quot;:&quot;Tolstoy&quot;,&quot;given&quot;:&quot;M.&quot;,&quot;parse-names&quot;:false,&quot;dropping-particle&quot;:&quot;&quot;,&quot;non-dropping-particle&quot;:&quot;&quot;},{&quot;family&quot;:&quot;Waldhauser&quot;,&quot;given&quot;:&quot;F.&quot;,&quot;parse-names&quot;:false,&quot;dropping-particle&quot;:&quot;&quot;,&quot;non-dropping-particle&quot;:&quot;&quot;},{&quot;family&quot;:&quot;Weekly&quot;,&quot;given&quot;:&quot;R. T.&quot;,&quot;parse-names&quot;:false,&quot;dropping-particle&quot;:&quot;&quot;,&quot;non-dropping-particle&quot;:&quot;&quot;}],&quot;container-title&quot;:&quot;Geophysical Research Letters&quot;,&quot;DOI&quot;:&quot;10.1029/2007GL030088&quot;,&quot;ISSN&quot;:&quot;00948276&quot;,&quot;issued&quot;:{&quot;date-parts&quot;:[[2007,8,16]]},&quot;abstract&quot;:&quot;Unequivocal evidence of tidal triggering is observed for microearthquakes (-0.4 to 2.0 ML) recorded between October 2003 to April 2004 near 9°50′N on the East Pacific Rise (EPR). Although semidiurnal tidal stress changes are small (&lt;2 kPa), seismicity exhibits a significant (&gt;99.9%) nonrandom temporal distribution, with events occurring preferentially near times of peak extension. Due to the proximity of this site to an ocean tidal node, where changes in sea surface height are minimal, periodic stress changes are dominated by the solid Earth tide. In contrast, previous studies on the Juan de Fuca Ridge have shown microearthquake triggering to be a response to seafloor unloading during times of low ocean tide. The modulation of 9°50′N microearthquakes by small-amplitude periodic stresses is consistent with earthquake nucleation within a high stressing rate environment that is maintained near a critical state of failure by on-axis magmatic and hydrothermal processes. Copyright 2007 by the American Geophysical Union.&quot;,&quot;issue&quot;:&quot;15&quot;,&quot;volume&quot;:&quot;34&quot;,&quot;container-title-short&quot;:&quot;&quot;},&quot;isTemporary&quot;:false},{&quot;id&quot;:&quot;e135f68b-7676-34d7-9b47-e1752f12165d&quot;,&quot;itemData&quot;:{&quot;type&quot;:&quot;report&quot;,&quot;id&quot;:&quot;e135f68b-7676-34d7-9b47-e1752f12165d&quot;,&quot;title&quot;:&quot;Breathing of the seafloor: Tidal correlations of seismicity at Axial volcano   &quot;,&quot;author&quot;:[{&quot;family&quot;:&quot;Tolstoy&quot;,&quot;given&quot;:&quot;Maya&quot;,&quot;parse-names&quot;:false,&quot;dropping-particle&quot;:&quot;&quot;,&quot;non-dropping-particle&quot;:&quot;&quot;},{&quot;family&quot;:&quot;Frank L Vernon&quot;,&quot;given&quot;:&quot;&quot;,&quot;parse-names&quot;:false,&quot;dropping-particle&quot;:&quot;&quot;,&quot;non-dropping-particle&quot;:&quot;&quot;},{&quot;family&quot;:&quot;John A Orcutt&quot;,&quot;given&quot;:&quot;&quot;,&quot;parse-names&quot;:false,&quot;dropping-particle&quot;:&quot;&quot;,&quot;non-dropping-particle&quot;:&quot;&quot;},{&quot;family&quot;:&quot;Frank K Wyatt&quot;,&quot;given&quot;:&quot;&quot;,&quot;parse-names&quot;:false,&quot;dropping-particle&quot;:&quot;&quot;,&quot;non-dropping-particle&quot;:&quot;&quot;}],&quot;container-title&quot;:&quot;Geology&quot;,&quot;container-title-short&quot;:&quot;Geology&quot;,&quot;issued&quot;:{&quot;date-parts&quot;:[[2002]]},&quot;number-of-pages&quot;:&quot;503&quot;,&quot;abstract&quot;:&quot;Figure 1. Locations and names of three ocean-bottom seis-mographs (OBS) used to locate events and NOAA-PMEL's bottom-pressure recorder (BPR). All located earthquakes are shown as green dots. Purple star indicates location of water-column anomaly as recorded during OBS deployments. Lower right figure shows outline of 1998 flow (Em-bley et al., 1999) compared with location of 1994 seismicity. Lower-left figure shows location of Axial volcano (AS is Ax-ial Seamount) on Juan de Fuca Ridge, off coast of northwestern United States. ABSTRACT Tidal effects on seafloor microearthquakes have been postulated , but the search has been hindered by a lack of continuous long-term data sets. Making this observation is further complicated by the need to distinguish between Earth and ocean tidal influences on the seafloor. In the summer of 1994, a small ocean-bottom seis-mograph array located 402 microseismic events, over a period of two months, on the summit caldera of Axial volcano on the Juan de Fuca Ridge. Harmonic tremor was also observed on all instruments , and Earth and ocean tides were recorded on tiltmeters installed within the seismometer packages. Microearthquakes show a strong correlation with tidal lows, suggesting that faulting is occurring preferentially when ocean loading is at a minimum. The harmonic tremor, interpreted as the movement of superheated fluid in cracks, also has a tidal periodicity.&quot;,&quot;issue&quot;:&quot;6&quot;},&quot;isTemporary&quot;:false}]},{&quot;citationID&quot;:&quot;MENDELEY_CITATION_24c17bee-42c2-45af-b033-c4c30e7549cd&quot;,&quot;properties&quot;:{&quot;noteIndex&quot;:0},&quot;isEdited&quot;:false,&quot;manualOverride&quot;:{&quot;isManuallyOverridden&quot;:false,&quot;citeprocText&quot;:&quot;(Wilcock 2001; Tolstoy et al. 2002; Stroup et al. 2007; Leptokaropoulos et al. 2021)&quot;,&quot;manualOverrideText&quot;:&quot;&quot;},&quot;citationTag&quot;:&quot;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&quot;,&quot;citationItems&quot;:[{&quot;id&quot;:&quot;8a685101-c39a-3bbd-9998-764b5ef9adf0&quot;,&quot;itemData&quot;:{&quot;type&quot;:&quot;article-journal&quot;,&quot;id&quot;:&quot;8a685101-c39a-3bbd-9998-764b5ef9adf0&quot;,&quot;title&quot;:&quot;Pulse of the seafloor: Tidal triggering of microearthquakes at 9°50′N East Pacific Rise&quot;,&quot;author&quot;:[{&quot;family&quot;:&quot;Stroup&quot;,&quot;given&quot;:&quot;Danielle F.&quot;,&quot;parse-names&quot;:false,&quot;dropping-particle&quot;:&quot;&quot;,&quot;non-dropping-particle&quot;:&quot;&quot;},{&quot;family&quot;:&quot;Bohnenstiehl&quot;,&quot;given&quot;:&quot;D. R.&quot;,&quot;parse-names&quot;:false,&quot;dropping-particle&quot;:&quot;&quot;,&quot;non-dropping-particle&quot;:&quot;&quot;},{&quot;family&quot;:&quot;Tolstoy&quot;,&quot;given&quot;:&quot;M.&quot;,&quot;parse-names&quot;:false,&quot;dropping-particle&quot;:&quot;&quot;,&quot;non-dropping-particle&quot;:&quot;&quot;},{&quot;family&quot;:&quot;Waldhauser&quot;,&quot;given&quot;:&quot;F.&quot;,&quot;parse-names&quot;:false,&quot;dropping-particle&quot;:&quot;&quot;,&quot;non-dropping-particle&quot;:&quot;&quot;},{&quot;family&quot;:&quot;Weekly&quot;,&quot;given&quot;:&quot;R. T.&quot;,&quot;parse-names&quot;:false,&quot;dropping-particle&quot;:&quot;&quot;,&quot;non-dropping-particle&quot;:&quot;&quot;}],&quot;container-title&quot;:&quot;Geophysical Research Letters&quot;,&quot;DOI&quot;:&quot;10.1029/2007GL030088&quot;,&quot;ISSN&quot;:&quot;00948276&quot;,&quot;issued&quot;:{&quot;date-parts&quot;:[[2007,8,16]]},&quot;abstract&quot;:&quot;Unequivocal evidence of tidal triggering is observed for microearthquakes (-0.4 to 2.0 ML) recorded between October 2003 to April 2004 near 9°50′N on the East Pacific Rise (EPR). Although semidiurnal tidal stress changes are small (&lt;2 kPa), seismicity exhibits a significant (&gt;99.9%) nonrandom temporal distribution, with events occurring preferentially near times of peak extension. Due to the proximity of this site to an ocean tidal node, where changes in sea surface height are minimal, periodic stress changes are dominated by the solid Earth tide. In contrast, previous studies on the Juan de Fuca Ridge have shown microearthquake triggering to be a response to seafloor unloading during times of low ocean tide. The modulation of 9°50′N microearthquakes by small-amplitude periodic stresses is consistent with earthquake nucleation within a high stressing rate environment that is maintained near a critical state of failure by on-axis magmatic and hydrothermal processes. Copyright 2007 by the American Geophysical Union.&quot;,&quot;issue&quot;:&quot;15&quot;,&quot;volume&quot;:&quot;34&quot;,&quot;container-title-short&quot;:&quot;&quot;},&quot;isTemporary&quot;:false},{&quot;id&quot;:&quot;e135f68b-7676-34d7-9b47-e1752f12165d&quot;,&quot;itemData&quot;:{&quot;type&quot;:&quot;report&quot;,&quot;id&quot;:&quot;e135f68b-7676-34d7-9b47-e1752f12165d&quot;,&quot;title&quot;:&quot;Breathing of the seafloor: Tidal correlations of seismicity at Axial volcano   &quot;,&quot;author&quot;:[{&quot;family&quot;:&quot;Tolstoy&quot;,&quot;given&quot;:&quot;Maya&quot;,&quot;parse-names&quot;:false,&quot;dropping-particle&quot;:&quot;&quot;,&quot;non-dropping-particle&quot;:&quot;&quot;},{&quot;family&quot;:&quot;Frank L Vernon&quot;,&quot;given&quot;:&quot;&quot;,&quot;parse-names&quot;:false,&quot;dropping-particle&quot;:&quot;&quot;,&quot;non-dropping-particle&quot;:&quot;&quot;},{&quot;family&quot;:&quot;John A Orcutt&quot;,&quot;given&quot;:&quot;&quot;,&quot;parse-names&quot;:false,&quot;dropping-particle&quot;:&quot;&quot;,&quot;non-dropping-particle&quot;:&quot;&quot;},{&quot;family&quot;:&quot;Frank K Wyatt&quot;,&quot;given&quot;:&quot;&quot;,&quot;parse-names&quot;:false,&quot;dropping-particle&quot;:&quot;&quot;,&quot;non-dropping-particle&quot;:&quot;&quot;}],&quot;container-title&quot;:&quot;Geology&quot;,&quot;container-title-short&quot;:&quot;Geology&quot;,&quot;issued&quot;:{&quot;date-parts&quot;:[[2002]]},&quot;number-of-pages&quot;:&quot;503&quot;,&quot;abstract&quot;:&quot;Figure 1. Locations and names of three ocean-bottom seis-mographs (OBS) used to locate events and NOAA-PMEL's bottom-pressure recorder (BPR). All located earthquakes are shown as green dots. Purple star indicates location of water-column anomaly as recorded during OBS deployments. Lower right figure shows outline of 1998 flow (Em-bley et al., 1999) compared with location of 1994 seismicity. Lower-left figure shows location of Axial volcano (AS is Ax-ial Seamount) on Juan de Fuca Ridge, off coast of northwestern United States. ABSTRACT Tidal effects on seafloor microearthquakes have been postulated , but the search has been hindered by a lack of continuous long-term data sets. Making this observation is further complicated by the need to distinguish between Earth and ocean tidal influences on the seafloor. In the summer of 1994, a small ocean-bottom seis-mograph array located 402 microseismic events, over a period of two months, on the summit caldera of Axial volcano on the Juan de Fuca Ridge. Harmonic tremor was also observed on all instruments , and Earth and ocean tides were recorded on tiltmeters installed within the seismometer packages. Microearthquakes show a strong correlation with tidal lows, suggesting that faulting is occurring preferentially when ocean loading is at a minimum. The harmonic tremor, interpreted as the movement of superheated fluid in cracks, also has a tidal periodicity.&quot;,&quot;issue&quot;:&quot;6&quot;},&quot;isTemporary&quot;:false},{&quot;id&quot;:&quot;681510e1-6879-3680-b181-a468bbd3cdb1&quot;,&quot;itemData&quot;:{&quot;type&quot;:&quot;article-journal&quot;,&quot;id&quot;:&quot;681510e1-6879-3680-b181-a468bbd3cdb1&quot;,&quot;title&quot;:&quot;Tidal Triggering of Microseismicity at the Equatorial Mid-Atlantic Ridge, Inferred From the PI-LAB Experiment&quot;,&quot;author&quot;:[{&quot;family&quot;:&quot;Leptokaropoulos&quot;,&quot;given&quot;:&quot;K.&quot;,&quot;parse-names&quot;:false,&quot;dropping-particle&quot;:&quot;&quot;,&quot;non-dropping-particle&quot;:&quot;&quot;},{&quot;family&quot;:&quot;Harmon&quot;,&quot;given&quot;:&quot;N.&quot;,&quot;parse-names&quot;:false,&quot;dropping-particle&quot;:&quot;&quot;,&quot;non-dropping-particle&quot;:&quot;&quot;},{&quot;family&quot;:&quot;Hicks&quot;,&quot;given&quot;:&quot;S. P.&quot;,&quot;parse-names&quot;:false,&quot;dropping-particle&quot;:&quot;&quot;,&quot;non-dropping-particle&quot;:&quot;&quot;},{&quot;family&quot;:&quot;Rychert&quot;,&quot;given&quot;:&quot;C. A.&quot;,&quot;parse-names&quot;:false,&quot;dropping-particle&quot;:&quot;&quot;,&quot;non-dropping-particle&quot;:&quot;&quot;},{&quot;family&quot;:&quot;Schlaphorst&quot;,&quot;given&quot;:&quot;D.&quot;,&quot;parse-names&quot;:false,&quot;dropping-particle&quot;:&quot;&quot;,&quot;non-dropping-particle&quot;:&quot;&quot;},{&quot;family&quot;:&quot;Kendall&quot;,&quot;given&quot;:&quot;J. M.&quot;,&quot;parse-names&quot;:false,&quot;dropping-particle&quot;:&quot;&quot;,&quot;non-dropping-particle&quot;:&quot;&quot;}],&quot;container-title&quot;:&quot;Journal of Geophysical Research: Solid Earth&quot;,&quot;DOI&quot;:&quot;10.1029/2021JB022251&quot;,&quot;ISSN&quot;:&quot;21699356&quot;,&quot;issued&quot;:{&quot;date-parts&quot;:[[2021,9,1]]},&quot;abstract&quot;:&quot;The gravitational pulls from the moon and the sun result in tidal forces which influence both Earth's solid and water mass. These stresses are periodically added to the tectonic ones and may become sufficient for initiating rupture in fault systems critically close to failure. Previous research indicates correlations between increased seismicity rates and low tides for fast- and intermediate-spreading mid-ocean ridges in the Pacific Ocean. Here, we present a microseismicity data set (4,719 events) recorded by an ocean bottom seismometer deployment at the equatorial Mid-Atlantic Ridge. We show that low, as well as decreasing ocean water level, result in relatively elevated seismicity rates at higher magnitudes (lower b-values), translated into increased probabilities of stronger event occurrence at or towards low tides. Moreover, seismic bursts (enhanced activity rate clusters), occurring at rates well above the reference seismicity, are exclusively present during values of either high tidally induced extensional stresses or high extensional stress rates. Although the b-value differences are not significant enough to be conclusive, the seismicity rate variations exhibit statistical significance, supporting the previous findings for tidal triggering at low tides within normal-faulting regimes and extending the range of observations to slow-spreading ridges. Observed triggering of slip on low angle faults at low tides is predicted by Coulomb stress modeling. The triggering of slip on high angle faults observed here, is not easily explained without another factor. It may be related to the presence of a shallow magma body beneath the ridge, as supported by previous seismic imaging in the region.&quot;,&quot;publisher&quot;:&quot;John Wiley and Sons Inc&quot;,&quot;issue&quot;:&quot;9&quot;,&quot;volume&quot;:&quot;126&quot;,&quot;container-title-short&quot;:&quot;&quot;},&quot;isTemporary&quot;:false},{&quot;id&quot;:&quot;d90caf27-7175-38f8-917c-3140a0b2c3b8&quot;,&quot;itemData&quot;:{&quot;type&quot;:&quot;article-journal&quot;,&quot;id&quot;:&quot;d90caf27-7175-38f8-917c-3140a0b2c3b8&quot;,&quot;title&quot;:&quot;Tidal triggering of microearthquakes on the Juan de Fuca ridge&quot;,&quot;author&quot;:[{&quot;family&quot;:&quot;Wilcock&quot;,&quot;given&quot;:&quot;W. S.D.&quot;,&quot;parse-names&quot;:false,&quot;dropping-particle&quot;:&quot;&quot;,&quot;non-dropping-particle&quot;:&quot;&quot;}],&quot;container-title&quot;:&quot;Geophysical Research Letters&quot;,&quot;DOI&quot;:&quot;10.1029/2001GL013370&quot;,&quot;ISSN&quot;:&quot;00948276&quot;,&quot;issued&quot;:{&quot;date-parts&quot;:[[2001,10,15]]},&quot;page&quot;:&quot;3999-4002&quot;,&quot;abstract&quot;:&quot;Tidal stresses beneath the oceans can be up to an order of magnitude higher than those found in the continents because of the effects of loading by ocean tides. I have analyzed 1899 microearthquakes recorded during a 55-day experiment on the Endeavour segment of the Juan de Fuca Ridge for tidal triggering. The tidal phase of the full data set and of a declustered subset comprising 987 events appears non-random to a high level of confidence. Earthquakes occur more frequently near low tides, especially the lowest spring tides, when the extensional stresses are a maximum in all directions.&quot;,&quot;issue&quot;:&quot;20&quot;,&quot;volume&quot;:&quot;28&quot;,&quot;container-title-short&quot;:&quot;&quot;},&quot;isTemporary&quot;:false}]},{&quot;citationID&quot;:&quot;MENDELEY_CITATION_97c0059a-5fde-4ab2-989e-8213192c67d4&quot;,&quot;properties&quot;:{&quot;noteIndex&quot;:0},&quot;isEdited&quot;:false,&quot;manualOverride&quot;:{&quot;isManuallyOverridden&quot;:false,&quot;citeprocText&quot;:&quot;(Neves et al. 2013)&quot;,&quot;manualOverrideText&quot;:&quot;&quot;},&quot;citationTag&quot;:&quot;MENDELEY_CITATION_v3_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&quot;,&quot;citationItems&quot;:[{&quot;id&quot;:&quot;e126bdd9-d784-3442-abff-04b59fd14eeb&quot;,&quot;itemData&quot;:{&quot;type&quot;:&quot;article-journal&quot;,&quot;id&quot;:&quot;e126bdd9-d784-3442-abff-04b59fd14eeb&quot;,&quot;title&quot;:&quot;The role of lithospheric processes on the development of linear volcanic ridges in the Azores&quot;,&quot;author&quot;:[{&quot;family&quot;:&quot;Neves&quot;,&quot;given&quot;:&quot;M. C.&quot;,&quot;parse-names&quot;:false,&quot;dropping-particle&quot;:&quot;&quot;,&quot;non-dropping-particle&quot;:&quot;&quot;},{&quot;family&quot;:&quot;Miranda&quot;,&quot;given&quot;:&quot;J. M.&quot;,&quot;parse-names&quot;:false,&quot;dropping-particle&quot;:&quot;&quot;,&quot;non-dropping-particle&quot;:&quot;&quot;},{&quot;family&quot;:&quot;Luis&quot;,&quot;given&quot;:&quot;J. F.&quot;,&quot;parse-names&quot;:false,&quot;dropping-particle&quot;:&quot;&quot;,&quot;non-dropping-particle&quot;:&quot;&quot;}],&quot;container-title&quot;:&quot;Tectonophysics&quot;,&quot;container-title-short&quot;:&quot;Tectonophysics&quot;,&quot;DOI&quot;:&quot;10.1016/j.tecto.2013.09.016&quot;,&quot;ISSN&quot;:&quot;00401951&quot;,&quot;issued&quot;:{&quot;date-parts&quot;:[[2013,11,26]]},&quot;page&quot;:&quot;376-388&quot;,&quot;abstract&quot;:&quot;Linear volcanic ridges (LVRs) are widespread along the Azores plateau and are often used as a tectonic marker of the surface stress field. Nevertheless, the mechanisms that drive the emplacement and development of these structures are not well established and they have been attributed to the plateau diffuse deformation, off-rift extension or the result of the interaction between a hotspot and the brittle lithosphere. This study hypothesizes that linear volcanic ridges are the result of magma emplacement into pre-existing damaged lithosphere, using a 3D finite-element representation of the brittle lithosphere and underlying ductile mantle, and assuming that the deformation is driven by plate boundary forces applied at the edges, as describe by global plate kinematic models. The brittle layer is described by an elastoplastic rheology with progressive damage, where fractures are assumed to be analogous to localized shear bands. The ductile mantle underneath is modeled as a viscoelastic layer that exerts a shear drag at the base of the brittle layer. The modeling shows that lithospheric processes alone can justify the spatial distribution of linear volcanic ridges, and even the development of the Faial Ridge. The factors controlling the fracturing pattern are the plate geometry and velocity boundary conditions, the shearing introduced at the East Azores Fracture Zone/Gloria fault limit and the interaction between the viscous mantle and the spatially varying brittle plate thickness. Along the Terceira Rift the predicted fractures match the orientation of the LVRs in the second (~N135°-N140°) and third (N150° to N-S) sectors and provide an explanation for the arcuate shape of the rift itself. The brittle plate thickness variations are crucial for the development of the more recent LVRs, which are predicted to occur along the Faial Ridge. In the best fit model the top mantle viscosity is 1×1022Pas at 5-15km depth, and the present-day fracture network takes ~3Ma to develop. © 2013 Elsevier B.V.&quot;,&quot;volume&quot;:&quot;608&quot;},&quot;isTemporary&quot;:false}]},{&quot;citationID&quot;:&quot;MENDELEY_CITATION_f8c83f17-7332-44b1-86a5-cb923468ad42&quot;,&quot;properties&quot;:{&quot;noteIndex&quot;:0},&quot;isEdited&quot;:false,&quot;manualOverride&quot;:{&quot;citeprocText&quot;:&quot;(Luis and Neves 2006)&quot;,&quot;isManuallyOverridden&quot;:false,&quot;manualOverrideText&quot;:&quot;&quot;},&quot;citationTag&quot;:&quot;MENDELEY_CITATION_v3_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&quot;,&quot;citationItems&quot;:[{&quot;id&quot;:&quot;4a21b6bf-857c-3b6a-bcdf-1b870af9819c&quot;,&quot;itemData&quot;:{&quot;type&quot;:&quot;article-journal&quot;,&quot;id&quot;:&quot;4a21b6bf-857c-3b6a-bcdf-1b870af9819c&quot;,&quot;title&quot;:&quot;The isostatic compensation of the Azores Plateau: A 3D admittance and coherence analysis&quot;,&quot;author&quot;:[{&quot;family&quot;:&quot;Luis&quot;,&quot;given&quot;:&quot;J. F.&quot;,&quot;parse-names&quot;:false,&quot;dropping-particle&quot;:&quot;&quot;,&quot;non-dropping-particle&quot;:&quot;&quot;},{&quot;family&quot;:&quot;Neves&quot;,&quot;given&quot;:&quot;M. C.&quot;,&quot;parse-names&quot;:false,&quot;dropping-particle&quot;:&quot;&quot;,&quot;non-dropping-particle&quot;:&quot;&quot;}],&quot;container-title&quot;:&quot;Journal of Volcanology and Geothermal Research&quot;,&quot;DOI&quot;:&quot;10.1016/j.jvolgeores.2006.03.010&quot;,&quot;ISSN&quot;:&quot;03770273&quot;,&quot;issued&quot;:{&quot;date-parts&quot;:[[2006,8,1]]},&quot;page&quot;:&quot;10-22&quot;,&quot;abstract&quot;:&quot;The compensation of the Azores Plateau is re-examined by means of a 3D admittance study involving computations of the admittance between the bathymetry and (1) the geoid, (2) the free air gravity and (3) the mantle Bouguer anomalies. The geoid to bathymetry relationship, rather than being analysed in the space domain, is studied in the spectral domain. In this way, the information related to the flexural response of the lithosphere is retained in the geoid to bathymetry signal and can be compared to that of the gravity to bathymetry. We find that the anomalously shallow depths of the Azores Plateau are not due to dynamic forces sustained by mantle upwelling. The Plateau is supported by a thickened crust, which mainly results from large volumes of accreted extrusives and consequent deflection of the underlying elastic plate. Both the free air gravity and the mantle Bouguer admittance point to a flexural isostatic model with a Moho depth of 12 km and an elastic thickness in the range of 3-6 km. However, the analysis of the coherency between bathymetry and the mantle Bouguer anomaly indicates that buoyant material at the base of the crust partially accounts for the uplift of the Plateau. In our best-fitting model, the average elastic thickness is 4 km and the amplitude of the buoyant load at the Moho is 1 / 3 of that of the surface volcanic load. Buoyancy forces at the Moho may arise from underplated material resulting from subcrustal plutonism. © 2006.&quot;,&quot;issue&quot;:&quot;1-2&quot;,&quot;volume&quot;:&quot;156&quot;,&quot;container-title-short&quot;:&quot;&quot;},&quot;isTemporary&quot;:false}]},{&quot;citationID&quot;:&quot;MENDELEY_CITATION_2698fc35-e500-4bd2-9ddb-8a5d553595de&quot;,&quot;properties&quot;:{&quot;noteIndex&quot;:0},&quot;isEdited&quot;:false,&quot;manualOverride&quot;:{&quot;isManuallyOverridden&quot;:false,&quot;citeprocText&quot;:&quot;(Custódio et al. 2016)&quot;,&quot;manualOverrideText&quot;:&quot;&quot;},&quot;citationTag&quot;:&quot;MENDELEY_CITATION_v3_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&quot;,&quot;citationItems&quot;:[{&quot;id&quot;:&quot;459baf86-386e-3c95-81d5-424fd4b970b9&quot;,&quot;itemData&quot;:{&quot;type&quot;:&quot;article-journal&quot;,&quot;id&quot;:&quot;459baf86-386e-3c95-81d5-424fd4b970b9&quot;,&quot;title&quot;:&quot;Imaging active faulting in a region of distributed deformation from the joint clustering of focal mechanisms and hypocentres: Application to the Azores-western Mediterranean region&quot;,&quot;author&quot;:[{&quot;family&quot;:&quot;Custódio&quot;,&quot;given&quot;:&quot;Susana&quot;,&quot;parse-names&quot;:false,&quot;dropping-particle&quot;:&quot;&quot;,&quot;non-dropping-particle&quot;:&quot;&quot;},{&quot;family&quot;:&quot;Lima&quot;,&quot;given&quot;:&quot;Vânia&quot;,&quot;parse-names&quot;:false,&quot;dropping-particle&quot;:&quot;&quot;,&quot;non-dropping-particle&quot;:&quot;&quot;},{&quot;family&quot;:&quot;Vales&quot;,&quot;given&quot;:&quot;Dina&quot;,&quot;parse-names&quot;:false,&quot;dropping-particle&quot;:&quot;&quot;,&quot;non-dropping-particle&quot;:&quot;&quot;},{&quot;family&quot;:&quot;Cesca&quot;,&quot;given&quot;:&quot;Simone&quot;,&quot;parse-names&quot;:false,&quot;dropping-particle&quot;:&quot;&quot;,&quot;non-dropping-particle&quot;:&quot;&quot;},{&quot;family&quot;:&quot;Carrilho&quot;,&quot;given&quot;:&quot;Fernando&quot;,&quot;parse-names&quot;:false,&quot;dropping-particle&quot;:&quot;&quot;,&quot;non-dropping-particle&quot;:&quot;&quot;}],&quot;container-title&quot;:&quot;Tectonophysics&quot;,&quot;container-title-short&quot;:&quot;Tectonophysics&quot;,&quot;DOI&quot;:&quot;10.1016/j.tecto.2016.03.013&quot;,&quot;ISSN&quot;:&quot;00401951&quot;,&quot;issued&quot;:{&quot;date-parts&quot;:[[2016,4,26]]},&quot;page&quot;:&quot;70-89&quot;,&quot;abstract&quot;:&quot;The matching between linear trends of hypocentres and fault planes indicated by focal mechanisms (FMs) is frequently used to infer the location and geometry of active faults. This practice works well in regions of fast lithospheric deformation, where earthquake patterns are clear and major structures accommodate the bulk of deformation, but typically fails in regions of slow and distributed deformation. We present a new joint FM and hypocentre cluster algorithm that is able to detect systematically the consistency between hypocentre lineations and FMs, even in regions of distributed deformation. We apply the method to the Azores-western Mediterranean region, with particular emphasis on western Iberia. The analysis relies on a compilation of hypocentres and FMs taken from regional and global earthquake catalogues, academic theses and technical reports, complemented by new FMs for western Iberia. The joint clustering algorithm images both well-known and new seismo-tectonic features. The Azores triple junction is characterised by FMs with vertical pressure (P) axes, in good agreement with the divergent setting, and the Iberian domain is characterised by NW-SE oriented P axes, indicating a response of the lithosphere to the ongoing oblique convergence between Nubia and Eurasia. Several earthquakes remain unclustered in the western Mediterranean domain, which may indicate a response to local stresses. The major regions of consistent faulting that we identify are the mid-Atlantic ridge, the Terceira rift, the Trans-Alboran shear zone and the north coast of Algeria. In addition, other smaller earthquake clusters present a good match between epicentre lineations and FM fault planes. These clusters may signal single active faults or wide zones of distributed but consistent faulting. Mainland Portugal is dominated by strike-slip earthquakes with fault planes coincident with the predominant NNE-SSW and WNW-ESE oriented earthquake lineations. Clusters offshore SW Iberia are predominantly strike-slip or reverse, confirming previous suggestions of slip partitioning.&quot;,&quot;publisher&quot;:&quot;Elsevier B.V.&quot;,&quot;volume&quot;:&quot;676&quot;},&quot;isTemporary&quot;:false}]},{&quot;citationID&quot;:&quot;MENDELEY_CITATION_c6c0a5a7-0b29-425f-81a8-02ca2010eb71&quot;,&quot;properties&quot;:{&quot;noteIndex&quot;:0},&quot;isEdited&quot;:false,&quot;manualOverride&quot;:{&quot;isManuallyOverridden&quot;:false,&quot;citeprocText&quot;:&quot;(Lourenço et al. 1998; Madeira et al. 2015)&quot;,&quot;manualOverrideText&quot;:&quot;&quot;},&quot;citationTag&quot;:&quot;MENDELEY_CITATION_v3_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&quot;,&quot;citationItems&quot;:[{&quot;id&quot;:&quot;f5f98554-1a72-367d-b73e-69d4799ec6c5&quot;,&quot;itemData&quot;:{&quot;type&quot;:&quot;report&quot;,&quot;id&quot;:&quot;f5f98554-1a72-367d-b73e-69d4799ec6c5&quot;,&quot;title&quot;:&quot;Morpho-tectonic analysis of the Azores Volcanic Plateau from a new bathymetric compilation of the area&quot;,&quot;author&quot;:[{&quot;family&quot;:&quot;Lourenço&quot;,&quot;given&quot;:&quot;N&quot;,&quot;parse-names&quot;:false,&quot;dropping-particle&quot;:&quot;&quot;,&quot;non-dropping-particle&quot;:&quot;&quot;},{&quot;family&quot;:&quot;Miranda&quot;,&quot;given&quot;:&quot;J M&quot;,&quot;parse-names&quot;:false,&quot;dropping-particle&quot;:&quot;&quot;,&quot;non-dropping-particle&quot;:&quot;&quot;},{&quot;family&quot;:&quot;Luis&quot;,&quot;given&quot;:&quot;J F&quot;,&quot;parse-names&quot;:false,&quot;dropping-particle&quot;:&quot;&quot;,&quot;non-dropping-particle&quot;:&quot;&quot;},{&quot;family&quot;:&quot;Ribeiro&quot;,&quot;given&quot;:&quot;A&quot;,&quot;parse-names&quot;:false,&quot;dropping-particle&quot;:&quot;&quot;,&quot;non-dropping-particle&quot;:&quot;&quot;},{&quot;family&quot;:&quot;Mendes Victor&quot;,&quot;given&quot;:&quot;L A&quot;,&quot;parse-names&quot;:false,&quot;dropping-particle&quot;:&quot;&quot;,&quot;non-dropping-particle&quot;:&quot;&quot;},{&quot;family&quot;:&quot;Madeira&quot;,&quot;given&quot;:&quot;J&quot;,&quot;parse-names&quot;:false,&quot;dropping-particle&quot;:&quot;&quot;,&quot;non-dropping-particle&quot;:&quot;&quot;},{&quot;family&quot;:&quot;Needham&quot;,&quot;given&quot;:&quot;H D&quot;,&quot;parse-names&quot;:false,&quot;dropping-particle&quot;:&quot;&quot;,&quot;non-dropping-particle&quot;:&quot;&quot;}],&quot;container-title&quot;:&quot;Marine Geophysical Researches&quot;,&quot;issued&quot;:{&quot;date-parts&quot;:[[1998]]},&quot;number-of-pages&quot;:&quot;141-156&quot;,&quot;abstract&quot;:&quot;The existing studies of the Azores triple junction, although based on specific geological or geophysical data, largely rely upon morphological considerations. However, there is no systematic bathymetric coverage of this area, and the quality of the available bathymetric charts does not allow consistent morpho-structural analysis. In this work we present a new bathymetric grid elaborated with all the available data sources in an area comprised between 24 • W to 32 • W and 36 • N to 41 • N. The basic data set corresponds to the merge of NGDC data with new swath profiles. This new map, included as an Appendix, combined with other results from seismology and neotectonics, is the basis for the study of the morpho-structural pattern of the Azores area, the present day stress field and its implications on the current view of the Azores geodynamics. As a major result, we conclude that the Azores region is controlled by two sets of conjugated faults with 120 • and 150 • strikes that establish the framework for the onset of volcanism, expressing as linear volcanic ridges or as point source volcanism. This interaction develops what can be considered as the morphological signature of the Azores Spreading axis segmentation. We argue that the Azores domain, presently in a broad transtensional regime, is acting simultaneously as a ultra slow spreading centre and as a transfer zone between the MAR and the dextral Gloria Fault, as it accommodates the differential shear movement between the Eurasian and African plates.&quot;,&quot;volume&quot;:&quot;20&quot;,&quot;container-title-short&quot;:&quot;&quot;},&quot;isTemporary&quot;:false},{&quot;id&quot;:&quot;bff104cb-b3af-3474-9b25-366854c84941&quot;,&quot;itemData&quot;:{&quot;type&quot;:&quot;chapter&quot;,&quot;id&quot;:&quot;bff104cb-b3af-3474-9b25-366854c84941&quot;,&quot;title&quot;:&quot;Active tectonics in the central and eastern Azores islands along the Eurasia-Nubia boundary: A review&quot;,&quot;author&quot;:[{&quot;family&quot;:&quot;Madeira&quot;,&quot;given&quot;:&quot;J.&quot;,&quot;parse-names&quot;:false,&quot;dropping-particle&quot;:&quot;&quot;,&quot;non-dropping-particle&quot;:&quot;&quot;},{&quot;family&quot;:&quot;Brum da Silveira&quot;,&quot;given&quot;:&quot;A.&quot;,&quot;parse-names&quot;:false,&quot;dropping-particle&quot;:&quot;&quot;,&quot;non-dropping-particle&quot;:&quot;&quot;},{&quot;family&quot;:&quot;Hipólito&quot;,&quot;given&quot;:&quot;A.&quot;,&quot;parse-names&quot;:false,&quot;dropping-particle&quot;:&quot;&quot;,&quot;non-dropping-particle&quot;:&quot;&quot;},{&quot;family&quot;:&quot;Carmo&quot;,&quot;given&quot;:&quot;R.&quot;,&quot;parse-names&quot;:false,&quot;dropping-particle&quot;:&quot;&quot;,&quot;non-dropping-particle&quot;:&quot;&quot;}],&quot;container-title&quot;:&quot;Geological Society Memoir&quot;,&quot;DOI&quot;:&quot;10.1144/M44.3&quot;,&quot;ISSN&quot;:&quot;04354052&quot;,&quot;issued&quot;:{&quot;date-parts&quot;:[[2015,1,1]]},&quot;page&quot;:&quot;15-32&quot;,&quot;abstract&quot;:&quot;The geodynamic setting of the Azores archipelago, straddling the triple junction between the North America, Eurasia and Nubia plates, is reflected in frequent volcanic and tectonic activity. A review of neotectonics is presented for the islands forming the central and eastern groups of the Azores (Faial, Pico, São Jorge, Graciosa, Terceira, São Miguel and Santa Maria). The geometry and kinematics of active faults displacing stratigraphic and geomorphological markers of Pleistocene and Holocene age are presented. Slip-rates were determined using the available ages for the displaced markers. Maximum expected moment magnitudes were estimated using empirical correlations between magnitude and fault length, fault area and maximum observed surface displacement during surfacerupturing palaeoearthquakes. Neotectonic parameters show that the faults are in most cases very to moderately active, with slip-rates usually ranging from a few tenths of millimetres to a few millimetres per year, while maximum expected magnitudes vary from Mw 6 to 7. These magnitudes are in agreement with the instrumental and historical seismic record in the region. Neotectonic data define a dextral transtensive stress regime acting on the region and contribute to characterizing the complexity of the geodynamic processes that dominate the western-most segment of the Eurasia-Nubia plate boundary.&quot;,&quot;publisher&quot;:&quot;Geological Society of London&quot;,&quot;issue&quot;:&quot;1&quot;,&quot;volume&quot;:&quot;44&quot;,&quot;container-title-short&quot;:&quot;&quot;},&quot;isTemporary&quot;:false}]},{&quot;citationID&quot;:&quot;MENDELEY_CITATION_9c7734c9-1466-4083-98c5-be889be1d6b5&quot;,&quot;properties&quot;:{&quot;noteIndex&quot;:0},&quot;isEdited&quot;:false,&quot;manualOverride&quot;:{&quot;isManuallyOverridden&quot;:false,&quot;citeprocText&quot;:&quot;(Matias et al. 2007)&quot;,&quot;manualOverrideText&quot;:&quot;&quot;},&quot;citationTag&quot;:&quot;MENDELEY_CITATION_v3_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&quot;,&quot;citationItems&quot;:[{&quot;id&quot;:&quot;f7faa08d-86a7-3d28-86da-d1fe45ac9946&quot;,&quot;itemData&quot;:{&quot;type&quot;:&quot;article-journal&quot;,&quot;id&quot;:&quot;f7faa08d-86a7-3d28-86da-d1fe45ac9946&quot;,&quot;title&quot;:&quot;The 9th of July 1998 Faial Island (Azores, North Atlantic) seismic sequence&quot;,&quot;author&quot;:[{&quot;family&quot;:&quot;Matias&quot;,&quot;given&quot;:&quot;L.&quot;,&quot;parse-names&quot;:false,&quot;dropping-particle&quot;:&quot;&quot;,&quot;non-dropping-particle&quot;:&quot;&quot;},{&quot;family&quot;:&quot;Dias&quot;,&quot;given&quot;:&quot;N. A.&quot;,&quot;parse-names&quot;:false,&quot;dropping-particle&quot;:&quot;&quot;,&quot;non-dropping-particle&quot;:&quot;&quot;},{&quot;family&quot;:&quot;Morais&quot;,&quot;given&quot;:&quot;I.&quot;,&quot;parse-names&quot;:false,&quot;dropping-particle&quot;:&quot;&quot;,&quot;non-dropping-particle&quot;:&quot;&quot;},{&quot;family&quot;:&quot;Vales&quot;,&quot;given&quot;:&quot;D.&quot;,&quot;parse-names&quot;:false,&quot;dropping-particle&quot;:&quot;&quot;,&quot;non-dropping-particle&quot;:&quot;&quot;},{&quot;family&quot;:&quot;Carrilho&quot;,&quot;given&quot;:&quot;F.&quot;,&quot;parse-names&quot;:false,&quot;dropping-particle&quot;:&quot;&quot;,&quot;non-dropping-particle&quot;:&quot;&quot;},{&quot;family&quot;:&quot;Madeira&quot;,&quot;given&quot;:&quot;J.&quot;,&quot;parse-names&quot;:false,&quot;dropping-particle&quot;:&quot;&quot;,&quot;non-dropping-particle&quot;:&quot;&quot;},{&quot;family&quot;:&quot;Gaspar&quot;,&quot;given&quot;:&quot;J. L.&quot;,&quot;parse-names&quot;:false,&quot;dropping-particle&quot;:&quot;&quot;,&quot;non-dropping-particle&quot;:&quot;&quot;},{&quot;family&quot;:&quot;Senos&quot;,&quot;given&quot;:&quot;L.&quot;,&quot;parse-names&quot;:false,&quot;dropping-particle&quot;:&quot;&quot;,&quot;non-dropping-particle&quot;:&quot;&quot;},{&quot;family&quot;:&quot;Silveira&quot;,&quot;given&quot;:&quot;A. B.&quot;,&quot;parse-names&quot;:false,&quot;dropping-particle&quot;:&quot;&quot;,&quot;non-dropping-particle&quot;:&quot;&quot;}],&quot;container-title&quot;:&quot;Journal of Seismology&quot;,&quot;DOI&quot;:&quot;10.1007/s10950-007-9052-4&quot;,&quot;ISSN&quot;:&quot;13834649&quot;,&quot;issued&quot;:{&quot;date-parts&quot;:[[2007,7]]},&quot;page&quot;:&quot;275-298&quot;,&quot;abstract&quot;:&quot;The Faial earthquake (ML 5.8) that occurred on the 9th of July, 1998, in the Azores region (north Atlantic), caused nine casualties and severe destruction affecting more than 5,000 people. The main shock was located at sea, 10 km NE of the Faial Island, and triggered a seismic sequence that lasted for several weeks and was characterized by an unusual high p-value of 1.40 for the modified Omori law. We present here the results of a joint inversion of hypocenters and 1D velocity model performed on the data collected by the permanent network complemented with a temporary network installed shortly after the occurrence of the main event. The 1D velocity model shows a heterogeneous upper crust, testified by the observed differences in site effects at the stations, while the middle crust from ∼2.5 to 8 km in depth is quite homogeneous. The Moho is located at a depth of about 12-13 km and the Vp/Vs ratio is found to be around 1.78. The events at depth are mainly concentrated in the middle-lower crust (8-12 km), while their spatial distribution shows a main cluster, visible after relocation, SSE trending. This direction of elongation is consistent with one of the fault planes (N151°E) of the centroid moment tensor (CMT) solution for the main shock. The same plane is the preferred main shock fault plane inferred after a Coulomb failure function analysis on the aftershock distribution. The main event relocation points to a focal depth shallower than 5 km. The aftershocks pattern shows that several fault systems were reactivated by the stress perturbation induced by the main shock. Besides the two main tectonic directions, trending WNW-ESE and NNW-SSE, observed in the tectonics of Faial, Pico, and S. Jorge, there is also evidence of a new tectonic direction trending WSW-ENE. © Springer Science+Business Media, Inc. 2007.&quot;,&quot;issue&quot;:&quot;3&quot;,&quot;volume&quot;:&quot;11&quot;,&quot;container-title-short&quot;:&quot;&quot;},&quot;isTemporary&quot;:false}]},{&quot;citationID&quot;:&quot;MENDELEY_CITATION_7ee908bf-d5d9-4ad0-a943-c901c89ad021&quot;,&quot;properties&quot;:{&quot;noteIndex&quot;:0},&quot;isEdited&quot;:false,&quot;manualOverride&quot;:{&quot;isManuallyOverridden&quot;:true,&quot;citeprocText&quot;:&quot;(Martini et al. 2009)&quot;,&quot;manualOverrideText&quot;:&quot;Martini et al. (2009)&quot;},&quot;citationTag&quot;:&quot;MENDELEY_CITATION_v3_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&quot;,&quot;citationItems&quot;:[{&quot;id&quot;:&quot;ff196b94-9296-34d1-b402-ac1890a310b2&quot;,&quot;itemData&quot;:{&quot;type&quot;:&quot;article-journal&quot;,&quot;id&quot;:&quot;ff196b94-9296-34d1-b402-ac1890a310b2&quot;,&quot;title&quot;:&quot;Seasonal cycles of seismic velocity variations detected using coda wave interferometry at Fogo volcano, São Miguel, Azores, during 2003-2004&quot;,&quot;author&quot;:[{&quot;family&quot;:&quot;Martini&quot;,&quot;given&quot;:&quot;Francesca&quot;,&quot;parse-names&quot;:false,&quot;dropping-particle&quot;:&quot;&quot;,&quot;non-dropping-particle&quot;:&quot;&quot;},{&quot;family&quot;:&quot;Bean&quot;,&quot;given&quot;:&quot;Christopher J.&quot;,&quot;parse-names&quot;:false,&quot;dropping-particle&quot;:&quot;&quot;,&quot;non-dropping-particle&quot;:&quot;&quot;},{&quot;family&quot;:&quot;Saccorotti&quot;,&quot;given&quot;:&quot;Gilberto&quot;,&quot;parse-names&quot;:false,&quot;dropping-particle&quot;:&quot;&quot;,&quot;non-dropping-particle&quot;:&quot;&quot;},{&quot;family&quot;:&quot;Viveiros&quot;,&quot;given&quot;:&quot;Fatima&quot;,&quot;parse-names&quot;:false,&quot;dropping-particle&quot;:&quot;&quot;,&quot;non-dropping-particle&quot;:&quot;&quot;},{&quot;family&quot;:&quot;Wallenstein&quot;,&quot;given&quot;:&quot;Nicolau&quot;,&quot;parse-names&quot;:false,&quot;dropping-particle&quot;:&quot;&quot;,&quot;non-dropping-particle&quot;:&quot;&quot;}],&quot;container-title&quot;:&quot;Journal of Volcanology and Geothermal Research&quot;,&quot;DOI&quot;:&quot;10.1016/j.jvolgeores.2009.01.015&quot;,&quot;ISSN&quot;:&quot;03770273&quot;,&quot;issued&quot;:{&quot;date-parts&quot;:[[2009,4,10]]},&quot;page&quot;:&quot;231-246&quot;,&quot;abstract&quot;:&quot;Fogo volcano is an active central volcano, with a lake filled caldera, in the central part of São Miguel Island, Azores, whose current activity is limited to hydrothermal manifestations such as active fumarolic fields, thermal and CO2 cold springs and soil diffuse degassing areas. It is affected by important active tectonic structures, with high seismic activity and practically continuous micro-seismicity. A recurrent feature from the seismicity observed in volcanic regions is the occurrence of clusters of similar earthquakes, whose origin can be attributed to the repeated action of a similar source mechanism at the same focal area. Doublets/multiplets were identified in this study within a catalogue of small magnitude (usually &lt; 3) volcano tectonic events recorded in 2003-2004 by a selection of stations around Fogo volcano. All events have been cross-correlated and pairs whose waveforms exhibited a cross-correlation coefficient equal to or higher than 0.9 were analysed using the coda-wave interferometry technique. Subtle velocity variations found between events highlight a seasonal cycle of the velocity patterns, with lower velocity in winter time and higher velocity during summer months. Those results, together with quantitative differences between the same doublets at different stations, exhibit an excellent correlation with rainfall. A seasonal effect can also be broadly seen in the seismicity occurrence, and some of the swarms recorded over the two year period occur during the wettest season or close to episodes of abundant (above average) rainfall. Moreover, temporal and spatial analysis of several swarms highlighted the lack of any mainshock-aftershock sequence and organized migration of the hypocenters. This is suggestive of a very heterogeneous stress field. Vp/Vs is found to be lower than usually observed in volcanic areas, an occurrence likely related to the presence of steamy fluid associated with the geothermal system. Taken together, these observations suggest that pore pressurisation plays a major role in controlling a considerable part of the recorded seismicity. The geothermal fluids around Fogo massif have been identified as derived from meteoric water, which infiltrates through Fogo Lake and the volcano flanks and flows from south to north on the northern flank. All those elements seem to point to a role played by rainfall in triggering seismicity at São Miguel, possibly through pressure changes at depth in response to surface rain and/or an interaction with the geothermal system. © 2009 Elsevier B.V. All rights reserved.&quot;,&quot;issue&quot;:&quot;3-4&quot;,&quot;volume&quot;:&quot;181&quot;,&quot;container-title-short&quot;:&quot;&quot;},&quot;isTemporary&quot;:false}]},{&quot;citationID&quot;:&quot;MENDELEY_CITATION_62ccff07-28e2-4f0d-99e5-01eb4e527eeb&quot;,&quot;properties&quot;:{&quot;noteIndex&quot;:0},&quot;isEdited&quot;:false,&quot;manualOverride&quot;:{&quot;citeprocText&quot;:&quot;(Bollinger et al. 2007b; Craig et al. 2017b)&quot;,&quot;isManuallyOverridden&quot;:true,&quot;manualOverrideText&quot;:&quot;(Bollinger et al. 2007; Craig et al. 2017)&quot;},&quot;citationTag&quot;:&quot;MENDELEY_CITATION_v3_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&quot;,&quot;citationItems&quot;:[{&quot;id&quot;:&quot;aee1601c-209f-5a7e-a4b7-3d5aa5bcd707&quot;,&quot;itemData&quot;:{&quot;DOI&quot;:&quot;10.1029/2006GL029192&quot;,&quot;ISSN&quot;:&quot;00948276&quot;,&quot;abstract&quot;:&quot;For the period 1995-2000, the Nepal seismic network recorded 37 ± 8% fewer earthquakes in the summer than in the winter; for local magnitudes ML &gt; 2 to ML &gt; 4 the percentage increases from 31% to 63% respectively. We show the probability of observing this by chance is less than 1%. We find that most surface loading phenomena are either too small, or have the wrong polarity to enhance winter seismicity. We consider enhanced Coulomb failure caused by a pore-pressure increase at seismogenic depths as a possible mechanism. For this to enhance winter seismicity, however, we find that fluid diffusion following surface hydraulic loading would need to be associated with a six-month phase lag, which we consider to be possible, though unlikely. We favor instead the suppression of summer seismicity caused by stress-loading accompanying monsoon rains in the Ganges and northern India, a mechanism that is discussed in a companion article. Copyright 2007 by the American Geophysical Union.&quot;,&quot;author&quot;:[{&quot;dropping-particle&quot;:&quot;&quot;,&quot;family&quot;:&quot;Bollinger&quot;,&quot;given&quot;:&quot;Laurent&quot;,&quot;non-dropping-particle&quot;:&quot;&quot;,&quot;parse-names&quot;:false,&quot;suffix&quot;:&quot;&quot;},{&quot;dropping-particle&quot;:&quot;&quot;,&quot;family&quot;:&quot;Perrier&quot;,&quot;given&quot;:&quot;F.&quot;,&quot;non-dropping-particle&quot;:&quot;&quot;,&quot;parse-names&quot;:false,&quot;suffix&quot;:&quot;&quot;},{&quot;dropping-particle&quot;:&quot;&quot;,&quot;family&quot;:&quot;Avouac&quot;,&quot;given&quot;:&quot;J. P.&quot;,&quot;non-dropping-particle&quot;:&quot;&quot;,&quot;parse-names&quot;:false,&quot;suffix&quot;:&quot;&quot;},{&quot;dropping-particle&quot;:&quot;&quot;,&quot;family&quot;:&quot;Sapkota&quot;,&quot;given&quot;:&quot;S.&quot;,&quot;non-dropping-particle&quot;:&quot;&quot;,&quot;parse-names&quot;:false,&quot;suffix&quot;:&quot;&quot;},{&quot;dropping-particle&quot;:&quot;&quot;,&quot;family&quot;:&quot;Gautam&quot;,&quot;given&quot;:&quot;U.&quot;,&quot;non-dropping-particle&quot;:&quot;&quot;,&quot;parse-names&quot;:false,&quot;suffix&quot;:&quot;&quot;},{&quot;dropping-particle&quot;:&quot;&quot;,&quot;family&quot;:&quot;Tiwari&quot;,&quot;given&quot;:&quot;D. R.&quot;,&quot;non-dropping-particle&quot;:&quot;&quot;,&quot;parse-names&quot;:false,&quot;suffix&quot;:&quot;&quot;}],&quot;container-title&quot;:&quot;Geophysical Research Letters&quot;,&quot;id&quot;:&quot;aee1601c-209f-5a7e-a4b7-3d5aa5bcd707&quot;,&quot;issue&quot;:&quot;8&quot;,&quot;issued&quot;:{&quot;date-parts&quot;:[[&quot;2007&quot;]]},&quot;page&quot;:&quot;1-5&quot;,&quot;title&quot;:&quot;Seasonal modulation of seismicity in the Himalaya of Nepal&quot;,&quot;type&quot;:&quot;article-journal&quot;,&quot;volume&quot;:&quot;34&quot;,&quot;container-title-short&quot;:&quot;&quot;},&quot;uris&quot;:[&quot;http://www.mendeley.com/documents/?uuid=47b57805-a28b-40ce-ae2a-a8ea2a4f056b&quot;],&quot;isTemporary&quot;:false,&quot;legacyDesktopId&quot;:&quot;47b57805-a28b-40ce-ae2a-a8ea2a4f056b&quot;},{&quot;id&quot;:&quot;74a713bb-f121-54a9-946f-6ae742d6d254&quot;,&quot;itemData&quot;:{&quot;DOI&quot;:&quot;10.1038/s41467-017-01696-w&quot;,&quot;ISBN&quot;:&quot;4146701701696&quot;,&quot;ISSN&quot;:&quot;20411723&quot;,&quot;PMID&quot;:&quot;29247158&quot;,&quot;abstract&quot;:&quot;The degree to which short-Term non-Tectonic processes, either natural and anthropogenic, influence the occurrence of earthquakes in active tectonic settings or 'stable' plate interiors, remains a subject of debate. Recent work in plate-boundary regions demonstrates the capacity for long-wavelength changes in continental water storage to produce observable surface deformation, induce crustal stresses and modulate seismicity rates. Here we show that a significant variation in the rate of microearthquakes in the intraplate New Madrid Seismic Zone at annual and multi-Annual timescales coincides with hydrological loading in the upper Mississippi embayment. We demonstrate that this loading, which results in geodetically observed surface deformation, induces stresses within the lithosphere that, although of small amplitude, modulate the ongoing seismicity of the New Madrid region. Correspondence between surface deformation, hydrological loading and seismicity rates at both annual and multi-Annual timescales indicates that seismicity variations are the direct result of elastic stresses induced by the water load.&quot;,&quot;author&quot;:[{&quot;dropping-particle&quot;:&quot;&quot;,&quot;family&quot;:&quot;Craig&quot;,&quot;given&quot;:&quot;Timothy J.&quot;,&quot;non-dropping-particle&quot;:&quot;&quot;,&quot;parse-names&quot;:false,&quot;suffix&quot;:&quot;&quot;},{&quot;dropping-particle&quot;:&quot;&quot;,&quot;family&quot;:&quot;Chanard&quot;,&quot;given&quot;:&quot;Kristel&quot;,&quot;non-dropping-particle&quot;:&quot;&quot;,&quot;parse-names&quot;:false,&quot;suffix&quot;:&quot;&quot;},{&quot;dropping-particle&quot;:&quot;&quot;,&quot;family&quot;:&quot;Calais&quot;,&quot;given&quot;:&quot;Eric&quot;,&quot;non-dropping-particle&quot;:&quot;&quot;,&quot;parse-names&quot;:false,&quot;suffix&quot;:&quot;&quot;}],&quot;container-title&quot;:&quot;Nature Communications&quot;,&quot;id&quot;:&quot;74a713bb-f121-54a9-946f-6ae742d6d254&quot;,&quot;issue&quot;:&quot;1&quot;,&quot;issued&quot;:{&quot;date-parts&quot;:[[&quot;2017&quot;]]},&quot;publisher&quot;:&quot;Springer US&quot;,&quot;title&quot;:&quot;Hydrologically-driven crustal stresses and seismicity in the New Madrid Seismic Zone&quot;,&quot;type&quot;:&quot;article-journal&quot;,&quot;volume&quot;:&quot;8&quot;,&quot;container-title-short&quot;:&quot;&quot;},&quot;uris&quot;:[&quot;http://www.mendeley.com/documents/?uuid=0156365b-532f-4193-8cad-99c4f952cc67&quot;],&quot;isTemporary&quot;:false,&quot;legacyDesktopId&quot;:&quot;0156365b-532f-4193-8cad-99c4f952cc67&quot;}]},{&quot;citationID&quot;:&quot;MENDELEY_CITATION_5722ca7c-ca55-43fd-94de-281c97e5c79b&quot;,&quot;properties&quot;:{&quot;noteIndex&quot;:0},&quot;isEdited&quot;:false,&quot;manualOverride&quot;:{&quot;isManuallyOverridden&quot;:true,&quot;citeprocText&quot;:&quot;(Hanson et al. 2004)&quot;,&quot;manualOverrideText&quot;:&quot;Hanson et al. (2004)&quot;},&quot;citationTag&quot;:&quot;MENDELEY_CITATION_v3_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&quot;,&quot;citationItems&quot;:[{&quot;id&quot;:&quot;09386190-eba0-310b-a5a7-fccbb39ffdce&quot;,&quot;itemData&quot;:{&quot;type&quot;:&quot;article-journal&quot;,&quot;id&quot;:&quot;09386190-eba0-310b-a5a7-fccbb39ffdce&quot;,&quot;title&quot;:&quot;A methodology to asess relations between climatic variability and variations in hydrologic time series in the southwestern United States&quot;,&quot;author&quot;:[{&quot;family&quot;:&quot;Hanson&quot;,&quot;given&quot;:&quot;R. T.&quot;,&quot;parse-names&quot;:false,&quot;dropping-particle&quot;:&quot;&quot;,&quot;non-dropping-particle&quot;:&quot;&quot;},{&quot;family&quot;:&quot;Newhouse&quot;,&quot;given&quot;:&quot;M. W.&quot;,&quot;parse-names&quot;:false,&quot;dropping-particle&quot;:&quot;&quot;,&quot;non-dropping-particle&quot;:&quot;&quot;},{&quot;family&quot;:&quot;Dettinger&quot;,&quot;given&quot;:&quot;M. D.&quot;,&quot;parse-names&quot;:false,&quot;dropping-particle&quot;:&quot;&quot;,&quot;non-dropping-particle&quot;:&quot;&quot;}],&quot;container-title&quot;:&quot;Journal of Hydrology&quot;,&quot;DOI&quot;:&quot;10.1016/j.jhydrol.2003.10.006&quot;,&quot;ISSN&quot;:&quot;00221694&quot;,&quot;issued&quot;:{&quot;date-parts&quot;:[[2004,2,25]]},&quot;page&quot;:&quot;252-269&quot;,&quot;abstract&quot;:&quot;A new method for frequency analysis of hydrologic time series was developed to facilitate the estimation and reconstruction of individual or groups of frequencies from hydrologic time-series and facilitate the comparison of these isolated time-series components across data types, between different hydrologic settings within a watershed, between watersheds, and across frequencies. While climate-related variations in inflow to and outflow from aquifers have often been neglected, the development and management of ground-water and surface-water resources has required the inclusion of the assessment of the effects of climatic variability on the supply and demand and sustainability of use. The regional assessment of climatic variability of surface-water and ground-water flow throughout the southwestern United States required this new systematic method of hydrologic time-series analysis. To demonstrate the application of this new method, six hydrologic time-series from the Mojave River Basin, California were analyzed. The results indicate that climatic variability exists in all the data types and are partially coincident with known climate cycles such as the Pacific Decadal Oscillation and the El Nino-Southern Oscillation. The time-series also indicate lagged correlations between tree-ring indices, streamflow, stream base flow, and ground-water levels. These correlations and reconstructed time-series can be used to better understand the relation of hydrologic response to climatic forcings and to facilitate the simulation of streamflow and ground-water recharge for a more realistic approach to water-resource management. Published by Elsevier B.V.&quot;,&quot;issue&quot;:&quot;1-4&quot;,&quot;volume&quot;:&quot;287&quot;,&quot;container-title-short&quot;:&quot;&quot;},&quot;isTemporary&quot;:false}]},{&quot;citationID&quot;:&quot;MENDELEY_CITATION_dfcdb5d4-9260-49d6-a88b-2d441405b04d&quot;,&quot;properties&quot;:{&quot;noteIndex&quot;:0},&quot;isEdited&quot;:false,&quot;manualOverride&quot;:{&quot;isManuallyOverridden&quot;:false,&quot;citeprocText&quot;:&quot;(Custódio et al. 2016)&quot;,&quot;manualOverrideText&quot;:&quot;&quot;},&quot;citationTag&quot;:&quot;MENDELEY_CITATION_v3_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&quot;,&quot;citationItems&quot;:[{&quot;id&quot;:&quot;459baf86-386e-3c95-81d5-424fd4b970b9&quot;,&quot;itemData&quot;:{&quot;type&quot;:&quot;article-journal&quot;,&quot;id&quot;:&quot;459baf86-386e-3c95-81d5-424fd4b970b9&quot;,&quot;title&quot;:&quot;Imaging active faulting in a region of distributed deformation from the joint clustering of focal mechanisms and hypocentres: Application to the Azores-western Mediterranean region&quot;,&quot;author&quot;:[{&quot;family&quot;:&quot;Custódio&quot;,&quot;given&quot;:&quot;Susana&quot;,&quot;parse-names&quot;:false,&quot;dropping-particle&quot;:&quot;&quot;,&quot;non-dropping-particle&quot;:&quot;&quot;},{&quot;family&quot;:&quot;Lima&quot;,&quot;given&quot;:&quot;Vânia&quot;,&quot;parse-names&quot;:false,&quot;dropping-particle&quot;:&quot;&quot;,&quot;non-dropping-particle&quot;:&quot;&quot;},{&quot;family&quot;:&quot;Vales&quot;,&quot;given&quot;:&quot;Dina&quot;,&quot;parse-names&quot;:false,&quot;dropping-particle&quot;:&quot;&quot;,&quot;non-dropping-particle&quot;:&quot;&quot;},{&quot;family&quot;:&quot;Cesca&quot;,&quot;given&quot;:&quot;Simone&quot;,&quot;parse-names&quot;:false,&quot;dropping-particle&quot;:&quot;&quot;,&quot;non-dropping-particle&quot;:&quot;&quot;},{&quot;family&quot;:&quot;Carrilho&quot;,&quot;given&quot;:&quot;Fernando&quot;,&quot;parse-names&quot;:false,&quot;dropping-particle&quot;:&quot;&quot;,&quot;non-dropping-particle&quot;:&quot;&quot;}],&quot;container-title&quot;:&quot;Tectonophysics&quot;,&quot;container-title-short&quot;:&quot;Tectonophysics&quot;,&quot;DOI&quot;:&quot;10.1016/j.tecto.2016.03.013&quot;,&quot;ISSN&quot;:&quot;00401951&quot;,&quot;issued&quot;:{&quot;date-parts&quot;:[[2016,4,26]]},&quot;page&quot;:&quot;70-89&quot;,&quot;abstract&quot;:&quot;The matching between linear trends of hypocentres and fault planes indicated by focal mechanisms (FMs) is frequently used to infer the location and geometry of active faults. This practice works well in regions of fast lithospheric deformation, where earthquake patterns are clear and major structures accommodate the bulk of deformation, but typically fails in regions of slow and distributed deformation. We present a new joint FM and hypocentre cluster algorithm that is able to detect systematically the consistency between hypocentre lineations and FMs, even in regions of distributed deformation. We apply the method to the Azores-western Mediterranean region, with particular emphasis on western Iberia. The analysis relies on a compilation of hypocentres and FMs taken from regional and global earthquake catalogues, academic theses and technical reports, complemented by new FMs for western Iberia. The joint clustering algorithm images both well-known and new seismo-tectonic features. The Azores triple junction is characterised by FMs with vertical pressure (P) axes, in good agreement with the divergent setting, and the Iberian domain is characterised by NW-SE oriented P axes, indicating a response of the lithosphere to the ongoing oblique convergence between Nubia and Eurasia. Several earthquakes remain unclustered in the western Mediterranean domain, which may indicate a response to local stresses. The major regions of consistent faulting that we identify are the mid-Atlantic ridge, the Terceira rift, the Trans-Alboran shear zone and the north coast of Algeria. In addition, other smaller earthquake clusters present a good match between epicentre lineations and FM fault planes. These clusters may signal single active faults or wide zones of distributed but consistent faulting. Mainland Portugal is dominated by strike-slip earthquakes with fault planes coincident with the predominant NNE-SSW and WNW-ESE oriented earthquake lineations. Clusters offshore SW Iberia are predominantly strike-slip or reverse, confirming previous suggestions of slip partitioning.&quot;,&quot;publisher&quot;:&quot;Elsevier B.V.&quot;,&quot;volume&quot;:&quot;676&quot;},&quot;isTemporary&quot;:false}]},{&quot;citationID&quot;:&quot;MENDELEY_CITATION_74ec2872-764e-4013-b5d6-227284d05a7a&quot;,&quot;properties&quot;:{&quot;noteIndex&quot;:0},&quot;isEdited&quot;:false,&quot;manualOverride&quot;:{&quot;isManuallyOverridden&quot;:false,&quot;citeprocText&quot;:&quot;(Tanaka et al. 2002; Tan et al. 2018; Leptokaropoulos et al. 2021)&quot;,&quot;manualOverrideText&quot;:&quot;&quot;},&quot;citationTag&quot;:&quot;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&quot;,&quot;citationItems&quot;:[{&quot;id&quot;:&quot;681510e1-6879-3680-b181-a468bbd3cdb1&quot;,&quot;itemData&quot;:{&quot;type&quot;:&quot;article-journal&quot;,&quot;id&quot;:&quot;681510e1-6879-3680-b181-a468bbd3cdb1&quot;,&quot;title&quot;:&quot;Tidal Triggering of Microseismicity at the Equatorial Mid-Atlantic Ridge, Inferred From the PI-LAB Experiment&quot;,&quot;author&quot;:[{&quot;family&quot;:&quot;Leptokaropoulos&quot;,&quot;given&quot;:&quot;K.&quot;,&quot;parse-names&quot;:false,&quot;dropping-particle&quot;:&quot;&quot;,&quot;non-dropping-particle&quot;:&quot;&quot;},{&quot;family&quot;:&quot;Harmon&quot;,&quot;given&quot;:&quot;N.&quot;,&quot;parse-names&quot;:false,&quot;dropping-particle&quot;:&quot;&quot;,&quot;non-dropping-particle&quot;:&quot;&quot;},{&quot;family&quot;:&quot;Hicks&quot;,&quot;given&quot;:&quot;S. P.&quot;,&quot;parse-names&quot;:false,&quot;dropping-particle&quot;:&quot;&quot;,&quot;non-dropping-particle&quot;:&quot;&quot;},{&quot;family&quot;:&quot;Rychert&quot;,&quot;given&quot;:&quot;C. A.&quot;,&quot;parse-names&quot;:false,&quot;dropping-particle&quot;:&quot;&quot;,&quot;non-dropping-particle&quot;:&quot;&quot;},{&quot;family&quot;:&quot;Schlaphorst&quot;,&quot;given&quot;:&quot;D.&quot;,&quot;parse-names&quot;:false,&quot;dropping-particle&quot;:&quot;&quot;,&quot;non-dropping-particle&quot;:&quot;&quot;},{&quot;family&quot;:&quot;Kendall&quot;,&quot;given&quot;:&quot;J. M.&quot;,&quot;parse-names&quot;:false,&quot;dropping-particle&quot;:&quot;&quot;,&quot;non-dropping-particle&quot;:&quot;&quot;}],&quot;container-title&quot;:&quot;Journal of Geophysical Research: Solid Earth&quot;,&quot;DOI&quot;:&quot;10.1029/2021JB022251&quot;,&quot;ISSN&quot;:&quot;21699356&quot;,&quot;issued&quot;:{&quot;date-parts&quot;:[[2021,9,1]]},&quot;abstract&quot;:&quot;The gravitational pulls from the moon and the sun result in tidal forces which influence both Earth's solid and water mass. These stresses are periodically added to the tectonic ones and may become sufficient for initiating rupture in fault systems critically close to failure. Previous research indicates correlations between increased seismicity rates and low tides for fast- and intermediate-spreading mid-ocean ridges in the Pacific Ocean. Here, we present a microseismicity data set (4,719 events) recorded by an ocean bottom seismometer deployment at the equatorial Mid-Atlantic Ridge. We show that low, as well as decreasing ocean water level, result in relatively elevated seismicity rates at higher magnitudes (lower b-values), translated into increased probabilities of stronger event occurrence at or towards low tides. Moreover, seismic bursts (enhanced activity rate clusters), occurring at rates well above the reference seismicity, are exclusively present during values of either high tidally induced extensional stresses or high extensional stress rates. Although the b-value differences are not significant enough to be conclusive, the seismicity rate variations exhibit statistical significance, supporting the previous findings for tidal triggering at low tides within normal-faulting regimes and extending the range of observations to slow-spreading ridges. Observed triggering of slip on low angle faults at low tides is predicted by Coulomb stress modeling. The triggering of slip on high angle faults observed here, is not easily explained without another factor. It may be related to the presence of a shallow magma body beneath the ridge, as supported by previous seismic imaging in the region.&quot;,&quot;publisher&quot;:&quot;John Wiley and Sons Inc&quot;,&quot;issue&quot;:&quot;9&quot;,&quot;volume&quot;:&quot;126&quot;,&quot;container-title-short&quot;:&quot;&quot;},&quot;isTemporary&quot;:false},{&quot;id&quot;:&quot;e49d9e45-bd2d-3ad7-9104-78a86008e189&quot;,&quot;itemData&quot;:{&quot;type&quot;:&quot;article-journal&quot;,&quot;id&quot;:&quot;e49d9e45-bd2d-3ad7-9104-78a86008e189&quot;,&quot;title&quot;:&quot;Spatio-temporal variation of the tidal triggering effect on earthquake occurrence associated with the 1982 South Tonga earthquake of Mw 7.5&quot;,&quot;author&quot;:[{&quot;family&quot;:&quot;Tanaka&quot;,&quot;given&quot;:&quot;Sachiko&quot;,&quot;parse-names&quot;:false,&quot;dropping-particle&quot;:&quot;&quot;,&quot;non-dropping-particle&quot;:&quot;&quot;},{&quot;family&quot;:&quot;Ohtake&quot;,&quot;given&quot;:&quot;Masakazu&quot;,&quot;parse-names&quot;:false,&quot;dropping-particle&quot;:&quot;&quot;,&quot;non-dropping-particle&quot;:&quot;&quot;},{&quot;family&quot;:&quot;Sato&quot;,&quot;given&quot;:&quot;Haruo&quot;,&quot;parse-names&quot;:false,&quot;dropping-particle&quot;:&quot;&quot;,&quot;non-dropping-particle&quot;:&quot;&quot;}],&quot;container-title&quot;:&quot;Geophysical Research Letters&quot;,&quot;DOI&quot;:&quot;10.1029/2002gl015386&quot;,&quot;ISSN&quot;:&quot;00948276&quot;,&quot;issued&quot;:{&quot;date-parts&quot;:[[2002,8,15]]},&quot;page&quot;:&quot;3-1-3-4&quot;,&quot;abstract&quot;:&quot;We observed a clear tidal triggering effect on earthquakes closely related to the occurence of the 1982 South Tonga earthquake (Mw 7.5) by precisely measuring the correlation between the earth tide and earthquake occurence using 385 shallow earthquakes of reverse-fault type in the Tonga-Kermadec subduction zone. The result of statistical analysis indicates that the tidal effect, having been predominant for the normal stress on the fault plane, concentrated in and near the future focal area for several years preceding the South Tonga earthquake. The high correlation disappeared after the earthquake. The frequency distribution of phase angles for the pre-event period exhibited a peak at the phase angle where the tidal normal stress is at its maximum to accelerate the fault slip, which indicates that the observed high correlation is not a statistical chance but physically reasonable.&quot;,&quot;publisher&quot;:&quot;American Geophysical Union&quot;,&quot;issue&quot;:&quot;16&quot;,&quot;volume&quot;:&quot;29&quot;,&quot;container-title-short&quot;:&quot;&quot;},&quot;isTemporary&quot;:false},{&quot;id&quot;:&quot;72be0f25-f7ba-3b5c-b405-2894bc5eefe8&quot;,&quot;itemData&quot;:{&quot;type&quot;:&quot;article-journal&quot;,&quot;id&quot;:&quot;72be0f25-f7ba-3b5c-b405-2894bc5eefe8&quot;,&quot;title&quot;:&quot;Tidal Triggering of Microearthquakes Over an Eruption Cycle at 9°50'N East Pacific Rise&quot;,&quot;author&quot;:[{&quot;family&quot;:&quot;Tan&quot;,&quot;given&quot;:&quot;Yen Joe&quot;,&quot;parse-names&quot;:false,&quot;dropping-particle&quot;:&quot;&quot;,&quot;non-dropping-particle&quot;:&quot;&quot;},{&quot;family&quot;:&quot;Tolstoy&quot;,&quot;given&quot;:&quot;Maya&quot;,&quot;parse-names&quot;:false,&quot;dropping-particle&quot;:&quot;&quot;,&quot;non-dropping-particle&quot;:&quot;&quot;},{&quot;family&quot;:&quot;Waldhauser&quot;,&quot;given&quot;:&quot;Felix&quot;,&quot;parse-names&quot;:false,&quot;dropping-particle&quot;:&quot;&quot;,&quot;non-dropping-particle&quot;:&quot;&quot;},{&quot;family&quot;:&quot;Bohnenstiehl&quot;,&quot;given&quot;:&quot;Del Wayne R.&quot;,&quot;parse-names&quot;:false,&quot;dropping-particle&quot;:&quot;&quot;,&quot;non-dropping-particle&quot;:&quot;&quot;}],&quot;container-title&quot;:&quot;Geophysical Research Letters&quot;,&quot;DOI&quot;:&quot;10.1002/2017GL076497&quot;,&quot;ISSN&quot;:&quot;19448007&quot;,&quot;issued&quot;:{&quot;date-parts&quot;:[[2018,2,28]]},&quot;page&quot;:&quot;1825-1831&quot;,&quot;abstract&quot;:&quot;Studies have found that earthquake timing often correlates with tides at mid-ocean ridges and some terrestrial settings. Studies have also suggested that tidal triggering may preferentially happen when a region is critically stressed, making it a potential tool to forecast earthquakes and volcanic eruptions. We examine tidal triggering of ∼100,000 microearthquakes near 9°50'N East Pacific Rise recorded between October 2003 and January 2007, which encompasses an eruption in January 2006. This allows us to look at how tidal triggering signal varies over an eruption cycle to examine its utility as a forecasting tool. We find that tidal triggering signal is strong but does not vary systematically in the 2+ years leading up to the eruption. However, tidal triggering signal disappears immediately posteruption. Our findings suggest that tidal triggering variation may not be useful for forecasting mid-ocean ridge eruptions over a 2+ year timescale but might be useful over a longer timescale.&quot;,&quot;publisher&quot;:&quot;Blackwell Publishing Ltd&quot;,&quot;issue&quot;:&quot;4&quot;,&quot;volume&quot;:&quot;45&quot;,&quot;container-title-short&quot;:&quot;&quot;},&quot;isTemporary&quot;:false}]},{&quot;citationID&quot;:&quot;MENDELEY_CITATION_a3ff4477-5d25-4793-a7ff-f88a8851be1f&quot;,&quot;properties&quot;:{&quot;noteIndex&quot;:0},&quot;isEdited&quot;:false,&quot;manualOverride&quot;:{&quot;isManuallyOverridden&quot;:false,&quot;citeprocText&quot;:&quot;(Stroup et al. 2009; Wilcock 2009)&quot;,&quot;manualOverrideText&quot;:&quot;&quot;},&quot;citationTag&quot;:&quot;MENDELEY_CITATION_v3_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&quot;,&quot;citationItems&quot;:[{&quot;id&quot;:&quot;df7d5765-ceb4-3b9a-af0f-4f4b4fdf698f&quot;,&quot;itemData&quot;:{&quot;type&quot;:&quot;article-journal&quot;,&quot;id&quot;:&quot;df7d5765-ceb4-3b9a-af0f-4f4b4fdf698f&quot;,&quot;title&quot;:&quot;Tidal triggering of earthquakes in the Northeast Pacific Ocean&quot;,&quot;author&quot;:[{&quot;family&quot;:&quot;Wilcock&quot;,&quot;given&quot;:&quot;William S.D.&quot;,&quot;parse-names&quot;:false,&quot;dropping-particle&quot;:&quot;&quot;,&quot;non-dropping-particle&quot;:&quot;&quot;}],&quot;container-title&quot;:&quot;Geophysical Journal International&quot;,&quot;DOI&quot;:&quot;10.1111/j.1365-246X.2009.04319.x&quot;,&quot;ISSN&quot;:&quot;0956540X&quot;,&quot;issued&quot;:{&quot;date-parts&quot;:[[2009,11]]},&quot;page&quot;:&quot;1055-1070&quot;,&quot;abstract&quot;:&quot;There have been many searches for evidence of tidal triggering in earthquake catalogues. With the exception of volcanically active regions, the more rigorous studies in continental settings tend to find no correlation or only a very weak correlation. In the oceans, the effect of loading by the ocean tides can increase tidal stresses by about an order of magnitude over continental settings. In recent years, several studies have reported evidence of tidal triggering in oceanic regions and such observations can represent a useful constraint on models of earthquake rupture. In this paper, I systematically search for a link between ocean tide height and the incidence of earthquakes in the Northeast Pacific Ocean, a region of high-amplitude open ocean tides. The focal mechanisms of most of the earthquakes in these catalogues are unknown but it can be shown that tidal stresses will in most instances promote failure at low tides. I investigate three declustered data sets comprising (1) earthquakes from 1980 to 2007 on the Juan de Fuca plate and in the Queen Charlotte Fault region from land based catalogues; (2) earthquakes from 1992 to 2001 on the Juan de Fuca plate located with the US Navy's Sound Surveillance System (SOSUS) hydrophone array and (3) earthquakes from 1980 to 2001 south of Alaska and the Aleutians located with land based networks. I look at the distributions of earthquakes with ocean tide phase, height, and tidal range and apply Schuster and binomial tests and Monte Carlo simulations to determine if they deviate significantly from random. The results show no evidence of triggering during intervals of increased tidal range but all three data sets show a significant increase in earthquake incidence at low tides. The signal is particularly strong in the land-based catalogue for the Juan de Fuca Plate and Queen Charlotte Fault regions where there is a 15 per cent increase in the rate of seismicity within 15° of the lowest tides. The signal is weakest in the SOSUS data set, which may reflect the lower average tidal range at epicentres in this data set or an analysis that is influenced by gaps in the catalogue. The triggering signal in the Alaska/Aleutian may be partially obscured by earthquakes in the Aleutians where the total tidal stresses can be significantly out of phase with the ocean tide height. The increase in the rates of seismicity I observe at low tides is less than observed by local networks on mid-ocean ridges, similar to the prediction from an analysis of global thrust earthquakes and greater than inferred by extrapolating laboratory simulations of fault failure under tidal loading. © 2009 The Author Journal compilation © 2009 RAS.&quot;,&quot;issue&quot;:&quot;2&quot;,&quot;volume&quot;:&quot;179&quot;,&quot;container-title-short&quot;:&quot;&quot;},&quot;isTemporary&quot;:false},{&quot;id&quot;:&quot;1ffd0898-2b1f-3c2f-a610-370b719079da&quot;,&quot;itemData&quot;:{&quot;type&quot;:&quot;article-journal&quot;,&quot;id&quot;:&quot;1ffd0898-2b1f-3c2f-a610-370b719079da&quot;,&quot;title&quot;:&quot;Systematic along-axis tidal triggering of microearthquakes observed at 9°50′N East Pacific Rise&quot;,&quot;author&quot;:[{&quot;family&quot;:&quot;Stroup&quot;,&quot;given&quot;:&quot;D. F.&quot;,&quot;parse-names&quot;:false,&quot;dropping-particle&quot;:&quot;&quot;,&quot;non-dropping-particle&quot;:&quot;&quot;},{&quot;family&quot;:&quot;Tolstoy&quot;,&quot;given&quot;:&quot;M.&quot;,&quot;parse-names&quot;:false,&quot;dropping-particle&quot;:&quot;&quot;,&quot;non-dropping-particle&quot;:&quot;&quot;},{&quot;family&quot;:&quot;Crone&quot;,&quot;given&quot;:&quot;T. J.&quot;,&quot;parse-names&quot;:false,&quot;dropping-particle&quot;:&quot;&quot;,&quot;non-dropping-particle&quot;:&quot;&quot;},{&quot;family&quot;:&quot;Malinverno&quot;,&quot;given&quot;:&quot;A.&quot;,&quot;parse-names&quot;:false,&quot;dropping-particle&quot;:&quot;&quot;,&quot;non-dropping-particle&quot;:&quot;&quot;},{&quot;family&quot;:&quot;Bohnenstiehl&quot;,&quot;given&quot;:&quot;D. R.&quot;,&quot;parse-names&quot;:false,&quot;dropping-particle&quot;:&quot;&quot;,&quot;non-dropping-particle&quot;:&quot;&quot;},{&quot;family&quot;:&quot;Waldhauser&quot;,&quot;given&quot;:&quot;F.&quot;,&quot;parse-names&quot;:false,&quot;dropping-particle&quot;:&quot;&quot;,&quot;non-dropping-particle&quot;:&quot;&quot;}],&quot;container-title&quot;:&quot;Geophysical Research Letters&quot;,&quot;DOI&quot;:&quot;10.1029/2009GL039493&quot;,&quot;ISSN&quot;:&quot;00948276&quot;,&quot;issued&quot;:{&quot;date-parts&quot;:[[2009,9,1]]},&quot;abstract&quot;:&quot;Hydrothermal fluid circulation at mid-ocean ridges facilitates the exchange of heat and chemicals between the oceans and the solid Earth, and supports chemosynthetic microbial and macro-faunal communities. The structure and evolution of newly formed oceanic crust plays a dominant role in controlling the character and longevity of hydrothermal systems; however, direct measurements of subsurface processes remain technologically challenging to obtain. Previous studies have shown that tidally-induced stresses within the subseafloor modulate both fluid flow and microearthquake origin times. In this study, we observe systematic along-axis variations between peak microearthquake activity and maximum predicted tidal extension beneath the hydrothermal vent site at 9°50′N East Pacific Rise. We interpret this systematic triggering to result from pore-pressure perturbations propagating laterally through the hydrothermal system. Based on our observations and a one-dimensional pore pressure perturbation model, we estimate bulk permeability at ∼10 &lt;sup&gt;-13&lt;/sup&gt; to 10&lt;sup&gt;-12&lt;/sup&gt; m&lt;sup&gt;2&lt;/sup&gt; within layer 2B over a calculated diffusive lengthscale of 2.0 km. Copyright 2009 by the American Geophysical Union.&quot;,&quot;publisher&quot;:&quot;American Geophysical Union&quot;,&quot;issue&quot;:&quot;18&quot;,&quot;volume&quot;:&quot;36&quot;,&quot;container-title-short&quot;:&quot;&quot;},&quot;isTemporary&quot;:false}]}]"/>
    <we:property name="MENDELEY_CITATIONS_STYLE" value="{&quot;id&quot;:&quot;https://www.zotero.org/styles/geo-marine-letters&quot;,&quot;title&quot;:&quot;Geo-Marine Letters&quot;,&quot;format&quot;:&quot;author-d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166BE-049B-4541-B5DD-D60123FE6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5</Pages>
  <Words>331</Words>
  <Characters>1788</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Brooks Hanson</dc:creator>
  <cp:keywords/>
  <dc:description/>
  <cp:lastModifiedBy>Ana Laura Lordi Dias</cp:lastModifiedBy>
  <cp:revision>13</cp:revision>
  <cp:lastPrinted>2022-09-09T09:19:00Z</cp:lastPrinted>
  <dcterms:created xsi:type="dcterms:W3CDTF">2022-09-12T22:38:00Z</dcterms:created>
  <dcterms:modified xsi:type="dcterms:W3CDTF">2022-11-22T20:51:00Z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90b2810c-7395-3324-a4a4-05cfb5301b10</vt:lpwstr>
  </property>
  <property fmtid="{D5CDD505-2E9C-101B-9397-08002B2CF9AE}" pid="4" name="Mendeley Citation Style_1">
    <vt:lpwstr>http://www.zotero.org/styles/journal-of-hydrology</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http://www.zotero.org/styles/harvard-cite-them-right</vt:lpwstr>
  </property>
  <property fmtid="{D5CDD505-2E9C-101B-9397-08002B2CF9AE}" pid="8" name="Mendeley Recent Style Name 1_1">
    <vt:lpwstr>Cite Them Right 10th edition - Harvard</vt:lpwstr>
  </property>
  <property fmtid="{D5CDD505-2E9C-101B-9397-08002B2CF9AE}" pid="9" name="Mendeley Recent Style Id 2_1">
    <vt:lpwstr>http://www.zotero.org/styles/hydrogeology-journal</vt:lpwstr>
  </property>
  <property fmtid="{D5CDD505-2E9C-101B-9397-08002B2CF9AE}" pid="10" name="Mendeley Recent Style Name 2_1">
    <vt:lpwstr>Hydrogeology Journal</vt:lpwstr>
  </property>
  <property fmtid="{D5CDD505-2E9C-101B-9397-08002B2CF9AE}" pid="11" name="Mendeley Recent Style Id 3_1">
    <vt:lpwstr>http://www.zotero.org/styles/journal-of-cleaner-production</vt:lpwstr>
  </property>
  <property fmtid="{D5CDD505-2E9C-101B-9397-08002B2CF9AE}" pid="12" name="Mendeley Recent Style Name 3_1">
    <vt:lpwstr>Journal of Cleaner Production</vt:lpwstr>
  </property>
  <property fmtid="{D5CDD505-2E9C-101B-9397-08002B2CF9AE}" pid="13" name="Mendeley Recent Style Id 4_1">
    <vt:lpwstr>http://www.zotero.org/styles/journal-of-hydrology</vt:lpwstr>
  </property>
  <property fmtid="{D5CDD505-2E9C-101B-9397-08002B2CF9AE}" pid="14" name="Mendeley Recent Style Name 4_1">
    <vt:lpwstr>Journal of Hydrology</vt:lpwstr>
  </property>
  <property fmtid="{D5CDD505-2E9C-101B-9397-08002B2CF9AE}" pid="15" name="Mendeley Recent Style Id 5_1">
    <vt:lpwstr>http://www.zotero.org/styles/journal-of-hydrometeorology</vt:lpwstr>
  </property>
  <property fmtid="{D5CDD505-2E9C-101B-9397-08002B2CF9AE}" pid="16" name="Mendeley Recent Style Name 5_1">
    <vt:lpwstr>Journal of Hydrometeorology</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http://www.zotero.org/styles/nature-geoscience</vt:lpwstr>
  </property>
  <property fmtid="{D5CDD505-2E9C-101B-9397-08002B2CF9AE}" pid="24" name="Mendeley Recent Style Name 9_1">
    <vt:lpwstr>Nature Geoscience</vt:lpwstr>
  </property>
</Properties>
</file>