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11199" w:type="dxa"/>
        <w:tblInd w:w="-1139" w:type="dxa"/>
        <w:tblLook w:val="04A0" w:firstRow="1" w:lastRow="0" w:firstColumn="1" w:lastColumn="0" w:noHBand="0" w:noVBand="1"/>
      </w:tblPr>
      <w:tblGrid>
        <w:gridCol w:w="1276"/>
        <w:gridCol w:w="1134"/>
        <w:gridCol w:w="1701"/>
        <w:gridCol w:w="1276"/>
        <w:gridCol w:w="1701"/>
        <w:gridCol w:w="4111"/>
      </w:tblGrid>
      <w:tr w:rsidR="001D6CA2" w14:paraId="10E97365" w14:textId="77777777" w:rsidTr="00AF2154">
        <w:tc>
          <w:tcPr>
            <w:tcW w:w="1276" w:type="dxa"/>
          </w:tcPr>
          <w:p w14:paraId="74863423" w14:textId="77777777" w:rsidR="001D6CA2" w:rsidRPr="0058480A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eastAsia="nl-NL"/>
              </w:rPr>
            </w:pPr>
            <w:r w:rsidRPr="0058480A">
              <w:rPr>
                <w:rFonts w:ascii="Gill Sans MT" w:hAnsi="Gill Sans MT" w:cs="Times New Roman"/>
                <w:sz w:val="18"/>
                <w:szCs w:val="18"/>
                <w:lang w:eastAsia="nl-NL"/>
              </w:rPr>
              <w:t xml:space="preserve">Author </w:t>
            </w:r>
          </w:p>
        </w:tc>
        <w:tc>
          <w:tcPr>
            <w:tcW w:w="1134" w:type="dxa"/>
          </w:tcPr>
          <w:p w14:paraId="5B8B2A8F" w14:textId="77777777" w:rsidR="001D6CA2" w:rsidRPr="0058480A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eastAsia="nl-NL"/>
              </w:rPr>
            </w:pPr>
            <w:r w:rsidRPr="0058480A">
              <w:rPr>
                <w:rFonts w:ascii="Gill Sans MT" w:hAnsi="Gill Sans MT" w:cs="Times New Roman"/>
                <w:sz w:val="18"/>
                <w:szCs w:val="18"/>
                <w:lang w:eastAsia="nl-NL"/>
              </w:rPr>
              <w:t>Inclusion period</w:t>
            </w:r>
          </w:p>
        </w:tc>
        <w:tc>
          <w:tcPr>
            <w:tcW w:w="1701" w:type="dxa"/>
          </w:tcPr>
          <w:p w14:paraId="04EC95EE" w14:textId="77777777" w:rsidR="001D6CA2" w:rsidRPr="0058480A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eastAsia="nl-NL"/>
              </w:rPr>
            </w:pPr>
            <w:r w:rsidRPr="0058480A">
              <w:rPr>
                <w:rFonts w:ascii="Gill Sans MT" w:hAnsi="Gill Sans MT" w:cs="Times New Roman"/>
                <w:sz w:val="18"/>
                <w:szCs w:val="18"/>
                <w:lang w:eastAsia="nl-NL"/>
              </w:rPr>
              <w:t>Stuyd desing</w:t>
            </w:r>
          </w:p>
        </w:tc>
        <w:tc>
          <w:tcPr>
            <w:tcW w:w="1276" w:type="dxa"/>
          </w:tcPr>
          <w:p w14:paraId="0340871C" w14:textId="77777777" w:rsidR="001D6CA2" w:rsidRPr="0058480A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eastAsia="nl-NL"/>
              </w:rPr>
              <w:t>Symptoms</w:t>
            </w:r>
          </w:p>
        </w:tc>
        <w:tc>
          <w:tcPr>
            <w:tcW w:w="1701" w:type="dxa"/>
          </w:tcPr>
          <w:p w14:paraId="5D8BE0C3" w14:textId="77777777" w:rsidR="001D6CA2" w:rsidRPr="0058480A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eastAsia="nl-NL"/>
              </w:rPr>
            </w:pPr>
            <w:r w:rsidRPr="0058480A">
              <w:rPr>
                <w:rFonts w:ascii="Gill Sans MT" w:hAnsi="Gill Sans MT" w:cs="Times New Roman"/>
                <w:sz w:val="18"/>
                <w:szCs w:val="18"/>
                <w:lang w:eastAsia="nl-NL"/>
              </w:rPr>
              <w:t>Included patients</w:t>
            </w:r>
          </w:p>
        </w:tc>
        <w:tc>
          <w:tcPr>
            <w:tcW w:w="4111" w:type="dxa"/>
          </w:tcPr>
          <w:p w14:paraId="5A3A7D65" w14:textId="77777777" w:rsidR="001D6CA2" w:rsidRPr="0058480A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eastAsia="nl-NL"/>
              </w:rPr>
            </w:pPr>
            <w:r w:rsidRPr="0058480A">
              <w:rPr>
                <w:rFonts w:ascii="Gill Sans MT" w:hAnsi="Gill Sans MT" w:cs="Times New Roman"/>
                <w:sz w:val="18"/>
                <w:szCs w:val="18"/>
                <w:lang w:eastAsia="nl-NL"/>
              </w:rPr>
              <w:t xml:space="preserve">Results </w:t>
            </w:r>
          </w:p>
        </w:tc>
      </w:tr>
      <w:tr w:rsidR="001D6CA2" w:rsidRPr="00DF7579" w14:paraId="3487B609" w14:textId="77777777" w:rsidTr="00AF2154">
        <w:tc>
          <w:tcPr>
            <w:tcW w:w="1276" w:type="dxa"/>
          </w:tcPr>
          <w:p w14:paraId="66FCAC27" w14:textId="77777777" w:rsidR="001D6CA2" w:rsidRPr="0058480A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eastAsia="nl-NL"/>
              </w:rPr>
            </w:pPr>
            <w:r w:rsidRPr="00BB4DFD">
              <w:rPr>
                <w:rFonts w:ascii="Gill Sans MT" w:hAnsi="Gill Sans MT" w:cs="Times New Roman"/>
                <w:sz w:val="18"/>
                <w:szCs w:val="18"/>
                <w:lang w:eastAsia="nl-NL"/>
              </w:rPr>
              <w:t xml:space="preserve">Nativi-Nicolau </w:t>
            </w:r>
            <w:r>
              <w:rPr>
                <w:rFonts w:ascii="Gill Sans MT" w:hAnsi="Gill Sans MT" w:cs="Times New Roman"/>
                <w:sz w:val="18"/>
                <w:szCs w:val="18"/>
                <w:lang w:eastAsia="nl-NL"/>
              </w:rPr>
              <w:t xml:space="preserve">et al. </w:t>
            </w:r>
            <w:r w:rsidRPr="0058480A">
              <w:rPr>
                <w:rFonts w:ascii="Gill Sans MT" w:hAnsi="Gill Sans MT" w:cs="Times New Roman"/>
                <w:sz w:val="18"/>
                <w:szCs w:val="18"/>
                <w:lang w:eastAsia="nl-NL"/>
              </w:rPr>
              <w:t xml:space="preserve">(2021) </w:t>
            </w:r>
          </w:p>
        </w:tc>
        <w:tc>
          <w:tcPr>
            <w:tcW w:w="1134" w:type="dxa"/>
          </w:tcPr>
          <w:p w14:paraId="0665326E" w14:textId="77777777" w:rsidR="001D6CA2" w:rsidRPr="0058480A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eastAsia="nl-NL"/>
              </w:rPr>
            </w:pPr>
            <w:r w:rsidRPr="0058480A">
              <w:rPr>
                <w:rFonts w:ascii="Gill Sans MT" w:hAnsi="Gill Sans MT" w:cs="Times New Roman"/>
                <w:sz w:val="18"/>
                <w:szCs w:val="18"/>
                <w:lang w:eastAsia="nl-NL"/>
              </w:rPr>
              <w:t>200</w:t>
            </w:r>
            <w:r>
              <w:rPr>
                <w:rFonts w:ascii="Gill Sans MT" w:hAnsi="Gill Sans MT" w:cs="Times New Roman"/>
                <w:sz w:val="18"/>
                <w:szCs w:val="18"/>
                <w:lang w:eastAsia="nl-NL"/>
              </w:rPr>
              <w:t>7-2020</w:t>
            </w:r>
          </w:p>
        </w:tc>
        <w:tc>
          <w:tcPr>
            <w:tcW w:w="1701" w:type="dxa"/>
          </w:tcPr>
          <w:p w14:paraId="734C6CC4" w14:textId="77777777" w:rsidR="001D6CA2" w:rsidRPr="00B40D06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 w:rsidRPr="00B40D06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Multicenter, global 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observational</w:t>
            </w:r>
            <w:r w:rsidRPr="00B40D06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 cohort study 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(15 countries) </w:t>
            </w:r>
          </w:p>
        </w:tc>
        <w:tc>
          <w:tcPr>
            <w:tcW w:w="1276" w:type="dxa"/>
          </w:tcPr>
          <w:p w14:paraId="55F58DFE" w14:textId="77777777" w:rsidR="001D6CA2" w:rsidRPr="00A15089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Cardiac and non cardicac</w:t>
            </w:r>
          </w:p>
        </w:tc>
        <w:tc>
          <w:tcPr>
            <w:tcW w:w="1701" w:type="dxa"/>
          </w:tcPr>
          <w:p w14:paraId="48552D9A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 w:rsidRPr="00A15089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1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.</w:t>
            </w:r>
            <w:r w:rsidRPr="00A15089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069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 ATTRwt patients </w:t>
            </w:r>
          </w:p>
          <w:p w14:paraId="06C34F1B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 w:rsidRPr="004B1CE4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9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5</w:t>
            </w:r>
            <w:r w:rsidRPr="004B1CE4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% 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male; </w:t>
            </w:r>
          </w:p>
          <w:p w14:paraId="0DBE7057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Mean age </w:t>
            </w:r>
            <w:r w:rsidRPr="00650F0E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 77.0 </w:t>
            </w:r>
            <w:r w:rsidRPr="004666A5">
              <w:rPr>
                <w:rFonts w:ascii="Gill Sans MT" w:hAnsi="Gill Sans MT" w:cs="Times New Roman"/>
                <w:sz w:val="20"/>
                <w:szCs w:val="20"/>
                <w:lang w:val="en-GB" w:eastAsia="nl-NL"/>
              </w:rPr>
              <w:t>±</w:t>
            </w:r>
            <w:r>
              <w:rPr>
                <w:rFonts w:ascii="Gill Sans MT" w:hAnsi="Gill Sans MT" w:cs="Times New Roman"/>
                <w:sz w:val="20"/>
                <w:szCs w:val="20"/>
                <w:lang w:val="en-GB" w:eastAsia="nl-NL"/>
              </w:rPr>
              <w:t xml:space="preserve"> </w:t>
            </w:r>
            <w:r w:rsidRPr="00650F0E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7.2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 years</w:t>
            </w:r>
          </w:p>
          <w:p w14:paraId="5DE86F8D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</w:p>
          <w:p w14:paraId="390C6C09" w14:textId="77777777" w:rsidR="001D6CA2" w:rsidRPr="00DF7579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</w:p>
        </w:tc>
        <w:tc>
          <w:tcPr>
            <w:tcW w:w="4111" w:type="dxa"/>
          </w:tcPr>
          <w:p w14:paraId="2C9959C1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No significantly reduction in symptom-diagnosis duration. A</w:t>
            </w:r>
            <w:r w:rsidRPr="00AE7DD4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 median 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symptom-diagnosis duration</w:t>
            </w:r>
            <w:r w:rsidRPr="00AE7DD4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 of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:</w:t>
            </w:r>
            <w:r w:rsidRPr="00AE7DD4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 </w:t>
            </w:r>
          </w:p>
          <w:p w14:paraId="12151BB4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 w:rsidRPr="00AE7DD4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63 months in 2015, </w:t>
            </w:r>
          </w:p>
          <w:p w14:paraId="4ED49305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 w:rsidRPr="00AE7DD4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6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8</w:t>
            </w:r>
            <w:r w:rsidRPr="00AE7DD4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 months in 2016, </w:t>
            </w:r>
          </w:p>
          <w:p w14:paraId="4C18FD5C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 w:rsidRPr="00AE7DD4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6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2</w:t>
            </w:r>
            <w:r w:rsidRPr="00AE7DD4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 months in 2017, </w:t>
            </w:r>
          </w:p>
          <w:p w14:paraId="75BC8464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 w:rsidRPr="00AE7DD4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73 months in 2018, </w:t>
            </w:r>
          </w:p>
          <w:p w14:paraId="5C2FE597" w14:textId="77777777" w:rsidR="001D6CA2" w:rsidRPr="00AE7DD4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 w:rsidRPr="00AE7DD4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7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2</w:t>
            </w:r>
            <w:r w:rsidRPr="00AE7DD4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 months in 2019</w:t>
            </w:r>
          </w:p>
        </w:tc>
      </w:tr>
      <w:tr w:rsidR="001D6CA2" w:rsidRPr="00DF7579" w14:paraId="2BDEE944" w14:textId="77777777" w:rsidTr="00AF2154">
        <w:tc>
          <w:tcPr>
            <w:tcW w:w="1276" w:type="dxa"/>
          </w:tcPr>
          <w:p w14:paraId="555F4B7D" w14:textId="77777777" w:rsidR="001D6CA2" w:rsidRPr="00DF7579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Damy et al. (2023)</w:t>
            </w:r>
          </w:p>
        </w:tc>
        <w:tc>
          <w:tcPr>
            <w:tcW w:w="1134" w:type="dxa"/>
          </w:tcPr>
          <w:p w14:paraId="43DFDA8B" w14:textId="77777777" w:rsidR="001D6CA2" w:rsidRPr="00DF7579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 w:rsidRPr="004D6008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2010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-</w:t>
            </w:r>
            <w:r w:rsidRPr="004D6008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2020</w:t>
            </w:r>
          </w:p>
        </w:tc>
        <w:tc>
          <w:tcPr>
            <w:tcW w:w="1701" w:type="dxa"/>
          </w:tcPr>
          <w:p w14:paraId="7DCFE20E" w14:textId="77777777" w:rsidR="001D6CA2" w:rsidRPr="008A36BE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Single referral center (France), retrospective, </w:t>
            </w:r>
            <w:r w:rsidRPr="008A36BE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observational cohort study </w:t>
            </w:r>
          </w:p>
          <w:p w14:paraId="2B2031F1" w14:textId="77777777" w:rsidR="001D6CA2" w:rsidRPr="008A36BE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</w:p>
        </w:tc>
        <w:tc>
          <w:tcPr>
            <w:tcW w:w="1276" w:type="dxa"/>
          </w:tcPr>
          <w:p w14:paraId="0D28B1F6" w14:textId="77777777" w:rsidR="001D6CA2" w:rsidRPr="003053DA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Cardiac </w:t>
            </w:r>
          </w:p>
        </w:tc>
        <w:tc>
          <w:tcPr>
            <w:tcW w:w="1701" w:type="dxa"/>
          </w:tcPr>
          <w:p w14:paraId="6D3FE1D0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 w:rsidRPr="003053DA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684 ATTRwt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 patients</w:t>
            </w:r>
          </w:p>
          <w:p w14:paraId="46C6D249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85% male </w:t>
            </w:r>
          </w:p>
          <w:p w14:paraId="547E1FBF" w14:textId="77777777" w:rsidR="001D6CA2" w:rsidRPr="00DF7579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Median age 81.8 years [77.1-87.2]</w:t>
            </w:r>
          </w:p>
        </w:tc>
        <w:tc>
          <w:tcPr>
            <w:tcW w:w="4111" w:type="dxa"/>
          </w:tcPr>
          <w:p w14:paraId="0594CB71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lang w:val="en-GB"/>
              </w:rPr>
              <w:t>S</w:t>
            </w:r>
            <w:r w:rsidRPr="00F32C03">
              <w:rPr>
                <w:lang w:val="en-GB"/>
              </w:rPr>
              <w:t>i</w:t>
            </w:r>
            <w:r w:rsidRPr="00F32C03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gnificant reduction in symptom-diagnosis duration (p=0.020). A median symptom-diagnosis duration of:</w:t>
            </w:r>
          </w:p>
          <w:p w14:paraId="384D547D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5 months in 2010-2012</w:t>
            </w:r>
          </w:p>
          <w:p w14:paraId="09AF2039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27 months in 2013-2014</w:t>
            </w:r>
          </w:p>
          <w:p w14:paraId="1E73D1E6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26 months in 2015-2016</w:t>
            </w:r>
          </w:p>
          <w:p w14:paraId="5C4817F4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17 months in 2017-2018</w:t>
            </w:r>
          </w:p>
          <w:p w14:paraId="54CBDCB5" w14:textId="77777777" w:rsidR="001D6CA2" w:rsidRPr="00DF7579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12 month in 2019-2020</w:t>
            </w:r>
          </w:p>
        </w:tc>
      </w:tr>
      <w:tr w:rsidR="001D6CA2" w:rsidRPr="00DF7579" w14:paraId="6D7E7ABC" w14:textId="77777777" w:rsidTr="00AF2154">
        <w:tc>
          <w:tcPr>
            <w:tcW w:w="1276" w:type="dxa"/>
          </w:tcPr>
          <w:p w14:paraId="21A7A38E" w14:textId="77777777" w:rsidR="001D6CA2" w:rsidRPr="00DF7579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Brons et al. (2022)</w:t>
            </w:r>
          </w:p>
        </w:tc>
        <w:tc>
          <w:tcPr>
            <w:tcW w:w="1134" w:type="dxa"/>
          </w:tcPr>
          <w:p w14:paraId="373A4DDC" w14:textId="77777777" w:rsidR="001D6CA2" w:rsidRPr="00DF7579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2007-2020</w:t>
            </w:r>
          </w:p>
        </w:tc>
        <w:tc>
          <w:tcPr>
            <w:tcW w:w="1701" w:type="dxa"/>
          </w:tcPr>
          <w:p w14:paraId="52C9D181" w14:textId="77777777" w:rsidR="001D6CA2" w:rsidRPr="00DF7579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Single referral center (Netherlands), retrospective, </w:t>
            </w:r>
            <w:r w:rsidRPr="008A36BE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observational cohort study </w:t>
            </w:r>
          </w:p>
        </w:tc>
        <w:tc>
          <w:tcPr>
            <w:tcW w:w="1276" w:type="dxa"/>
          </w:tcPr>
          <w:p w14:paraId="237720E0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Cardiac </w:t>
            </w:r>
          </w:p>
        </w:tc>
        <w:tc>
          <w:tcPr>
            <w:tcW w:w="1701" w:type="dxa"/>
          </w:tcPr>
          <w:p w14:paraId="2C34F124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43 ATTR patients </w:t>
            </w:r>
          </w:p>
          <w:p w14:paraId="0613BBA9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 w:rsidRPr="007B42B5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86% male</w:t>
            </w:r>
          </w:p>
          <w:p w14:paraId="3E13041B" w14:textId="77777777" w:rsidR="001D6CA2" w:rsidRPr="00DF7579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Mean age </w:t>
            </w:r>
            <w:r w:rsidRPr="00981F4D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73.0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 </w:t>
            </w:r>
            <w:r w:rsidRPr="00981F4D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± 6.0 years </w:t>
            </w:r>
          </w:p>
        </w:tc>
        <w:tc>
          <w:tcPr>
            <w:tcW w:w="4111" w:type="dxa"/>
          </w:tcPr>
          <w:p w14:paraId="7A91651C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lang w:val="en-GB"/>
              </w:rPr>
              <w:t>S</w:t>
            </w:r>
            <w:r w:rsidRPr="00F32C03">
              <w:rPr>
                <w:lang w:val="en-GB"/>
              </w:rPr>
              <w:t>i</w:t>
            </w:r>
            <w:r w:rsidRPr="00F32C03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gnificant reduction in symptom-diagnosis duration (p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&lt;</w:t>
            </w:r>
            <w:r w:rsidRPr="00F32C03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0.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001</w:t>
            </w:r>
            <w:r w:rsidRPr="00F32C03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). A median symptom-diagnosis duration of:</w:t>
            </w:r>
          </w:p>
          <w:p w14:paraId="36E0D331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18 months in 2007-2018</w:t>
            </w:r>
          </w:p>
          <w:p w14:paraId="6A12C78E" w14:textId="77777777" w:rsidR="001D6CA2" w:rsidRPr="007B42B5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8 months in 2019-2020</w:t>
            </w:r>
            <w:r w:rsidRPr="007B42B5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 </w:t>
            </w:r>
          </w:p>
        </w:tc>
      </w:tr>
      <w:tr w:rsidR="001D6CA2" w:rsidRPr="00DF7579" w14:paraId="6D19D8B8" w14:textId="77777777" w:rsidTr="00AF2154">
        <w:tc>
          <w:tcPr>
            <w:tcW w:w="1276" w:type="dxa"/>
          </w:tcPr>
          <w:p w14:paraId="28376A92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 w:rsidRPr="00B527C5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Debonnaire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 et al. (2023)</w:t>
            </w:r>
          </w:p>
        </w:tc>
        <w:tc>
          <w:tcPr>
            <w:tcW w:w="1134" w:type="dxa"/>
          </w:tcPr>
          <w:p w14:paraId="710028A5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2012-2021</w:t>
            </w:r>
          </w:p>
        </w:tc>
        <w:tc>
          <w:tcPr>
            <w:tcW w:w="1701" w:type="dxa"/>
          </w:tcPr>
          <w:p w14:paraId="2E243854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 w:rsidRPr="00891B69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Single referral center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 (Belgium)</w:t>
            </w:r>
            <w:r w:rsidRPr="00891B69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, retrospective, observational cohort study</w:t>
            </w:r>
          </w:p>
        </w:tc>
        <w:tc>
          <w:tcPr>
            <w:tcW w:w="1276" w:type="dxa"/>
          </w:tcPr>
          <w:p w14:paraId="3E91C80E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Cardiac </w:t>
            </w:r>
          </w:p>
        </w:tc>
        <w:tc>
          <w:tcPr>
            <w:tcW w:w="1701" w:type="dxa"/>
          </w:tcPr>
          <w:p w14:paraId="79B49D3F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114 ATTR patients </w:t>
            </w:r>
          </w:p>
          <w:p w14:paraId="210163C3" w14:textId="77777777" w:rsidR="001D6CA2" w:rsidRPr="00A158F7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76% male 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br/>
              <w:t xml:space="preserve">Median age </w:t>
            </w:r>
            <w:r w:rsidRPr="00A158F7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81 years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 [</w:t>
            </w:r>
            <w:r w:rsidRPr="00A158F7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58–95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]</w:t>
            </w:r>
          </w:p>
        </w:tc>
        <w:tc>
          <w:tcPr>
            <w:tcW w:w="4111" w:type="dxa"/>
          </w:tcPr>
          <w:p w14:paraId="4D5CFCA4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 w:rsidRPr="009B6403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Overall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 (AL+ATTR)</w:t>
            </w:r>
            <w:r w:rsidRPr="009B6403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 no significant reduction in </w:t>
            </w:r>
            <w:r w:rsidRPr="00F32C03"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symptom-diagnosis duration</w:t>
            </w: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 xml:space="preserve"> (p=0.664)</w:t>
            </w:r>
          </w:p>
          <w:p w14:paraId="03550064" w14:textId="77777777" w:rsidR="001D6CA2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9 months in 2012-2016</w:t>
            </w:r>
          </w:p>
          <w:p w14:paraId="6EFCA383" w14:textId="77777777" w:rsidR="001D6CA2" w:rsidRPr="00CE3433" w:rsidRDefault="001D6CA2" w:rsidP="00AF2154">
            <w:pPr>
              <w:pStyle w:val="Geenafstand"/>
              <w:spacing w:line="480" w:lineRule="auto"/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</w:pPr>
            <w:r>
              <w:rPr>
                <w:rFonts w:ascii="Gill Sans MT" w:hAnsi="Gill Sans MT" w:cs="Times New Roman"/>
                <w:sz w:val="18"/>
                <w:szCs w:val="18"/>
                <w:lang w:val="en-GB" w:eastAsia="nl-NL"/>
              </w:rPr>
              <w:t>8 months in 2017-2021</w:t>
            </w:r>
          </w:p>
        </w:tc>
      </w:tr>
    </w:tbl>
    <w:p w14:paraId="779311E7" w14:textId="77777777" w:rsidR="00773F96" w:rsidRDefault="00773F96"/>
    <w:sectPr w:rsidR="00773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A2"/>
    <w:rsid w:val="001D6CA2"/>
    <w:rsid w:val="0077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A07A4"/>
  <w15:chartTrackingRefBased/>
  <w15:docId w15:val="{B1745CBD-694B-4E97-BC76-93210D1B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6CA2"/>
  </w:style>
  <w:style w:type="paragraph" w:styleId="Kop1">
    <w:name w:val="heading 1"/>
    <w:basedOn w:val="Standaard"/>
    <w:next w:val="Standaard"/>
    <w:link w:val="Kop1Char"/>
    <w:uiPriority w:val="9"/>
    <w:qFormat/>
    <w:rsid w:val="001D6C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D6C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D6C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6C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D6C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D6C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D6C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D6C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D6C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6C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D6C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D6C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6CA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D6CA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D6CA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D6CA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D6CA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D6C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D6C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D6C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6C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D6C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D6CA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D6CA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D6CA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6C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6CA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D6CA2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1D6CA2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1D6CA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1"/>
    <w:rsid w:val="001D6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Achten</dc:creator>
  <cp:keywords/>
  <dc:description/>
  <cp:lastModifiedBy>Anouk Achten</cp:lastModifiedBy>
  <cp:revision>1</cp:revision>
  <dcterms:created xsi:type="dcterms:W3CDTF">2024-03-28T12:59:00Z</dcterms:created>
  <dcterms:modified xsi:type="dcterms:W3CDTF">2024-03-28T13:00:00Z</dcterms:modified>
</cp:coreProperties>
</file>